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38744" w14:textId="0C43813E" w:rsidR="00F140F5" w:rsidRPr="00726346" w:rsidRDefault="00A71B4E" w:rsidP="008A003C">
      <w:pPr>
        <w:pStyle w:val="BodyText"/>
        <w:ind w:left="-993"/>
        <w:rPr>
          <w:lang w:val="en-NZ"/>
        </w:rPr>
      </w:pPr>
      <w:bookmarkStart w:id="0" w:name="_Hlk124694840"/>
      <w:bookmarkEnd w:id="0"/>
      <w:proofErr w:type="spellStart"/>
      <w:r>
        <w:rPr>
          <w:lang w:val="en-NZ"/>
        </w:rPr>
        <w:t>ged</w:t>
      </w:r>
      <w:proofErr w:type="spellEnd"/>
      <w:r w:rsidR="00D107DF">
        <w:rPr>
          <w:noProof/>
        </w:rPr>
        <w:drawing>
          <wp:inline distT="0" distB="0" distL="0" distR="0" wp14:anchorId="75BA49AA" wp14:editId="257C851E">
            <wp:extent cx="7566025" cy="46513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7566025" cy="4651374"/>
                    </a:xfrm>
                    <a:prstGeom prst="rect">
                      <a:avLst/>
                    </a:prstGeom>
                  </pic:spPr>
                </pic:pic>
              </a:graphicData>
            </a:graphic>
          </wp:inline>
        </w:drawing>
      </w:r>
    </w:p>
    <w:p w14:paraId="07FD253E" w14:textId="77777777" w:rsidR="00DC5ECB" w:rsidRPr="00F543C1" w:rsidRDefault="00DC5ECB" w:rsidP="00DC5ECB">
      <w:pPr>
        <w:pStyle w:val="CoverTitle"/>
        <w:spacing w:before="840"/>
      </w:pPr>
      <w:bookmarkStart w:id="1" w:name="_Hlk118460720"/>
      <w:r w:rsidRPr="00F543C1">
        <w:t>Working together</w:t>
      </w:r>
    </w:p>
    <w:p w14:paraId="158A6928" w14:textId="011B79B4" w:rsidR="00DC5ECB" w:rsidRPr="00F543C1" w:rsidRDefault="00DC5ECB" w:rsidP="00DC5ECB">
      <w:pPr>
        <w:pStyle w:val="CoverSubTitle"/>
      </w:pPr>
      <w:r w:rsidRPr="00F543C1">
        <w:t xml:space="preserve">Re-focusing public accountability to achieve better </w:t>
      </w:r>
      <w:proofErr w:type="gramStart"/>
      <w:r w:rsidRPr="00F543C1">
        <w:t>lives</w:t>
      </w:r>
      <w:proofErr w:type="gramEnd"/>
    </w:p>
    <w:bookmarkEnd w:id="1"/>
    <w:p w14:paraId="79F0EEC2" w14:textId="77777777" w:rsidR="00DC5ECB" w:rsidRPr="00F543C1" w:rsidRDefault="00DC5ECB" w:rsidP="00DC5ECB">
      <w:pPr>
        <w:pStyle w:val="CoverSubheading"/>
      </w:pPr>
      <w:r w:rsidRPr="00F543C1">
        <w:t>NZIER report to the New Zealand Productivity Commission</w:t>
      </w:r>
      <w:r w:rsidRPr="00F543C1" w:rsidDel="00571294">
        <w:t xml:space="preserve"> </w:t>
      </w:r>
    </w:p>
    <w:p w14:paraId="592D4165" w14:textId="77777777" w:rsidR="0059128A" w:rsidRDefault="003E7B6C" w:rsidP="008A003C">
      <w:pPr>
        <w:pStyle w:val="USBodyText"/>
        <w:ind w:left="0"/>
        <w:sectPr w:rsidR="0059128A" w:rsidSect="005925F4">
          <w:headerReference w:type="default" r:id="rId12"/>
          <w:footerReference w:type="default" r:id="rId13"/>
          <w:type w:val="oddPage"/>
          <w:pgSz w:w="11907" w:h="16839" w:code="9"/>
          <w:pgMar w:top="1701" w:right="1418" w:bottom="1418" w:left="1418" w:header="851" w:footer="851" w:gutter="0"/>
          <w:pgNumType w:fmt="lowerRoman"/>
          <w:cols w:space="708"/>
          <w:docGrid w:linePitch="360"/>
        </w:sectPr>
      </w:pPr>
      <w:r>
        <w:t>February</w:t>
      </w:r>
      <w:r w:rsidR="00DC5ECB" w:rsidRPr="00F543C1">
        <w:t xml:space="preserve"> 2023</w:t>
      </w:r>
    </w:p>
    <w:p w14:paraId="08B9A00B" w14:textId="7BCBF01C" w:rsidR="003B713F" w:rsidRPr="00F543C1" w:rsidRDefault="003B713F" w:rsidP="003B713F">
      <w:pPr>
        <w:pStyle w:val="ESHeading1"/>
      </w:pPr>
      <w:r w:rsidRPr="00F543C1">
        <w:lastRenderedPageBreak/>
        <w:t>About NZIER</w:t>
      </w:r>
    </w:p>
    <w:p w14:paraId="5CACBBCF" w14:textId="77777777" w:rsidR="003115E7" w:rsidRPr="00F543C1" w:rsidRDefault="003115E7" w:rsidP="003115E7">
      <w:pPr>
        <w:pStyle w:val="USBodyText"/>
      </w:pPr>
      <w:r w:rsidRPr="00F543C1">
        <w:t xml:space="preserve">NZIER is a specialist consulting firm that uses applied economic research and analysis to provide a wide range of strategic advice. </w:t>
      </w:r>
    </w:p>
    <w:p w14:paraId="69ADDDD9" w14:textId="77777777" w:rsidR="003115E7" w:rsidRPr="00F543C1" w:rsidRDefault="003115E7" w:rsidP="008B544F">
      <w:pPr>
        <w:pStyle w:val="USBodyText"/>
      </w:pPr>
      <w:r w:rsidRPr="00F543C1">
        <w:t>We undertake and make freely available economic research aimed at promoting a better understanding of New Zealand’s important economic challenges.</w:t>
      </w:r>
    </w:p>
    <w:p w14:paraId="4E24AC04" w14:textId="0A7C5473" w:rsidR="003115E7" w:rsidRPr="00F543C1" w:rsidRDefault="003115E7" w:rsidP="003115E7">
      <w:pPr>
        <w:pStyle w:val="USBodyText"/>
      </w:pPr>
      <w:r w:rsidRPr="00F543C1">
        <w:t>Our long-established Quarterly Survey of Business Opinion and Quarterly Predictions are available to members of NZIER.</w:t>
      </w:r>
    </w:p>
    <w:p w14:paraId="6FE7FBA7" w14:textId="547061CB" w:rsidR="003115E7" w:rsidRPr="00F543C1" w:rsidRDefault="003115E7" w:rsidP="003115E7">
      <w:pPr>
        <w:pStyle w:val="USBodyText"/>
      </w:pPr>
      <w:r w:rsidRPr="00F543C1">
        <w:t>We pride ourselves on our reputation for independence and delivering quality analysis in the right form and at the right time. We ensure quality through teamwork on individual projects, critical review at internal seminars, and peer review.</w:t>
      </w:r>
    </w:p>
    <w:p w14:paraId="59C753E9" w14:textId="11E8BE7D" w:rsidR="003115E7" w:rsidRPr="00F543C1" w:rsidRDefault="003115E7" w:rsidP="003115E7">
      <w:pPr>
        <w:pStyle w:val="USBodyText"/>
      </w:pPr>
      <w:r w:rsidRPr="00F543C1">
        <w:t>NZIER was established in 1958.</w:t>
      </w:r>
      <w:r w:rsidR="00EF74BD" w:rsidRPr="00F543C1">
        <w:t xml:space="preserve"> </w:t>
      </w:r>
    </w:p>
    <w:p w14:paraId="58C27AE5" w14:textId="77777777" w:rsidR="003B713F" w:rsidRPr="00F543C1" w:rsidRDefault="003B713F" w:rsidP="003B713F">
      <w:pPr>
        <w:pStyle w:val="ESHeading1"/>
      </w:pPr>
      <w:r w:rsidRPr="00F543C1">
        <w:t>Authorship</w:t>
      </w:r>
    </w:p>
    <w:p w14:paraId="14CF6DB5" w14:textId="77777777" w:rsidR="00D67473" w:rsidRPr="00F543C1" w:rsidRDefault="00D67473" w:rsidP="00D67473">
      <w:pPr>
        <w:pStyle w:val="USBodyText"/>
      </w:pPr>
      <w:r w:rsidRPr="00F543C1">
        <w:t>This paper was prepared at NZIER by Peter Wilson and Julie Fry.</w:t>
      </w:r>
    </w:p>
    <w:p w14:paraId="74B080D5" w14:textId="77777777" w:rsidR="00D67473" w:rsidRPr="00F543C1" w:rsidRDefault="00D67473" w:rsidP="00D67473">
      <w:pPr>
        <w:pStyle w:val="USBodyText"/>
      </w:pPr>
      <w:r w:rsidRPr="00F543C1">
        <w:t>It was quality approved by Derek Gill.</w:t>
      </w:r>
    </w:p>
    <w:p w14:paraId="324B618B" w14:textId="79DB47F5" w:rsidR="00D67473" w:rsidRPr="00F543C1" w:rsidRDefault="00D67473" w:rsidP="00D67473">
      <w:pPr>
        <w:pStyle w:val="USBodyText"/>
      </w:pPr>
      <w:r w:rsidRPr="00F543C1">
        <w:t xml:space="preserve">The assistance of the staff of the Productivity Commission, Claire Achmad, Sue Barker, Professor Gary </w:t>
      </w:r>
      <w:proofErr w:type="gramStart"/>
      <w:r w:rsidRPr="00F543C1">
        <w:t>Hawke</w:t>
      </w:r>
      <w:proofErr w:type="gramEnd"/>
      <w:r w:rsidRPr="00F543C1">
        <w:t xml:space="preserve"> and Helen Denham is gratefully acknowledged. </w:t>
      </w:r>
      <w:proofErr w:type="spellStart"/>
      <w:r w:rsidRPr="00F543C1">
        <w:t>Te</w:t>
      </w:r>
      <w:proofErr w:type="spellEnd"/>
      <w:r w:rsidRPr="00F543C1">
        <w:t xml:space="preserve"> Aorangi Murphy-Fell and Jenny Solomon from </w:t>
      </w:r>
      <w:proofErr w:type="spellStart"/>
      <w:r w:rsidRPr="00F543C1">
        <w:t>Haemata</w:t>
      </w:r>
      <w:proofErr w:type="spellEnd"/>
      <w:r w:rsidRPr="00F543C1">
        <w:t xml:space="preserve"> Limited provided expert review of </w:t>
      </w:r>
      <w:proofErr w:type="spellStart"/>
      <w:r w:rsidR="00E61FE6" w:rsidRPr="00F543C1">
        <w:t>T</w:t>
      </w:r>
      <w:r w:rsidRPr="00F543C1">
        <w:t>e</w:t>
      </w:r>
      <w:proofErr w:type="spellEnd"/>
      <w:r w:rsidRPr="00F543C1">
        <w:t xml:space="preserve"> </w:t>
      </w:r>
      <w:r w:rsidR="00E61FE6" w:rsidRPr="00F543C1">
        <w:t>A</w:t>
      </w:r>
      <w:r w:rsidRPr="00F543C1">
        <w:t xml:space="preserve">o Māori aspects of this report. Sarah Spring </w:t>
      </w:r>
      <w:r w:rsidR="00AE533F">
        <w:t xml:space="preserve">and Georgia </w:t>
      </w:r>
      <w:r w:rsidR="00247C85">
        <w:t xml:space="preserve">Windle </w:t>
      </w:r>
      <w:r w:rsidRPr="00F543C1">
        <w:t>gave us exceptional support.</w:t>
      </w:r>
    </w:p>
    <w:p w14:paraId="10E9D635" w14:textId="77777777" w:rsidR="00D67473" w:rsidRPr="00F543C1" w:rsidRDefault="00D67473" w:rsidP="00D67473">
      <w:pPr>
        <w:pStyle w:val="USBodyText"/>
      </w:pPr>
      <w:r w:rsidRPr="00F543C1">
        <w:t xml:space="preserve">We would also like to thank participants at a workshop hosted by the Commission on 23 November 2022 at which we were able to test our ideas. </w:t>
      </w:r>
    </w:p>
    <w:p w14:paraId="75CB7862" w14:textId="01830D5D" w:rsidR="00D67473" w:rsidRPr="00F543C1" w:rsidRDefault="00D67473" w:rsidP="00D67473">
      <w:pPr>
        <w:pStyle w:val="USBodyText"/>
      </w:pPr>
      <w:r w:rsidRPr="00F543C1">
        <w:t xml:space="preserve">We would like to particularly express our appreciation to Kelly Feng and Ivan Yeo from Asian Social Services; Judy Campbell and </w:t>
      </w:r>
      <w:proofErr w:type="spellStart"/>
      <w:r w:rsidRPr="00F543C1">
        <w:t>Leslynne</w:t>
      </w:r>
      <w:proofErr w:type="spellEnd"/>
      <w:r w:rsidRPr="00F543C1">
        <w:t xml:space="preserve"> Jackson from Manaaki </w:t>
      </w:r>
      <w:proofErr w:type="spellStart"/>
      <w:r w:rsidRPr="00F543C1">
        <w:t>Tairāwhiti</w:t>
      </w:r>
      <w:proofErr w:type="spellEnd"/>
      <w:r w:rsidRPr="00F543C1">
        <w:t xml:space="preserve">; Manny Kipa and Kim </w:t>
      </w:r>
      <w:proofErr w:type="spellStart"/>
      <w:r w:rsidRPr="00F543C1">
        <w:t>Whaanga</w:t>
      </w:r>
      <w:proofErr w:type="spellEnd"/>
      <w:r w:rsidRPr="00F543C1">
        <w:t xml:space="preserve">-Kipa from </w:t>
      </w:r>
      <w:proofErr w:type="spellStart"/>
      <w:r w:rsidRPr="00F543C1">
        <w:t>Mauria</w:t>
      </w:r>
      <w:proofErr w:type="spellEnd"/>
      <w:r w:rsidRPr="00F543C1">
        <w:t xml:space="preserve"> </w:t>
      </w:r>
      <w:proofErr w:type="spellStart"/>
      <w:r w:rsidRPr="00F543C1">
        <w:t>te</w:t>
      </w:r>
      <w:proofErr w:type="spellEnd"/>
      <w:r w:rsidRPr="00F543C1">
        <w:t xml:space="preserve"> Pono; Ann Sears, Ann </w:t>
      </w:r>
      <w:proofErr w:type="gramStart"/>
      <w:r w:rsidRPr="00F543C1">
        <w:t>Wilkie</w:t>
      </w:r>
      <w:proofErr w:type="gramEnd"/>
      <w:r w:rsidRPr="00F543C1">
        <w:t xml:space="preserve"> and Rana Wong from the South Auckland Social Wellbeing Board; </w:t>
      </w:r>
      <w:proofErr w:type="spellStart"/>
      <w:r w:rsidR="004D5B13" w:rsidRPr="004D5B13">
        <w:t>Tunumafono</w:t>
      </w:r>
      <w:proofErr w:type="spellEnd"/>
      <w:r w:rsidR="004D5B13" w:rsidRPr="004D5B13">
        <w:t xml:space="preserve"> </w:t>
      </w:r>
      <w:proofErr w:type="spellStart"/>
      <w:r w:rsidR="004D5B13" w:rsidRPr="004D5B13">
        <w:t>Fa'amoetauloa</w:t>
      </w:r>
      <w:proofErr w:type="spellEnd"/>
      <w:r w:rsidR="004D5B13" w:rsidRPr="004D5B13">
        <w:t xml:space="preserve"> </w:t>
      </w:r>
      <w:proofErr w:type="spellStart"/>
      <w:r w:rsidR="004D5B13" w:rsidRPr="004D5B13">
        <w:t>Avaula</w:t>
      </w:r>
      <w:proofErr w:type="spellEnd"/>
      <w:r w:rsidR="004D5B13" w:rsidRPr="004D5B13">
        <w:t xml:space="preserve"> </w:t>
      </w:r>
      <w:proofErr w:type="spellStart"/>
      <w:r w:rsidR="004D5B13" w:rsidRPr="004D5B13">
        <w:t>Fa'amoe</w:t>
      </w:r>
      <w:proofErr w:type="spellEnd"/>
      <w:r w:rsidR="004D5B13" w:rsidRPr="004D5B13">
        <w:t xml:space="preserve"> </w:t>
      </w:r>
      <w:r w:rsidR="00D55AA3">
        <w:t>from</w:t>
      </w:r>
      <w:r w:rsidR="004D5B13" w:rsidRPr="004D5B13">
        <w:t xml:space="preserve"> </w:t>
      </w:r>
      <w:proofErr w:type="spellStart"/>
      <w:r w:rsidR="004D5B13" w:rsidRPr="004D5B13">
        <w:t>Tōf</w:t>
      </w:r>
      <w:r w:rsidR="00D55AA3" w:rsidRPr="00F543C1">
        <w:t>ā</w:t>
      </w:r>
      <w:proofErr w:type="spellEnd"/>
      <w:r w:rsidR="004D5B13" w:rsidRPr="004D5B13">
        <w:t xml:space="preserve"> </w:t>
      </w:r>
      <w:proofErr w:type="spellStart"/>
      <w:r w:rsidR="004D5B13" w:rsidRPr="004D5B13">
        <w:t>Mamao</w:t>
      </w:r>
      <w:proofErr w:type="spellEnd"/>
      <w:r w:rsidRPr="00F543C1">
        <w:t xml:space="preserve">, and Elena </w:t>
      </w:r>
      <w:proofErr w:type="spellStart"/>
      <w:r w:rsidRPr="00F543C1">
        <w:t>Holowaty</w:t>
      </w:r>
      <w:proofErr w:type="spellEnd"/>
      <w:r w:rsidRPr="00F543C1" w:rsidDel="00650EA8">
        <w:t xml:space="preserve"> </w:t>
      </w:r>
      <w:r w:rsidRPr="00F543C1">
        <w:t>for their assistance and for the inspiration their work over many years has given us.</w:t>
      </w:r>
    </w:p>
    <w:p w14:paraId="19D62C3C" w14:textId="77777777" w:rsidR="00D67473" w:rsidRPr="00F543C1" w:rsidRDefault="00D67473" w:rsidP="00D67473">
      <w:pPr>
        <w:pStyle w:val="USBodyText"/>
      </w:pPr>
      <w:r w:rsidRPr="00F543C1">
        <w:t xml:space="preserve">We alone, however, are responsible for the content and conclusions of this report. </w:t>
      </w:r>
    </w:p>
    <w:p w14:paraId="486BAB2D" w14:textId="77777777" w:rsidR="00D67473" w:rsidRPr="00F543C1" w:rsidRDefault="00D67473" w:rsidP="00D67473">
      <w:pPr>
        <w:pStyle w:val="USBodyText"/>
      </w:pPr>
      <w:r w:rsidRPr="00F543C1">
        <w:t>How to cite this document:</w:t>
      </w:r>
    </w:p>
    <w:p w14:paraId="2549679B" w14:textId="05483F74" w:rsidR="00E268A9" w:rsidRPr="00F543C1" w:rsidRDefault="00D67473" w:rsidP="00F44449">
      <w:pPr>
        <w:pStyle w:val="USBodyText"/>
      </w:pPr>
      <w:r w:rsidRPr="00F543C1">
        <w:t>NZIER. 2023. Working together. A report for the New Zealand Productivity Commission.</w:t>
      </w:r>
    </w:p>
    <w:p w14:paraId="5D4A699E" w14:textId="77777777" w:rsidR="00F44449" w:rsidRPr="00F543C1" w:rsidRDefault="00F44449" w:rsidP="008A003C">
      <w:pPr>
        <w:pStyle w:val="USBodyText"/>
        <w:ind w:left="0"/>
        <w:sectPr w:rsidR="00F44449" w:rsidRPr="00F543C1" w:rsidSect="0059128A">
          <w:footerReference w:type="default" r:id="rId14"/>
          <w:pgSz w:w="11907" w:h="16839" w:code="9"/>
          <w:pgMar w:top="1701" w:right="1418" w:bottom="1418" w:left="1418" w:header="851" w:footer="851" w:gutter="0"/>
          <w:pgNumType w:fmt="lowerRoman"/>
          <w:cols w:space="708"/>
          <w:docGrid w:linePitch="360"/>
        </w:sectPr>
      </w:pPr>
    </w:p>
    <w:p w14:paraId="0AC2C6C4" w14:textId="5314FCEC" w:rsidR="00BE14CF" w:rsidRPr="00F543C1" w:rsidRDefault="00BE14CF" w:rsidP="008F75B7">
      <w:pPr>
        <w:pStyle w:val="ESHeading1"/>
      </w:pPr>
      <w:r w:rsidRPr="00726346">
        <w:lastRenderedPageBreak/>
        <w:t>Key points</w:t>
      </w:r>
    </w:p>
    <w:p w14:paraId="4966457E" w14:textId="12B2E057" w:rsidR="00347879" w:rsidRDefault="00347879" w:rsidP="00347879">
      <w:pPr>
        <w:ind w:left="851"/>
      </w:pPr>
      <w:r w:rsidRPr="000177FE">
        <w:t xml:space="preserve">This report </w:t>
      </w:r>
      <w:r>
        <w:t xml:space="preserve">for the New Zealand Productivity Commission </w:t>
      </w:r>
      <w:r w:rsidRPr="000177FE">
        <w:t xml:space="preserve">reviews the economics of accountability. In it, we discuss how the system of public accountability in Aotearoa New Zealand can contribute to increasing the productivity and effectiveness of the social assistance system. </w:t>
      </w:r>
    </w:p>
    <w:p w14:paraId="7384BE60" w14:textId="77777777" w:rsidR="00347879" w:rsidRDefault="00347879" w:rsidP="00347879">
      <w:pPr>
        <w:ind w:left="851"/>
      </w:pPr>
      <w:r w:rsidRPr="000177FE">
        <w:t xml:space="preserve">A more productive system is one that uses the economy’s scarce resources better to improve peoples’ lives. Our particular focus is the role of accountability in the systems used to assist people experiencing persistent disadvantage. </w:t>
      </w:r>
    </w:p>
    <w:p w14:paraId="46884D47" w14:textId="77777777" w:rsidR="00347879" w:rsidRPr="000177FE" w:rsidRDefault="00347879" w:rsidP="00347879">
      <w:pPr>
        <w:ind w:left="851"/>
      </w:pPr>
      <w:r w:rsidRPr="000177FE">
        <w:t>The specific questions that we have been asked to address are:</w:t>
      </w:r>
    </w:p>
    <w:p w14:paraId="760985EA" w14:textId="77777777" w:rsidR="00347879" w:rsidRPr="000177FE" w:rsidRDefault="00347879" w:rsidP="00347879">
      <w:pPr>
        <w:pStyle w:val="USBullet1"/>
      </w:pPr>
      <w:r w:rsidRPr="000177FE">
        <w:t xml:space="preserve">What </w:t>
      </w:r>
      <w:proofErr w:type="gramStart"/>
      <w:r w:rsidRPr="000177FE">
        <w:t>are</w:t>
      </w:r>
      <w:proofErr w:type="gramEnd"/>
      <w:r w:rsidRPr="000177FE">
        <w:t xml:space="preserve"> the relevant macro-level public accountability settings and boundaries for addressing persistent disadvantage?</w:t>
      </w:r>
    </w:p>
    <w:p w14:paraId="66635C24" w14:textId="77777777" w:rsidR="00347879" w:rsidRPr="000177FE" w:rsidRDefault="00347879" w:rsidP="00347879">
      <w:pPr>
        <w:pStyle w:val="USBullet1"/>
      </w:pPr>
      <w:r w:rsidRPr="000177FE">
        <w:t xml:space="preserve">How do macro-level public accountability settings drive current system outcomes in relation to addressing persistent disadvantage? </w:t>
      </w:r>
    </w:p>
    <w:p w14:paraId="0CD2ADEB" w14:textId="77777777" w:rsidR="00347879" w:rsidRPr="000177FE" w:rsidRDefault="00347879" w:rsidP="00347879">
      <w:pPr>
        <w:pStyle w:val="USBullet1"/>
      </w:pPr>
      <w:r w:rsidRPr="000177FE">
        <w:t xml:space="preserve">What might a new macro-level accountability framework look like? </w:t>
      </w:r>
    </w:p>
    <w:p w14:paraId="0966C5E0" w14:textId="77777777" w:rsidR="00347879" w:rsidRPr="000177FE" w:rsidRDefault="00347879" w:rsidP="00347879">
      <w:pPr>
        <w:pStyle w:val="USBullet1"/>
      </w:pPr>
      <w:r w:rsidRPr="000177FE">
        <w:t xml:space="preserve">How might </w:t>
      </w:r>
      <w:proofErr w:type="spellStart"/>
      <w:r w:rsidRPr="000177FE">
        <w:t>Te</w:t>
      </w:r>
      <w:proofErr w:type="spellEnd"/>
      <w:r w:rsidRPr="000177FE">
        <w:t xml:space="preserve"> Ao Māori values produce different macro-level accountability settings and drive better outcomes?</w:t>
      </w:r>
    </w:p>
    <w:p w14:paraId="46C1CA03" w14:textId="77777777" w:rsidR="00347879" w:rsidRDefault="00347879" w:rsidP="00347879">
      <w:pPr>
        <w:pStyle w:val="USBullet1"/>
      </w:pPr>
      <w:r w:rsidRPr="000177FE">
        <w:t xml:space="preserve">What are some of the concrete steps that can be taken to realise the new settings? </w:t>
      </w:r>
    </w:p>
    <w:p w14:paraId="53A6FD8B" w14:textId="63B0A504" w:rsidR="00C128F6" w:rsidRDefault="00347879" w:rsidP="00347879">
      <w:pPr>
        <w:ind w:left="851"/>
      </w:pPr>
      <w:r w:rsidRPr="000177FE">
        <w:t>The term ‘accountability’ means different things to different people. But we have identified some clear first principles that can support a different approach to accountability that should result in a social assistance system that works better</w:t>
      </w:r>
      <w:r w:rsidR="002469F5">
        <w:t xml:space="preserve"> and</w:t>
      </w:r>
      <w:r w:rsidRPr="000177FE">
        <w:t xml:space="preserve"> is </w:t>
      </w:r>
      <w:r w:rsidR="007F4BBF">
        <w:t xml:space="preserve">more </w:t>
      </w:r>
      <w:r w:rsidRPr="000177FE">
        <w:t>efficient and cost-effective.</w:t>
      </w:r>
    </w:p>
    <w:p w14:paraId="61DF5D9B" w14:textId="77777777" w:rsidR="007F4BBF" w:rsidRDefault="007F4BBF" w:rsidP="007F4BBF">
      <w:pPr>
        <w:ind w:left="851"/>
      </w:pPr>
      <w:r>
        <w:t>The Productivity Commission’s interim report is the latest in a long line of studies to show that despite being a supposed policy priority, the current system for addressing persistent disadvantage has demonstrably failed.</w:t>
      </w:r>
    </w:p>
    <w:p w14:paraId="392A9118" w14:textId="7312AFB9" w:rsidR="007F4BBF" w:rsidRDefault="007F4BBF" w:rsidP="007C4DDE">
      <w:pPr>
        <w:ind w:left="851"/>
      </w:pPr>
      <w:r>
        <w:t xml:space="preserve">In considering our </w:t>
      </w:r>
      <w:r w:rsidRPr="00C159B9">
        <w:t xml:space="preserve">proposals, </w:t>
      </w:r>
      <w:r w:rsidR="00346417" w:rsidRPr="0088321F">
        <w:t>the question is</w:t>
      </w:r>
      <w:r w:rsidRPr="0088321F">
        <w:t xml:space="preserve"> not whether they are perfect but whether</w:t>
      </w:r>
      <w:r w:rsidRPr="00C159B9">
        <w:t xml:space="preserve"> they are better than a system that is failing. Put another way, do we continue with a system</w:t>
      </w:r>
      <w:r>
        <w:t xml:space="preserve"> </w:t>
      </w:r>
      <w:r w:rsidRPr="0043580B">
        <w:t xml:space="preserve">that is </w:t>
      </w:r>
      <w:r w:rsidRPr="007C02C7">
        <w:t>not</w:t>
      </w:r>
      <w:r w:rsidRPr="0043580B">
        <w:t xml:space="preserve"> working or try one that </w:t>
      </w:r>
      <w:r w:rsidRPr="007C02C7">
        <w:t>might</w:t>
      </w:r>
      <w:r>
        <w:t>?</w:t>
      </w:r>
    </w:p>
    <w:p w14:paraId="7174FE90" w14:textId="3A622456" w:rsidR="003B463C" w:rsidRDefault="003B463C" w:rsidP="003B463C">
      <w:pPr>
        <w:pStyle w:val="ESHeading2"/>
      </w:pPr>
      <w:r>
        <w:t>Framing the discussion</w:t>
      </w:r>
    </w:p>
    <w:p w14:paraId="0E7CB688" w14:textId="281CEB9B" w:rsidR="00694339" w:rsidRDefault="003B463C" w:rsidP="003B463C">
      <w:pPr>
        <w:pStyle w:val="USBodyText"/>
      </w:pPr>
      <w:r>
        <w:t xml:space="preserve">Accountability and addressing persistent disadvantage are </w:t>
      </w:r>
      <w:r w:rsidR="007C4DDE">
        <w:t>both</w:t>
      </w:r>
      <w:r>
        <w:t xml:space="preserve"> large, complex, and much-studied topics. </w:t>
      </w:r>
    </w:p>
    <w:p w14:paraId="6B566A59" w14:textId="19F66F35" w:rsidR="00AC0B1B" w:rsidRDefault="003B463C" w:rsidP="003B463C">
      <w:pPr>
        <w:pStyle w:val="USBodyText"/>
      </w:pPr>
      <w:r>
        <w:t xml:space="preserve">Developing an accountability system that will allow successive governments to better address persistent disadvantage </w:t>
      </w:r>
      <w:r w:rsidR="00B14060">
        <w:t xml:space="preserve">requires </w:t>
      </w:r>
      <w:r>
        <w:t>two steps. First, we need</w:t>
      </w:r>
      <w:r w:rsidR="006A38EC">
        <w:t>ed</w:t>
      </w:r>
      <w:r>
        <w:t xml:space="preserve"> to gain a clear understanding of each topic, which at first </w:t>
      </w:r>
      <w:r w:rsidR="00AC0B1B">
        <w:t>sight</w:t>
      </w:r>
      <w:r>
        <w:t xml:space="preserve"> have little in common (one is about the exercise of power within the public sector, the other a </w:t>
      </w:r>
      <w:r w:rsidR="00AC0B1B">
        <w:t xml:space="preserve">difficult social policy challenge). Then, </w:t>
      </w:r>
      <w:r w:rsidR="006A38EC">
        <w:t xml:space="preserve">we needed </w:t>
      </w:r>
      <w:r w:rsidR="00AC0B1B">
        <w:t>a</w:t>
      </w:r>
      <w:r>
        <w:t xml:space="preserve"> clear framework </w:t>
      </w:r>
      <w:r w:rsidR="00AC0B1B">
        <w:t xml:space="preserve">to combine the relevant findings from developing that understanding into a coherent, </w:t>
      </w:r>
      <w:proofErr w:type="gramStart"/>
      <w:r w:rsidR="00AC0B1B">
        <w:t>effective</w:t>
      </w:r>
      <w:proofErr w:type="gramEnd"/>
      <w:r w:rsidR="00AC0B1B">
        <w:t xml:space="preserve"> and practical accountability system.</w:t>
      </w:r>
    </w:p>
    <w:p w14:paraId="6218DAD2" w14:textId="32DD7495" w:rsidR="003B463C" w:rsidRDefault="00AC0B1B" w:rsidP="003B463C">
      <w:pPr>
        <w:pStyle w:val="USBodyText"/>
      </w:pPr>
      <w:r>
        <w:t xml:space="preserve">The framework that we have used Is Amartya Sen’s version of the capability approach. </w:t>
      </w:r>
      <w:r w:rsidRPr="00AC0B1B">
        <w:t xml:space="preserve">The success of any </w:t>
      </w:r>
      <w:r>
        <w:t xml:space="preserve">system, </w:t>
      </w:r>
      <w:r w:rsidRPr="00AC0B1B">
        <w:t>policy</w:t>
      </w:r>
      <w:r>
        <w:t xml:space="preserve"> or </w:t>
      </w:r>
      <w:r w:rsidRPr="00AC0B1B">
        <w:t xml:space="preserve">programme is measured by whether it increases the </w:t>
      </w:r>
      <w:r w:rsidRPr="00AC0B1B">
        <w:lastRenderedPageBreak/>
        <w:t xml:space="preserve">freedom that people </w:t>
      </w:r>
      <w:proofErr w:type="gramStart"/>
      <w:r w:rsidRPr="00AC0B1B">
        <w:t>have to</w:t>
      </w:r>
      <w:proofErr w:type="gramEnd"/>
      <w:r w:rsidRPr="00AC0B1B">
        <w:t xml:space="preserve"> live a life that they value</w:t>
      </w:r>
      <w:r>
        <w:t xml:space="preserve">. This approach is deliberately flexible and does not impose on people a pre-determined idea of what is good for them. </w:t>
      </w:r>
    </w:p>
    <w:p w14:paraId="0C5BA441" w14:textId="495565AA" w:rsidR="00902254" w:rsidRDefault="00902254" w:rsidP="003B463C">
      <w:pPr>
        <w:pStyle w:val="USBodyText"/>
      </w:pPr>
      <w:r>
        <w:t>Once the overall goal</w:t>
      </w:r>
      <w:r w:rsidR="007C4DDE">
        <w:t>s</w:t>
      </w:r>
      <w:r>
        <w:t xml:space="preserve"> of policy </w:t>
      </w:r>
      <w:r w:rsidR="007C4DDE">
        <w:t>are</w:t>
      </w:r>
      <w:r>
        <w:t xml:space="preserve"> understood, </w:t>
      </w:r>
      <w:r w:rsidR="007C4DDE">
        <w:t xml:space="preserve">the next steps are to </w:t>
      </w:r>
      <w:r>
        <w:t xml:space="preserve">design the individual policy interventions </w:t>
      </w:r>
      <w:r w:rsidR="007C4DDE">
        <w:t xml:space="preserve">needed </w:t>
      </w:r>
      <w:r>
        <w:t xml:space="preserve">to achieve </w:t>
      </w:r>
      <w:r w:rsidR="007C4DDE">
        <w:t>them</w:t>
      </w:r>
      <w:r>
        <w:t xml:space="preserve"> </w:t>
      </w:r>
      <w:r w:rsidR="007C4DDE">
        <w:t>and</w:t>
      </w:r>
      <w:r>
        <w:t xml:space="preserve"> </w:t>
      </w:r>
      <w:r w:rsidR="007C4DDE">
        <w:t xml:space="preserve">determine </w:t>
      </w:r>
      <w:r>
        <w:t xml:space="preserve">what </w:t>
      </w:r>
      <w:r w:rsidR="00FF4439">
        <w:t>accountability regimes best suit</w:t>
      </w:r>
      <w:r>
        <w:t xml:space="preserve"> the institutions and people designing and delivering those policies.</w:t>
      </w:r>
      <w:r w:rsidR="003927F9">
        <w:t xml:space="preserve"> That is</w:t>
      </w:r>
      <w:r w:rsidR="008F0C94">
        <w:t xml:space="preserve">, </w:t>
      </w:r>
      <w:r w:rsidR="00E04591">
        <w:t xml:space="preserve">an </w:t>
      </w:r>
      <w:r w:rsidR="008F0C94">
        <w:t xml:space="preserve">accountability system for </w:t>
      </w:r>
      <w:r w:rsidR="008240B4">
        <w:t>addressing persistent disadvantage must be designed from the bottom up.</w:t>
      </w:r>
    </w:p>
    <w:p w14:paraId="5FFFB384" w14:textId="1993DBA3" w:rsidR="00AD39FE" w:rsidRDefault="00915808" w:rsidP="00AD39FE">
      <w:pPr>
        <w:pStyle w:val="ESHeading2"/>
      </w:pPr>
      <w:r>
        <w:t>Persistent disadvantage</w:t>
      </w:r>
    </w:p>
    <w:p w14:paraId="38B324EC" w14:textId="649CC521" w:rsidR="00AD39FE" w:rsidRDefault="00AD39FE" w:rsidP="00E5061F">
      <w:pPr>
        <w:ind w:left="851"/>
      </w:pPr>
      <w:r>
        <w:t>The Commis</w:t>
      </w:r>
      <w:r w:rsidR="00E5061F">
        <w:t>si</w:t>
      </w:r>
      <w:r>
        <w:t>on</w:t>
      </w:r>
      <w:r w:rsidR="00E5061F">
        <w:t xml:space="preserve">’s definition of persistent disadvantage </w:t>
      </w:r>
      <w:r w:rsidR="00C05ABF">
        <w:t xml:space="preserve">emphasises that it has multiple dimensions, some of which interact to make the combined effect even worse. </w:t>
      </w:r>
    </w:p>
    <w:p w14:paraId="6F96CB2F" w14:textId="16BA710C" w:rsidR="00AD39FE" w:rsidRPr="000177FE" w:rsidRDefault="00AD39FE" w:rsidP="00AD39FE">
      <w:pPr>
        <w:ind w:left="851"/>
      </w:pPr>
      <w:r w:rsidRPr="000177FE">
        <w:t xml:space="preserve">The evidence on why some people </w:t>
      </w:r>
      <w:proofErr w:type="gramStart"/>
      <w:r w:rsidRPr="000177FE">
        <w:t>experience</w:t>
      </w:r>
      <w:proofErr w:type="gramEnd"/>
      <w:r w:rsidRPr="000177FE">
        <w:t xml:space="preserve"> persistent disadvantage while others with similar characteristics do not is still developing</w:t>
      </w:r>
      <w:r>
        <w:t xml:space="preserve">. </w:t>
      </w:r>
      <w:proofErr w:type="gramStart"/>
      <w:r>
        <w:t>I</w:t>
      </w:r>
      <w:r w:rsidRPr="000177FE">
        <w:t>t is clear that the</w:t>
      </w:r>
      <w:proofErr w:type="gramEnd"/>
      <w:r w:rsidRPr="000177FE">
        <w:t xml:space="preserve"> group of people affected is very diverse. While Māori, Pacific peoples, some recent </w:t>
      </w:r>
      <w:proofErr w:type="gramStart"/>
      <w:r w:rsidRPr="000177FE">
        <w:t>immigrants</w:t>
      </w:r>
      <w:proofErr w:type="gramEnd"/>
      <w:r w:rsidRPr="000177FE">
        <w:t xml:space="preserve"> and people with disabilities figure disproportionately, there are also many Pākehā experiencing persistent disadvantage. </w:t>
      </w:r>
    </w:p>
    <w:p w14:paraId="06FDAA10" w14:textId="40E60CC0" w:rsidR="00AD39FE" w:rsidRDefault="00AD39FE" w:rsidP="00AD39FE">
      <w:pPr>
        <w:ind w:left="851"/>
      </w:pPr>
      <w:r w:rsidRPr="000177FE">
        <w:t>The causes</w:t>
      </w:r>
      <w:r>
        <w:t xml:space="preserve"> of persistent disadvantage</w:t>
      </w:r>
      <w:r w:rsidRPr="000177FE">
        <w:t xml:space="preserve"> can be a complex and</w:t>
      </w:r>
      <w:r w:rsidR="00C05ABF">
        <w:t xml:space="preserve"> </w:t>
      </w:r>
      <w:r w:rsidRPr="000177FE">
        <w:t>often interlinked combination of personal experience</w:t>
      </w:r>
      <w:r w:rsidR="00E25520">
        <w:t>s</w:t>
      </w:r>
      <w:r w:rsidRPr="000177FE">
        <w:t>, such as family violence, addiction</w:t>
      </w:r>
      <w:r w:rsidR="002D415B">
        <w:t xml:space="preserve"> </w:t>
      </w:r>
      <w:r w:rsidR="00EB406E">
        <w:t>or</w:t>
      </w:r>
      <w:r w:rsidRPr="000177FE">
        <w:t xml:space="preserve"> loss of economic opportunities</w:t>
      </w:r>
      <w:r w:rsidR="00EB406E">
        <w:t>, and w</w:t>
      </w:r>
      <w:r w:rsidR="00C05ABF" w:rsidRPr="000177FE">
        <w:t xml:space="preserve">ider </w:t>
      </w:r>
      <w:r w:rsidRPr="000177FE">
        <w:t>systemic issues</w:t>
      </w:r>
      <w:r w:rsidR="00A737C9">
        <w:t>,</w:t>
      </w:r>
      <w:r w:rsidRPr="000177FE">
        <w:t xml:space="preserve"> including our colonial history, racism, sexism, ableism, and how power is shared and exercised throughout society. </w:t>
      </w:r>
    </w:p>
    <w:p w14:paraId="4C71CF26" w14:textId="0BC9A871" w:rsidR="00AD39FE" w:rsidRDefault="00AD39FE" w:rsidP="00AD39FE">
      <w:pPr>
        <w:ind w:left="851"/>
      </w:pPr>
      <w:r>
        <w:t xml:space="preserve">Expanding our knowledge of causes, who is impacted and how is important. But we </w:t>
      </w:r>
      <w:r w:rsidR="003A2071">
        <w:t xml:space="preserve">currently </w:t>
      </w:r>
      <w:r>
        <w:t>know enough to see where our existing approaches to addressing persistent disadvantage need to change.</w:t>
      </w:r>
    </w:p>
    <w:p w14:paraId="136FB24E" w14:textId="55C53C22" w:rsidR="00347879" w:rsidRDefault="00915808" w:rsidP="001D0453">
      <w:pPr>
        <w:pStyle w:val="ESHeading2"/>
      </w:pPr>
      <w:r>
        <w:t xml:space="preserve">Existing responses are </w:t>
      </w:r>
      <w:proofErr w:type="gramStart"/>
      <w:r>
        <w:t>failin</w:t>
      </w:r>
      <w:r w:rsidR="00515C5D">
        <w:t>g</w:t>
      </w:r>
      <w:proofErr w:type="gramEnd"/>
    </w:p>
    <w:p w14:paraId="5B3A2993" w14:textId="661038A1" w:rsidR="00921DEF" w:rsidRDefault="002B1CAE" w:rsidP="006B1AD1">
      <w:pPr>
        <w:pStyle w:val="USBodyText"/>
      </w:pPr>
      <w:r>
        <w:t xml:space="preserve">Policy advisers, the academic community and wider civil society have been calling for </w:t>
      </w:r>
      <w:r w:rsidR="00DC6B1A">
        <w:t xml:space="preserve">additional assistance to be provided for people experiencing </w:t>
      </w:r>
      <w:r w:rsidR="00E848A2">
        <w:t xml:space="preserve">persistent disadvantage </w:t>
      </w:r>
      <w:r w:rsidR="00DC6B1A">
        <w:t xml:space="preserve">for </w:t>
      </w:r>
      <w:r w:rsidR="00AC0D5F">
        <w:t>more than</w:t>
      </w:r>
      <w:r w:rsidR="00DC6B1A">
        <w:t xml:space="preserve"> 30 years. </w:t>
      </w:r>
      <w:r w:rsidR="00921DEF">
        <w:t>D</w:t>
      </w:r>
      <w:r w:rsidR="00973A5C">
        <w:t xml:space="preserve">espite clear evidence of a problem and </w:t>
      </w:r>
      <w:r w:rsidR="00B17E49">
        <w:t xml:space="preserve">knowledge of different approaches that </w:t>
      </w:r>
      <w:r w:rsidR="006C460E">
        <w:t>can improve</w:t>
      </w:r>
      <w:r w:rsidR="00B17E49">
        <w:t xml:space="preserve"> people</w:t>
      </w:r>
      <w:r w:rsidR="00921DEF">
        <w:t>’s</w:t>
      </w:r>
      <w:r w:rsidR="00B17E49">
        <w:t xml:space="preserve"> lives, successive governments have continued </w:t>
      </w:r>
      <w:r w:rsidR="008E6430">
        <w:t>to use a failed approach</w:t>
      </w:r>
      <w:r w:rsidR="00087C15">
        <w:t xml:space="preserve"> to address the issue. </w:t>
      </w:r>
    </w:p>
    <w:p w14:paraId="55FC9C6A" w14:textId="498FD268" w:rsidR="0074664F" w:rsidRDefault="00921DEF" w:rsidP="006B1AD1">
      <w:pPr>
        <w:pStyle w:val="USBodyText"/>
      </w:pPr>
      <w:r>
        <w:t>The New Zealand</w:t>
      </w:r>
      <w:r w:rsidR="004B015F">
        <w:t xml:space="preserve"> social assistance system </w:t>
      </w:r>
      <w:r>
        <w:t xml:space="preserve">was </w:t>
      </w:r>
      <w:r w:rsidR="004B015F">
        <w:t>designed to provide uniform, low</w:t>
      </w:r>
      <w:r>
        <w:t>-</w:t>
      </w:r>
      <w:r w:rsidR="004B015F">
        <w:t>cost services delivered at scale</w:t>
      </w:r>
      <w:r>
        <w:t xml:space="preserve">. </w:t>
      </w:r>
      <w:r w:rsidR="00674106">
        <w:t>This approach generally works reasonably well for people not experiencing or at risk of experiencing persistent disadvantage – those with simple or limited needs</w:t>
      </w:r>
      <w:r w:rsidR="0074664F" w:rsidRPr="000177FE">
        <w:t xml:space="preserve">. Improvements are possible, but they will proceed on a different basis and are outside the scope of this report. </w:t>
      </w:r>
    </w:p>
    <w:p w14:paraId="0320002A" w14:textId="06AB318C" w:rsidR="000F1005" w:rsidRPr="006B1AD1" w:rsidRDefault="0074664F" w:rsidP="00DD5548">
      <w:pPr>
        <w:pStyle w:val="USBodyText"/>
      </w:pPr>
      <w:r>
        <w:t>Th</w:t>
      </w:r>
      <w:r w:rsidR="006269AB">
        <w:t xml:space="preserve">is system </w:t>
      </w:r>
      <w:r>
        <w:t xml:space="preserve">does not </w:t>
      </w:r>
      <w:r w:rsidR="006269AB">
        <w:t xml:space="preserve">work well for </w:t>
      </w:r>
      <w:r>
        <w:t>people with multiple, complex, ongoing needs</w:t>
      </w:r>
      <w:r w:rsidR="006269AB">
        <w:t>.</w:t>
      </w:r>
      <w:r>
        <w:t xml:space="preserve"> </w:t>
      </w:r>
      <w:r w:rsidR="006269AB">
        <w:t>Efforts to increase collaboration and make the component parts of the system ‘join up’ better have</w:t>
      </w:r>
      <w:r w:rsidR="0049773A">
        <w:t xml:space="preserve"> </w:t>
      </w:r>
      <w:r w:rsidR="00C05ABF">
        <w:t xml:space="preserve">made </w:t>
      </w:r>
      <w:r w:rsidR="00515C5D">
        <w:t>limited</w:t>
      </w:r>
      <w:r w:rsidR="00C05ABF">
        <w:t xml:space="preserve"> progress at the margin. </w:t>
      </w:r>
    </w:p>
    <w:p w14:paraId="323368C2" w14:textId="65ACBCDD" w:rsidR="00347879" w:rsidRPr="000177FE" w:rsidRDefault="00E46A4C" w:rsidP="00C8615E">
      <w:pPr>
        <w:pStyle w:val="ESHeading2"/>
      </w:pPr>
      <w:r>
        <w:t xml:space="preserve">Policy changes are </w:t>
      </w:r>
      <w:r w:rsidRPr="000177FE">
        <w:t xml:space="preserve">needed </w:t>
      </w:r>
      <w:r>
        <w:t>t</w:t>
      </w:r>
      <w:r w:rsidR="00347879" w:rsidRPr="000177FE">
        <w:t xml:space="preserve">o address persistent </w:t>
      </w:r>
      <w:proofErr w:type="gramStart"/>
      <w:r w:rsidR="00347879" w:rsidRPr="000177FE">
        <w:t>disadvantag</w:t>
      </w:r>
      <w:r w:rsidR="00515C5D">
        <w:t>e</w:t>
      </w:r>
      <w:proofErr w:type="gramEnd"/>
    </w:p>
    <w:p w14:paraId="43914F71" w14:textId="07491C4C" w:rsidR="00EC7D01" w:rsidRDefault="00EC7D01" w:rsidP="00EC7D01">
      <w:pPr>
        <w:pStyle w:val="USBodyText"/>
      </w:pPr>
      <w:r>
        <w:t xml:space="preserve">Decades of failing to take the required steps to address a major policy issue </w:t>
      </w:r>
      <w:r w:rsidR="002C45B4">
        <w:t>affecting thousands of people, many of whom are marginalised, abused and discriminated against, point</w:t>
      </w:r>
      <w:r>
        <w:t xml:space="preserve"> to systemic failures in our political system.</w:t>
      </w:r>
    </w:p>
    <w:p w14:paraId="38A16F9A" w14:textId="1135FF9F" w:rsidR="00EC7D01" w:rsidRDefault="00EC7D01" w:rsidP="00EC7D01">
      <w:pPr>
        <w:pStyle w:val="USBodyText"/>
      </w:pPr>
      <w:r>
        <w:lastRenderedPageBreak/>
        <w:t xml:space="preserve">Having reviewed the </w:t>
      </w:r>
      <w:r w:rsidRPr="00B50F07">
        <w:t xml:space="preserve">theory and evidence surrounding accountability systems, we have concluded that there are flaws in the New Zealand approach </w:t>
      </w:r>
      <w:r w:rsidRPr="0088321F">
        <w:t>to conditioning the exercise of political and administrative power</w:t>
      </w:r>
      <w:r w:rsidRPr="00B50F07">
        <w:t xml:space="preserve"> that </w:t>
      </w:r>
      <w:r w:rsidR="009128B9">
        <w:t>support</w:t>
      </w:r>
      <w:r w:rsidRPr="00B50F07">
        <w:t xml:space="preserve"> a failed approach to addressing persistent disadvantage.</w:t>
      </w:r>
    </w:p>
    <w:p w14:paraId="55CC9FB2" w14:textId="6F6C5535" w:rsidR="001B3FB0" w:rsidRDefault="001B3FB0" w:rsidP="001B3FB0">
      <w:pPr>
        <w:pStyle w:val="ESHeading2"/>
      </w:pPr>
      <w:r>
        <w:t>What is accountability?</w:t>
      </w:r>
    </w:p>
    <w:p w14:paraId="562B45E8" w14:textId="3614B34F" w:rsidR="001B3FB0" w:rsidRDefault="001B3FB0" w:rsidP="001B3FB0">
      <w:pPr>
        <w:pStyle w:val="USBodyText"/>
      </w:pPr>
      <w:r>
        <w:t>The literature contains a clear warning that accountability is an elusive term, with many meanings.</w:t>
      </w:r>
    </w:p>
    <w:p w14:paraId="266C3C3F" w14:textId="49DAE6A6" w:rsidR="003A2071" w:rsidRPr="00B50F07" w:rsidRDefault="003A2071" w:rsidP="003A2071">
      <w:pPr>
        <w:ind w:left="851"/>
      </w:pPr>
      <w:r w:rsidRPr="00B50F07">
        <w:t xml:space="preserve">While </w:t>
      </w:r>
      <w:r w:rsidR="00E63CC6">
        <w:t>it</w:t>
      </w:r>
      <w:r w:rsidRPr="00B50F07">
        <w:t xml:space="preserve"> is diverse, there is sufficient commonality of thinking to allow some first principles for defining an accountability regime to be determined.</w:t>
      </w:r>
    </w:p>
    <w:p w14:paraId="5F61C8A7" w14:textId="4957A1DC" w:rsidR="001B3FB0" w:rsidRPr="00B50F07" w:rsidRDefault="001B3FB0" w:rsidP="007C02C7">
      <w:pPr>
        <w:pStyle w:val="USBodyText"/>
      </w:pPr>
      <w:r>
        <w:t>At its hear</w:t>
      </w:r>
      <w:r w:rsidR="008D2C53">
        <w:t>t</w:t>
      </w:r>
      <w:r>
        <w:t xml:space="preserve">, accountability is </w:t>
      </w:r>
      <w:r w:rsidR="00B50F07" w:rsidRPr="00B50F07">
        <w:t xml:space="preserve">about </w:t>
      </w:r>
      <w:r w:rsidRPr="001A1994">
        <w:t>power</w:t>
      </w:r>
      <w:r w:rsidR="008D2C53" w:rsidRPr="00B50F07">
        <w:t>.</w:t>
      </w:r>
      <w:r w:rsidR="002215F0" w:rsidRPr="00B50F07">
        <w:t xml:space="preserve"> </w:t>
      </w:r>
      <w:r w:rsidR="009D7D93">
        <w:t>This report focuses</w:t>
      </w:r>
      <w:r w:rsidR="002215F0" w:rsidRPr="00B50F07">
        <w:t xml:space="preserve"> on how </w:t>
      </w:r>
      <w:r w:rsidR="00EF3131" w:rsidRPr="00B50F07">
        <w:t xml:space="preserve">New Zealand governments can be encouraged through accountability to better </w:t>
      </w:r>
      <w:r w:rsidR="00EF3131" w:rsidRPr="001A1994">
        <w:t>exercise their powers</w:t>
      </w:r>
      <w:r w:rsidR="00EF3131" w:rsidRPr="00B50F07">
        <w:t xml:space="preserve"> to address persistent disadvantage.</w:t>
      </w:r>
    </w:p>
    <w:p w14:paraId="2A5DA408" w14:textId="05D48825" w:rsidR="007814EE" w:rsidRPr="00B50F07" w:rsidRDefault="007814EE" w:rsidP="00783417">
      <w:pPr>
        <w:ind w:left="851"/>
      </w:pPr>
      <w:r w:rsidRPr="00B50F07">
        <w:t xml:space="preserve">Accountability is a relationship </w:t>
      </w:r>
      <w:r w:rsidRPr="001A1994">
        <w:t>between someone exercising power and another person on whose behalf they are exercising that power.</w:t>
      </w:r>
      <w:r w:rsidR="00F11039" w:rsidRPr="00B50F07">
        <w:t xml:space="preserve"> That relationship takes place within an accountability system.</w:t>
      </w:r>
    </w:p>
    <w:p w14:paraId="75D8905D" w14:textId="2845F933" w:rsidR="007814EE" w:rsidRPr="00B50F07" w:rsidRDefault="00F11039" w:rsidP="00783417">
      <w:pPr>
        <w:ind w:left="851"/>
      </w:pPr>
      <w:r w:rsidRPr="00B50F07">
        <w:t>The system obliges t</w:t>
      </w:r>
      <w:r w:rsidR="000B2568" w:rsidRPr="00B50F07">
        <w:t xml:space="preserve">he person exercising power to explain and justify </w:t>
      </w:r>
      <w:r w:rsidR="00515C5D" w:rsidRPr="00B50F07">
        <w:t xml:space="preserve">their </w:t>
      </w:r>
      <w:r w:rsidR="000B2568" w:rsidRPr="00B50F07">
        <w:t xml:space="preserve">conduct, </w:t>
      </w:r>
      <w:r w:rsidRPr="00B50F07">
        <w:t xml:space="preserve">to </w:t>
      </w:r>
      <w:r w:rsidR="0043553B" w:rsidRPr="00B50F07">
        <w:t>answer questions and receive the judgement of t</w:t>
      </w:r>
      <w:r w:rsidRPr="00B50F07">
        <w:t>h</w:t>
      </w:r>
      <w:r w:rsidR="0043553B" w:rsidRPr="00B50F07">
        <w:t xml:space="preserve">e </w:t>
      </w:r>
      <w:r w:rsidRPr="00B50F07">
        <w:t>person</w:t>
      </w:r>
      <w:r w:rsidR="004C4239" w:rsidRPr="00B50F07">
        <w:t xml:space="preserve"> they are acting for. That judgement may involve consequences</w:t>
      </w:r>
      <w:r w:rsidR="009540E1" w:rsidRPr="00B50F07">
        <w:t xml:space="preserve"> </w:t>
      </w:r>
      <w:r w:rsidR="00965D9B" w:rsidRPr="001A1994">
        <w:t xml:space="preserve">(which can </w:t>
      </w:r>
      <w:r w:rsidR="00B70C77" w:rsidRPr="001A1994">
        <w:t xml:space="preserve">include learning </w:t>
      </w:r>
      <w:r w:rsidR="000160AC" w:rsidRPr="001A1994">
        <w:t xml:space="preserve">as well as </w:t>
      </w:r>
      <w:r w:rsidR="00E63CC6">
        <w:t>‘</w:t>
      </w:r>
      <w:r w:rsidR="007C02C7" w:rsidRPr="001A1994">
        <w:t>punishment</w:t>
      </w:r>
      <w:r w:rsidR="00E63CC6">
        <w:t>’</w:t>
      </w:r>
      <w:r w:rsidR="00965D9B" w:rsidRPr="001A1994">
        <w:t>)</w:t>
      </w:r>
      <w:r w:rsidR="003E75C3">
        <w:t>.</w:t>
      </w:r>
      <w:r w:rsidR="00965D9B" w:rsidRPr="001A1994">
        <w:t xml:space="preserve"> </w:t>
      </w:r>
    </w:p>
    <w:p w14:paraId="03BDBB77" w14:textId="6117C8EB" w:rsidR="00C35D00" w:rsidRPr="00F543C1" w:rsidRDefault="00086CE0" w:rsidP="00C35D00">
      <w:pPr>
        <w:ind w:left="851"/>
      </w:pPr>
      <w:r w:rsidRPr="00B50F07">
        <w:t xml:space="preserve">In </w:t>
      </w:r>
      <w:r w:rsidR="007C02C7" w:rsidRPr="00B50F07">
        <w:t>public administration</w:t>
      </w:r>
      <w:r w:rsidRPr="00B50F07">
        <w:t>,</w:t>
      </w:r>
      <w:r w:rsidR="00C35D00" w:rsidRPr="00B50F07">
        <w:t xml:space="preserve"> accountability has three dimensions</w:t>
      </w:r>
      <w:r w:rsidR="00570D12" w:rsidRPr="00B50F07">
        <w:t>.</w:t>
      </w:r>
    </w:p>
    <w:p w14:paraId="20CD77A2" w14:textId="4BC0E801" w:rsidR="00C35D00" w:rsidRPr="00F543C1" w:rsidRDefault="004A2039" w:rsidP="007C02C7">
      <w:pPr>
        <w:pStyle w:val="USBodyText"/>
      </w:pPr>
      <w:r>
        <w:t xml:space="preserve">A </w:t>
      </w:r>
      <w:r w:rsidRPr="00F543C1">
        <w:t>‘democratic’</w:t>
      </w:r>
      <w:r>
        <w:t xml:space="preserve"> </w:t>
      </w:r>
      <w:r w:rsidR="00F64897">
        <w:t xml:space="preserve">dimension </w:t>
      </w:r>
      <w:r>
        <w:t xml:space="preserve">is </w:t>
      </w:r>
      <w:r w:rsidR="000400CA">
        <w:t xml:space="preserve">focused on </w:t>
      </w:r>
      <w:r w:rsidR="00C35D00" w:rsidRPr="00F543C1">
        <w:t xml:space="preserve">ensuring that individuals and organisations are held responsible for their actions and </w:t>
      </w:r>
      <w:r w:rsidR="00570D12" w:rsidRPr="00F543C1">
        <w:t>decisions and</w:t>
      </w:r>
      <w:r w:rsidR="00C35D00" w:rsidRPr="00F543C1">
        <w:t xml:space="preserve"> are not able to avoid or evade responsibility for any negative outcomes</w:t>
      </w:r>
      <w:r w:rsidR="00570D12">
        <w:t xml:space="preserve">. </w:t>
      </w:r>
      <w:r w:rsidR="008C080B">
        <w:t>Accountability system</w:t>
      </w:r>
      <w:r w:rsidR="00515C5D">
        <w:t>s</w:t>
      </w:r>
      <w:r w:rsidR="008C080B">
        <w:t xml:space="preserve"> put into effect a </w:t>
      </w:r>
      <w:r w:rsidR="008C080B" w:rsidRPr="00F543C1">
        <w:t>‘democratic chain of delegation’</w:t>
      </w:r>
      <w:r w:rsidR="008C080B">
        <w:t xml:space="preserve"> from vote</w:t>
      </w:r>
      <w:r w:rsidR="00515C5D">
        <w:t>r</w:t>
      </w:r>
      <w:r w:rsidR="008C080B">
        <w:t>s, to parliament, Ministers and then officials</w:t>
      </w:r>
      <w:r w:rsidR="00515C5D">
        <w:t xml:space="preserve"> and those who deliver assistance and provide services</w:t>
      </w:r>
      <w:r w:rsidR="008C080B">
        <w:t>.</w:t>
      </w:r>
      <w:r w:rsidR="00C35D00" w:rsidRPr="00F543C1">
        <w:t xml:space="preserve"> </w:t>
      </w:r>
    </w:p>
    <w:p w14:paraId="05734C8F" w14:textId="17C616E4" w:rsidR="00C35D00" w:rsidRPr="00F543C1" w:rsidRDefault="000400CA" w:rsidP="007C02C7">
      <w:pPr>
        <w:pStyle w:val="USBodyText"/>
      </w:pPr>
      <w:r>
        <w:t>‘</w:t>
      </w:r>
      <w:r w:rsidRPr="000400CA">
        <w:t>Constitutional’</w:t>
      </w:r>
      <w:r>
        <w:t xml:space="preserve"> accountability </w:t>
      </w:r>
      <w:r w:rsidRPr="00F543C1">
        <w:t>promot</w:t>
      </w:r>
      <w:r w:rsidR="008C080B">
        <w:t>es</w:t>
      </w:r>
      <w:r w:rsidRPr="00F543C1">
        <w:t xml:space="preserve"> </w:t>
      </w:r>
      <w:r w:rsidR="00C35D00" w:rsidRPr="00F543C1">
        <w:t xml:space="preserve">transparency, </w:t>
      </w:r>
      <w:proofErr w:type="gramStart"/>
      <w:r w:rsidR="00C35D00" w:rsidRPr="00F543C1">
        <w:t>honesty</w:t>
      </w:r>
      <w:proofErr w:type="gramEnd"/>
      <w:r w:rsidR="00C35D00" w:rsidRPr="00F543C1">
        <w:t xml:space="preserve"> and ethical behaviour</w:t>
      </w:r>
      <w:r w:rsidR="008C080B">
        <w:t xml:space="preserve">. It </w:t>
      </w:r>
      <w:r w:rsidR="008C080B" w:rsidRPr="00F543C1">
        <w:t xml:space="preserve">is essential that accountability arrangements prevent or </w:t>
      </w:r>
      <w:r w:rsidR="008C080B">
        <w:t xml:space="preserve">reveal </w:t>
      </w:r>
      <w:r w:rsidR="008C080B" w:rsidRPr="00F543C1">
        <w:t>abuses of public authority</w:t>
      </w:r>
      <w:r w:rsidR="008C080B">
        <w:t>.</w:t>
      </w:r>
    </w:p>
    <w:p w14:paraId="334CC119" w14:textId="167ACC67" w:rsidR="00C35D00" w:rsidRDefault="00570D12" w:rsidP="007C02C7">
      <w:pPr>
        <w:pStyle w:val="USBodyText"/>
      </w:pPr>
      <w:r>
        <w:t>A ‘lea</w:t>
      </w:r>
      <w:r w:rsidR="005D4F92">
        <w:t>r</w:t>
      </w:r>
      <w:r>
        <w:t>ning’ dimension</w:t>
      </w:r>
      <w:r w:rsidR="00515C5D">
        <w:t xml:space="preserve"> supports ongoing</w:t>
      </w:r>
      <w:r>
        <w:t xml:space="preserve"> improvement </w:t>
      </w:r>
      <w:r w:rsidR="00C35D00" w:rsidRPr="00F543C1">
        <w:t>at a system, organisation, and individual level</w:t>
      </w:r>
      <w:r w:rsidR="008C080B">
        <w:t xml:space="preserve"> and is </w:t>
      </w:r>
      <w:r w:rsidR="008C080B" w:rsidRPr="008C080B">
        <w:t>a</w:t>
      </w:r>
      <w:r w:rsidR="00515C5D">
        <w:t xml:space="preserve"> key</w:t>
      </w:r>
      <w:r w:rsidR="008C080B" w:rsidRPr="008C080B">
        <w:t xml:space="preserve"> tool to </w:t>
      </w:r>
      <w:r w:rsidR="00515C5D">
        <w:t>ensure</w:t>
      </w:r>
      <w:r w:rsidR="008C080B" w:rsidRPr="008C080B">
        <w:t xml:space="preserve"> governments deliver on their promises</w:t>
      </w:r>
      <w:r w:rsidR="00515C5D">
        <w:t>.</w:t>
      </w:r>
    </w:p>
    <w:p w14:paraId="21BC4CE8" w14:textId="53501020" w:rsidR="001B3FB0" w:rsidRDefault="005D297E" w:rsidP="007C02C7">
      <w:pPr>
        <w:pStyle w:val="ESHeading2"/>
      </w:pPr>
      <w:r>
        <w:t>How does the New Zealand accountability system work?</w:t>
      </w:r>
    </w:p>
    <w:p w14:paraId="78202A73" w14:textId="50214F9D" w:rsidR="001B3FB0" w:rsidRPr="000177FE" w:rsidRDefault="001B3FB0" w:rsidP="001B3FB0">
      <w:pPr>
        <w:ind w:left="851"/>
      </w:pPr>
      <w:r w:rsidRPr="000177FE">
        <w:t xml:space="preserve">New Zealand’s formal public accountability system is based on a British </w:t>
      </w:r>
      <w:r w:rsidR="00AC0212">
        <w:t>parliamentary accountability model with</w:t>
      </w:r>
      <w:r w:rsidRPr="000177FE">
        <w:t xml:space="preserve"> the respective roles of Parliament and the Crown in financing government programmes as its cornerstones. </w:t>
      </w:r>
    </w:p>
    <w:p w14:paraId="05097BE3" w14:textId="31E8DD0F" w:rsidR="001B3FB0" w:rsidRPr="009C117A" w:rsidRDefault="001B3FB0" w:rsidP="001B3FB0">
      <w:pPr>
        <w:ind w:left="851"/>
      </w:pPr>
      <w:r w:rsidRPr="000177FE">
        <w:t xml:space="preserve">There is currently a direct, linear, vertical accountability structure that starts with officials and goes through </w:t>
      </w:r>
      <w:r w:rsidR="004D47C0">
        <w:t xml:space="preserve">departments to </w:t>
      </w:r>
      <w:r w:rsidR="001C67F6">
        <w:t>M</w:t>
      </w:r>
      <w:r w:rsidR="001C67F6" w:rsidRPr="000177FE">
        <w:t>inisters</w:t>
      </w:r>
      <w:r w:rsidRPr="000177FE">
        <w:t xml:space="preserve">, to </w:t>
      </w:r>
      <w:r w:rsidR="001C67F6">
        <w:t>P</w:t>
      </w:r>
      <w:r w:rsidR="001C67F6" w:rsidRPr="000177FE">
        <w:t>arliament</w:t>
      </w:r>
      <w:r w:rsidRPr="000177FE">
        <w:t xml:space="preserve">, and then to the public. Where </w:t>
      </w:r>
      <w:r w:rsidR="009235A3">
        <w:t>the Crown contracts social assistance services</w:t>
      </w:r>
      <w:r w:rsidRPr="000177FE">
        <w:t xml:space="preserve">, </w:t>
      </w:r>
      <w:r w:rsidR="00AD0DD2">
        <w:t xml:space="preserve">government agencies </w:t>
      </w:r>
      <w:r w:rsidRPr="000177FE">
        <w:t>and local government currently impose the accountabilities</w:t>
      </w:r>
      <w:r w:rsidR="00261D95">
        <w:t xml:space="preserve"> to which</w:t>
      </w:r>
      <w:r w:rsidRPr="000177FE">
        <w:t xml:space="preserve"> they are subject to non-government providers via complex, </w:t>
      </w:r>
      <w:r w:rsidRPr="009C117A">
        <w:t xml:space="preserve">transactional contracts. </w:t>
      </w:r>
    </w:p>
    <w:p w14:paraId="57E25B8D" w14:textId="2C396950" w:rsidR="001B3FB0" w:rsidRPr="009C117A" w:rsidRDefault="001B3FB0" w:rsidP="001B3FB0">
      <w:pPr>
        <w:ind w:left="851"/>
      </w:pPr>
      <w:r w:rsidRPr="009C117A">
        <w:t xml:space="preserve">These contracts require extensive reporting of how inputs are used and what outputs are produced. </w:t>
      </w:r>
      <w:r w:rsidRPr="00FB7DD0">
        <w:t>There is significantly less emphasis on what outcomes are to be delivered</w:t>
      </w:r>
      <w:r w:rsidRPr="009C117A">
        <w:t xml:space="preserve"> and limited focus on learning and improving, particularly at the systems level.</w:t>
      </w:r>
    </w:p>
    <w:p w14:paraId="21DF10E2" w14:textId="6AB570AB" w:rsidR="001B3FB0" w:rsidRPr="000177FE" w:rsidRDefault="001B3FB0" w:rsidP="001B3FB0">
      <w:pPr>
        <w:ind w:left="851"/>
      </w:pPr>
      <w:r w:rsidRPr="00697055">
        <w:lastRenderedPageBreak/>
        <w:t xml:space="preserve">Where </w:t>
      </w:r>
      <w:r w:rsidR="006A1D56">
        <w:t>expected results</w:t>
      </w:r>
      <w:r w:rsidR="006A1D56" w:rsidRPr="00697055">
        <w:t xml:space="preserve"> </w:t>
      </w:r>
      <w:r w:rsidRPr="00697055">
        <w:t xml:space="preserve">are specified, </w:t>
      </w:r>
      <w:r>
        <w:t>t</w:t>
      </w:r>
      <w:r w:rsidRPr="00697055">
        <w:t xml:space="preserve">here are few real consequences to failing to meet them, and they do not create a feedback loop that embeds ongoing improvements through testing, </w:t>
      </w:r>
      <w:proofErr w:type="gramStart"/>
      <w:r w:rsidRPr="00697055">
        <w:t>learning</w:t>
      </w:r>
      <w:proofErr w:type="gramEnd"/>
      <w:r w:rsidRPr="00697055">
        <w:t xml:space="preserve"> and adapting.</w:t>
      </w:r>
    </w:p>
    <w:p w14:paraId="0D726192" w14:textId="75B8E06E" w:rsidR="008012D5" w:rsidRPr="000177FE" w:rsidRDefault="008012D5" w:rsidP="008012D5">
      <w:pPr>
        <w:pStyle w:val="ESHeading2"/>
      </w:pPr>
      <w:r w:rsidRPr="000177FE">
        <w:t xml:space="preserve">New Zealand’s current accountability system </w:t>
      </w:r>
      <w:r>
        <w:t xml:space="preserve">is not fit for </w:t>
      </w:r>
      <w:proofErr w:type="gramStart"/>
      <w:r>
        <w:t>purpose</w:t>
      </w:r>
      <w:proofErr w:type="gramEnd"/>
    </w:p>
    <w:p w14:paraId="0C563432" w14:textId="7AA62512" w:rsidR="00881BE6" w:rsidRDefault="008012D5" w:rsidP="00881BE6">
      <w:pPr>
        <w:ind w:left="851"/>
      </w:pPr>
      <w:r>
        <w:t>New Zealand’s</w:t>
      </w:r>
      <w:r w:rsidRPr="000177FE">
        <w:t xml:space="preserve"> current system of public accountability </w:t>
      </w:r>
      <w:r w:rsidR="00A40353">
        <w:t xml:space="preserve">operates within a wider </w:t>
      </w:r>
      <w:r>
        <w:t xml:space="preserve">constitutional </w:t>
      </w:r>
      <w:r w:rsidR="00515C5D">
        <w:t xml:space="preserve">context </w:t>
      </w:r>
      <w:r w:rsidR="00A40353">
        <w:t xml:space="preserve">that lacks many of the </w:t>
      </w:r>
      <w:r>
        <w:t>protections present in other democracies</w:t>
      </w:r>
      <w:r w:rsidR="00A40353">
        <w:t xml:space="preserve">: we have a single level of </w:t>
      </w:r>
      <w:r w:rsidR="008723F6">
        <w:t xml:space="preserve">a </w:t>
      </w:r>
      <w:r w:rsidR="00A40353">
        <w:t xml:space="preserve">sovereign government, elected to a single house of parliament, which is dominated by </w:t>
      </w:r>
      <w:r w:rsidR="00D94183">
        <w:t>Ministers</w:t>
      </w:r>
      <w:r w:rsidR="00A40353">
        <w:t xml:space="preserve">, who operate </w:t>
      </w:r>
      <w:r w:rsidR="004B2F02">
        <w:t>within an un</w:t>
      </w:r>
      <w:r w:rsidR="00A40353">
        <w:t>written</w:t>
      </w:r>
      <w:r w:rsidR="004B2F02">
        <w:t>, and thus very flexible</w:t>
      </w:r>
      <w:r w:rsidR="00A40353">
        <w:t xml:space="preserve"> </w:t>
      </w:r>
      <w:r w:rsidR="00881BE6">
        <w:t xml:space="preserve">constitution </w:t>
      </w:r>
      <w:r w:rsidR="004B2F02">
        <w:t xml:space="preserve">that </w:t>
      </w:r>
      <w:r w:rsidR="00A40353">
        <w:t>guarantee</w:t>
      </w:r>
      <w:r w:rsidR="004B2F02">
        <w:t xml:space="preserve">s few </w:t>
      </w:r>
      <w:r w:rsidR="00A40353">
        <w:t>civil or political rights</w:t>
      </w:r>
      <w:r w:rsidR="008517F0">
        <w:t>.</w:t>
      </w:r>
      <w:r w:rsidR="00881BE6">
        <w:t xml:space="preserve"> </w:t>
      </w:r>
    </w:p>
    <w:p w14:paraId="2736732A" w14:textId="038801E5" w:rsidR="00B53A83" w:rsidRDefault="00717F3B" w:rsidP="00CB6BA6">
      <w:pPr>
        <w:ind w:left="851"/>
      </w:pPr>
      <w:r>
        <w:t>This system</w:t>
      </w:r>
      <w:r w:rsidR="00CB6BA6">
        <w:t xml:space="preserve"> largely ignores </w:t>
      </w:r>
      <w:proofErr w:type="spellStart"/>
      <w:r w:rsidR="00CB6BA6">
        <w:t>Te</w:t>
      </w:r>
      <w:proofErr w:type="spellEnd"/>
      <w:r w:rsidR="00CB6BA6">
        <w:t xml:space="preserve"> </w:t>
      </w:r>
      <w:proofErr w:type="spellStart"/>
      <w:r w:rsidR="00CB6BA6">
        <w:t>Tiriti</w:t>
      </w:r>
      <w:proofErr w:type="spellEnd"/>
      <w:r w:rsidR="00CB6BA6">
        <w:t xml:space="preserve"> o Waitangi. As the founding constitutional document of Aotearoa New Zealand, </w:t>
      </w:r>
      <w:proofErr w:type="spellStart"/>
      <w:r w:rsidR="00CB6BA6">
        <w:t>Te</w:t>
      </w:r>
      <w:proofErr w:type="spellEnd"/>
      <w:r w:rsidR="00CB6BA6">
        <w:t xml:space="preserve"> </w:t>
      </w:r>
      <w:proofErr w:type="spellStart"/>
      <w:r w:rsidR="00CB6BA6">
        <w:t>Tiriti</w:t>
      </w:r>
      <w:proofErr w:type="spellEnd"/>
      <w:r w:rsidR="00CB6BA6">
        <w:t xml:space="preserve"> o Waitangi should feature prominently in our formal accountability system. Instead, it is largely absent. </w:t>
      </w:r>
      <w:r w:rsidR="008517F0">
        <w:t>T</w:t>
      </w:r>
      <w:r w:rsidR="00CB6BA6">
        <w:t>his is a fundamental flaw with wide implications.</w:t>
      </w:r>
    </w:p>
    <w:p w14:paraId="6FA18C54" w14:textId="77777777" w:rsidR="00B53A83" w:rsidRDefault="00B53A83" w:rsidP="007C02C7">
      <w:pPr>
        <w:pStyle w:val="USBodyText"/>
      </w:pPr>
      <w:proofErr w:type="spellStart"/>
      <w:r>
        <w:t>Te</w:t>
      </w:r>
      <w:proofErr w:type="spellEnd"/>
      <w:r>
        <w:t xml:space="preserve"> Ao Māori values emphasise taking a broader and longer-term view of accountability than </w:t>
      </w:r>
      <w:proofErr w:type="spellStart"/>
      <w:r>
        <w:t>Te</w:t>
      </w:r>
      <w:proofErr w:type="spellEnd"/>
      <w:r>
        <w:t xml:space="preserve"> Ao Pākehā. </w:t>
      </w:r>
      <w:proofErr w:type="gramStart"/>
      <w:r>
        <w:t>In particular, accountability</w:t>
      </w:r>
      <w:proofErr w:type="gramEnd"/>
      <w:r>
        <w:t xml:space="preserve"> in </w:t>
      </w:r>
      <w:proofErr w:type="spellStart"/>
      <w:r>
        <w:t>Te</w:t>
      </w:r>
      <w:proofErr w:type="spellEnd"/>
      <w:r>
        <w:t xml:space="preserve"> Ao Māori includes accountability to unborn generations (‘being a good ancestor’) and the environment. </w:t>
      </w:r>
    </w:p>
    <w:p w14:paraId="1B3BCD6D" w14:textId="77777777" w:rsidR="00B53A83" w:rsidRDefault="00B53A83" w:rsidP="007C02C7">
      <w:pPr>
        <w:pStyle w:val="USBodyText"/>
      </w:pPr>
      <w:r>
        <w:t>The challenge in a bicultural context is how to navigate these fundamental differences in values.</w:t>
      </w:r>
    </w:p>
    <w:p w14:paraId="430D58BC" w14:textId="0EAA18B7" w:rsidR="00B53A83" w:rsidRDefault="00B53A83" w:rsidP="007C02C7">
      <w:pPr>
        <w:pStyle w:val="USBodyText"/>
      </w:pPr>
      <w:r>
        <w:t>Tikanga Māori has much to teach us about building and maintaining trusted relationships and strengthening accountability through sincere engagement and discussion.</w:t>
      </w:r>
    </w:p>
    <w:p w14:paraId="37AB4DDB" w14:textId="49BDBC9B" w:rsidR="00CB6BA6" w:rsidRDefault="00B53A83" w:rsidP="00B43EE0">
      <w:pPr>
        <w:pStyle w:val="USBodyText"/>
      </w:pPr>
      <w:r>
        <w:t xml:space="preserve">But the current state of the partnership between the partners to </w:t>
      </w:r>
      <w:proofErr w:type="spellStart"/>
      <w:r w:rsidR="00E155D4">
        <w:t>Te</w:t>
      </w:r>
      <w:proofErr w:type="spellEnd"/>
      <w:r w:rsidR="00E155D4">
        <w:t xml:space="preserve"> </w:t>
      </w:r>
      <w:proofErr w:type="spellStart"/>
      <w:r>
        <w:t>Tiriti</w:t>
      </w:r>
      <w:proofErr w:type="spellEnd"/>
      <w:r>
        <w:t xml:space="preserve"> o Waitangi does not yet provide a foundation upon which agreed improvements in accountability could readily be built. We hope that over time, the Crown will honour its obligations under </w:t>
      </w:r>
      <w:proofErr w:type="spellStart"/>
      <w:r>
        <w:t>Te</w:t>
      </w:r>
      <w:proofErr w:type="spellEnd"/>
      <w:r>
        <w:t xml:space="preserve"> </w:t>
      </w:r>
      <w:proofErr w:type="spellStart"/>
      <w:r>
        <w:t>Tiriti</w:t>
      </w:r>
      <w:proofErr w:type="spellEnd"/>
      <w:r>
        <w:t xml:space="preserve">, provide redress for past breaches and act as a genuine partner. As this occurs, we expect increasing dialogue and debate about </w:t>
      </w:r>
      <w:r w:rsidR="00B43EE0" w:rsidRPr="00B43EE0">
        <w:t>the common elements and differences in the partners’ respective views on accountability will shape future improvements.</w:t>
      </w:r>
      <w:r w:rsidR="00B43EE0">
        <w:t xml:space="preserve"> In the meantime, </w:t>
      </w:r>
      <w:r w:rsidR="00AE7EDC" w:rsidRPr="000177FE">
        <w:t>addressing persistent disadvantage will need to incorporate additional</w:t>
      </w:r>
      <w:r w:rsidR="00A8289A">
        <w:t>, non-constitutional</w:t>
      </w:r>
      <w:r w:rsidR="00AE7EDC" w:rsidRPr="000177FE">
        <w:t xml:space="preserve"> elements </w:t>
      </w:r>
      <w:r w:rsidR="00B43EE0">
        <w:t xml:space="preserve">into our </w:t>
      </w:r>
      <w:r w:rsidR="00262CA1">
        <w:t xml:space="preserve">accountability system </w:t>
      </w:r>
      <w:r w:rsidR="00AE7EDC" w:rsidRPr="000177FE">
        <w:t xml:space="preserve">to ensure that Māori can exercise </w:t>
      </w:r>
      <w:proofErr w:type="spellStart"/>
      <w:r w:rsidR="00AE7EDC" w:rsidRPr="000177FE">
        <w:t>tino</w:t>
      </w:r>
      <w:proofErr w:type="spellEnd"/>
      <w:r w:rsidR="00AE7EDC" w:rsidRPr="000177FE">
        <w:t xml:space="preserve"> rangatiratanga and mana </w:t>
      </w:r>
      <w:proofErr w:type="spellStart"/>
      <w:r w:rsidR="00AE7EDC" w:rsidRPr="000177FE">
        <w:t>motuhake</w:t>
      </w:r>
      <w:proofErr w:type="spellEnd"/>
      <w:r w:rsidR="00AE7EDC" w:rsidRPr="000177FE">
        <w:t>.</w:t>
      </w:r>
    </w:p>
    <w:p w14:paraId="7F54BCD5" w14:textId="4E0F9B6F" w:rsidR="00615C19" w:rsidRPr="007C02C7" w:rsidRDefault="00615C19" w:rsidP="007C02C7">
      <w:pPr>
        <w:pStyle w:val="ESHeading2"/>
      </w:pPr>
      <w:r>
        <w:t>It does not support effective responses to</w:t>
      </w:r>
      <w:r w:rsidRPr="007C02C7">
        <w:t xml:space="preserve"> persistent disadvantag</w:t>
      </w:r>
      <w:r>
        <w:t>e</w:t>
      </w:r>
      <w:r w:rsidR="008938C1">
        <w:t>…</w:t>
      </w:r>
    </w:p>
    <w:p w14:paraId="794CD886" w14:textId="1A22CCD8" w:rsidR="008012D5" w:rsidRDefault="008517F0" w:rsidP="008012D5">
      <w:pPr>
        <w:pStyle w:val="USBodyText"/>
      </w:pPr>
      <w:r>
        <w:t xml:space="preserve">Overall, </w:t>
      </w:r>
      <w:r w:rsidR="00D853F1">
        <w:t xml:space="preserve">the accountability </w:t>
      </w:r>
      <w:r>
        <w:t xml:space="preserve">system </w:t>
      </w:r>
      <w:r w:rsidR="00D853F1">
        <w:t xml:space="preserve">in Aotearoa New Zealand </w:t>
      </w:r>
      <w:r w:rsidR="008012D5" w:rsidRPr="000177FE">
        <w:t xml:space="preserve">is </w:t>
      </w:r>
      <w:proofErr w:type="gramStart"/>
      <w:r w:rsidR="008012D5" w:rsidRPr="000177FE">
        <w:t>backward</w:t>
      </w:r>
      <w:r w:rsidR="008012D5">
        <w:t>s</w:t>
      </w:r>
      <w:r w:rsidR="008012D5" w:rsidRPr="000177FE">
        <w:t>-looking</w:t>
      </w:r>
      <w:proofErr w:type="gramEnd"/>
      <w:r w:rsidR="008012D5" w:rsidRPr="000177FE">
        <w:t xml:space="preserve">, focused on shifting blame, stifles innovation and confuses voluminous reporting for effective holding to account. </w:t>
      </w:r>
      <w:r w:rsidR="008012D5">
        <w:t xml:space="preserve">In short, it fails to ensure that the assistance provided to people experiencing persistent disadvantage helps them to live better lives. </w:t>
      </w:r>
      <w:r w:rsidR="008012D5" w:rsidRPr="00D50FF9">
        <w:t>Some assistance is actively harmful; some gets in the way; some is wasteful, and some</w:t>
      </w:r>
      <w:r w:rsidR="008012D5">
        <w:t xml:space="preserve"> assistance</w:t>
      </w:r>
      <w:r w:rsidR="008012D5" w:rsidRPr="00D50FF9">
        <w:t xml:space="preserve"> that needs to exist does not</w:t>
      </w:r>
      <w:r w:rsidR="008012D5">
        <w:t>.</w:t>
      </w:r>
    </w:p>
    <w:p w14:paraId="70562BF7" w14:textId="39491A6F" w:rsidR="00CB6BA6" w:rsidRDefault="00CB6BA6" w:rsidP="00CB6BA6">
      <w:pPr>
        <w:ind w:left="851"/>
      </w:pPr>
      <w:r w:rsidRPr="000177FE">
        <w:t xml:space="preserve">Even if the accountability system discloses that intended </w:t>
      </w:r>
      <w:r w:rsidR="002D680E">
        <w:t>results</w:t>
      </w:r>
      <w:r w:rsidR="002D680E" w:rsidRPr="000177FE">
        <w:t xml:space="preserve"> </w:t>
      </w:r>
      <w:r w:rsidRPr="000177FE">
        <w:t xml:space="preserve">have not been achieved, those who should be held to account can always find someone else to blame: </w:t>
      </w:r>
      <w:r w:rsidR="001C77DA">
        <w:t>M</w:t>
      </w:r>
      <w:r w:rsidR="001C77DA" w:rsidRPr="000177FE">
        <w:t xml:space="preserve">inisters </w:t>
      </w:r>
      <w:r w:rsidRPr="000177FE">
        <w:t xml:space="preserve">can claim they are not responsible for the acts of ‘operationally independent’ </w:t>
      </w:r>
      <w:r w:rsidR="00AD0DD2">
        <w:t>government agencies</w:t>
      </w:r>
      <w:r w:rsidR="00AD0DD2" w:rsidRPr="000177FE">
        <w:t xml:space="preserve"> </w:t>
      </w:r>
      <w:r w:rsidRPr="000177FE">
        <w:t xml:space="preserve">or were poorly advised; </w:t>
      </w:r>
      <w:r w:rsidR="00AD0DD2">
        <w:t>agencies</w:t>
      </w:r>
      <w:r w:rsidR="00AD0DD2" w:rsidRPr="000177FE">
        <w:t xml:space="preserve"> </w:t>
      </w:r>
      <w:r w:rsidRPr="000177FE">
        <w:t>can claim that they are underfunded or that their advice was not followed; front</w:t>
      </w:r>
      <w:r>
        <w:t>-</w:t>
      </w:r>
      <w:r w:rsidRPr="000177FE">
        <w:t xml:space="preserve">line staff can claim that they were following procedures set by head office; </w:t>
      </w:r>
      <w:r w:rsidR="00F06B10">
        <w:t>n</w:t>
      </w:r>
      <w:r w:rsidR="00C37F83">
        <w:t xml:space="preserve">on-government </w:t>
      </w:r>
      <w:r w:rsidR="00C2311F">
        <w:t>organisation</w:t>
      </w:r>
      <w:r w:rsidR="00E07363">
        <w:t>s</w:t>
      </w:r>
      <w:r w:rsidR="00C2311F">
        <w:t xml:space="preserve"> (N</w:t>
      </w:r>
      <w:r w:rsidRPr="000177FE">
        <w:t>GO</w:t>
      </w:r>
      <w:r w:rsidR="00E07363">
        <w:t>s</w:t>
      </w:r>
      <w:r w:rsidR="00C2311F">
        <w:t xml:space="preserve">) </w:t>
      </w:r>
      <w:r w:rsidRPr="000177FE">
        <w:t xml:space="preserve">can claim too much paperwork </w:t>
      </w:r>
      <w:r w:rsidRPr="000177FE">
        <w:lastRenderedPageBreak/>
        <w:t xml:space="preserve">diverts resources from </w:t>
      </w:r>
      <w:r w:rsidR="00F06B10">
        <w:t xml:space="preserve">providing </w:t>
      </w:r>
      <w:r w:rsidR="004C499E">
        <w:t>assist</w:t>
      </w:r>
      <w:r w:rsidR="00F06B10">
        <w:t>ance</w:t>
      </w:r>
      <w:r w:rsidRPr="000177FE">
        <w:t>; local government can cite funding systems that do not support providing social services.</w:t>
      </w:r>
    </w:p>
    <w:p w14:paraId="79E84CE4" w14:textId="1ABE267A" w:rsidR="00A806D1" w:rsidRPr="000177FE" w:rsidRDefault="00A806D1" w:rsidP="00A806D1">
      <w:pPr>
        <w:ind w:left="851"/>
      </w:pPr>
      <w:r w:rsidRPr="000177FE">
        <w:t xml:space="preserve">What can people </w:t>
      </w:r>
      <w:r w:rsidR="004E624B">
        <w:t xml:space="preserve">who are </w:t>
      </w:r>
      <w:r w:rsidRPr="000177FE">
        <w:t>experiencing persistent disadvantage claim? Where is their voice?</w:t>
      </w:r>
    </w:p>
    <w:p w14:paraId="5FDAAF5A" w14:textId="77777777" w:rsidR="00A806D1" w:rsidRDefault="00A806D1" w:rsidP="00A806D1">
      <w:pPr>
        <w:ind w:left="851"/>
      </w:pPr>
      <w:r w:rsidRPr="000177FE">
        <w:t xml:space="preserve">All too frequently, it is absent. </w:t>
      </w:r>
    </w:p>
    <w:p w14:paraId="010A745A" w14:textId="09B2104E" w:rsidR="00A806D1" w:rsidRDefault="00A806D1" w:rsidP="00A806D1">
      <w:pPr>
        <w:ind w:left="851"/>
      </w:pPr>
      <w:r w:rsidRPr="000177FE">
        <w:t xml:space="preserve">These deficiencies </w:t>
      </w:r>
      <w:r>
        <w:t>mean other aspects of our</w:t>
      </w:r>
      <w:r w:rsidRPr="000177FE">
        <w:t xml:space="preserve"> accountability system</w:t>
      </w:r>
      <w:r>
        <w:t xml:space="preserve"> </w:t>
      </w:r>
      <w:r w:rsidR="00F32385">
        <w:t>must</w:t>
      </w:r>
      <w:r>
        <w:t xml:space="preserve"> carry more weight. </w:t>
      </w:r>
      <w:r w:rsidRPr="000177FE">
        <w:t>They also suggest that there would be value in longer-term consideration of additional constitutional protections</w:t>
      </w:r>
      <w:r w:rsidR="00515C5D">
        <w:t>. The</w:t>
      </w:r>
      <w:r>
        <w:t xml:space="preserve"> </w:t>
      </w:r>
      <w:r w:rsidR="0011385E">
        <w:t xml:space="preserve">Auditor General has recommended a </w:t>
      </w:r>
      <w:r>
        <w:t xml:space="preserve">review of </w:t>
      </w:r>
      <w:r w:rsidR="00B3162B">
        <w:t>accountability</w:t>
      </w:r>
      <w:r w:rsidR="00DC45E6">
        <w:t xml:space="preserve"> arrangements: this is the appropriate forum for discussion of these issues. </w:t>
      </w:r>
      <w:r w:rsidR="00B3162B">
        <w:t xml:space="preserve"> </w:t>
      </w:r>
    </w:p>
    <w:p w14:paraId="17F67461" w14:textId="0DEDB7C9" w:rsidR="008012D5" w:rsidRPr="000177FE" w:rsidRDefault="008938C1" w:rsidP="008012D5">
      <w:pPr>
        <w:pStyle w:val="ESHeading2"/>
      </w:pPr>
      <w:r w:rsidRPr="00DD5548">
        <w:t>…a</w:t>
      </w:r>
      <w:r w:rsidR="00C42079" w:rsidRPr="00DD5548">
        <w:t xml:space="preserve">nd has led to widespread </w:t>
      </w:r>
      <w:r w:rsidRPr="00DD5548">
        <w:t>‘</w:t>
      </w:r>
      <w:r w:rsidR="008012D5" w:rsidRPr="008938C1">
        <w:t xml:space="preserve">pseudo </w:t>
      </w:r>
      <w:proofErr w:type="gramStart"/>
      <w:r w:rsidR="008012D5" w:rsidRPr="008938C1">
        <w:t>accountability</w:t>
      </w:r>
      <w:r w:rsidRPr="008938C1">
        <w:t>’</w:t>
      </w:r>
      <w:proofErr w:type="gramEnd"/>
    </w:p>
    <w:p w14:paraId="64DB6A74" w14:textId="015FE709" w:rsidR="008012D5" w:rsidRDefault="005E6182" w:rsidP="008012D5">
      <w:pPr>
        <w:ind w:left="851"/>
      </w:pPr>
      <w:r>
        <w:t xml:space="preserve">Combined, </w:t>
      </w:r>
      <w:r w:rsidR="00BF6FFC">
        <w:t>the result</w:t>
      </w:r>
      <w:r w:rsidR="008012D5">
        <w:t xml:space="preserve"> is a system of </w:t>
      </w:r>
      <w:r w:rsidR="008938C1">
        <w:t xml:space="preserve">what we term </w:t>
      </w:r>
      <w:r w:rsidR="008012D5">
        <w:t xml:space="preserve">pseudo accountability. </w:t>
      </w:r>
    </w:p>
    <w:p w14:paraId="6465A1EE" w14:textId="7E317D2D" w:rsidR="003959E4" w:rsidRDefault="008012D5" w:rsidP="00CF3BF1">
      <w:pPr>
        <w:ind w:left="851"/>
      </w:pPr>
      <w:r>
        <w:t xml:space="preserve">While much effort is expended setting </w:t>
      </w:r>
      <w:r w:rsidR="00EB1C3D">
        <w:t xml:space="preserve">up and operating </w:t>
      </w:r>
      <w:r>
        <w:t>apparently robust accountability responsibilities and reporting against them, the reality is that</w:t>
      </w:r>
      <w:r w:rsidR="00851B69">
        <w:t xml:space="preserve"> </w:t>
      </w:r>
      <w:r w:rsidR="00264AA3">
        <w:t xml:space="preserve">the chain of </w:t>
      </w:r>
      <w:r w:rsidR="00E60CA2">
        <w:t>democratic</w:t>
      </w:r>
      <w:r w:rsidR="00264AA3">
        <w:t xml:space="preserve"> accountability and the ability of accountability to achieve lea</w:t>
      </w:r>
      <w:r w:rsidR="00615C19">
        <w:t>r</w:t>
      </w:r>
      <w:r w:rsidR="00264AA3">
        <w:t>nings are weak</w:t>
      </w:r>
      <w:r w:rsidR="00615C19">
        <w:t xml:space="preserve">. Too </w:t>
      </w:r>
      <w:r w:rsidR="00264AA3">
        <w:t>much time and effort</w:t>
      </w:r>
      <w:r w:rsidR="00615C19">
        <w:t xml:space="preserve"> are spent</w:t>
      </w:r>
      <w:r w:rsidR="00264AA3">
        <w:t xml:space="preserve"> on</w:t>
      </w:r>
      <w:r w:rsidR="00E60CA2">
        <w:t xml:space="preserve"> looking backwards, seeking to uncover </w:t>
      </w:r>
      <w:r w:rsidR="005473C7">
        <w:t>petty controversies</w:t>
      </w:r>
      <w:r w:rsidR="00E60CA2">
        <w:t xml:space="preserve">. </w:t>
      </w:r>
      <w:r w:rsidR="00264AA3">
        <w:t xml:space="preserve"> </w:t>
      </w:r>
    </w:p>
    <w:p w14:paraId="1C4DEAFF" w14:textId="5F92B962" w:rsidR="00347879" w:rsidRDefault="003959E4" w:rsidP="003959E4">
      <w:pPr>
        <w:pStyle w:val="ESHeading2"/>
      </w:pPr>
      <w:r>
        <w:t>A</w:t>
      </w:r>
      <w:r w:rsidR="00315235">
        <w:t xml:space="preserve"> stronger,</w:t>
      </w:r>
      <w:r>
        <w:t xml:space="preserve"> </w:t>
      </w:r>
      <w:r w:rsidR="00615C19">
        <w:t xml:space="preserve">more </w:t>
      </w:r>
      <w:r>
        <w:t>balanced</w:t>
      </w:r>
      <w:r w:rsidR="00615C19">
        <w:t xml:space="preserve"> approach is needed</w:t>
      </w:r>
      <w:r w:rsidR="006A01C2">
        <w:t>…</w:t>
      </w:r>
    </w:p>
    <w:p w14:paraId="6D659EE9" w14:textId="3D72CF72" w:rsidR="00E55982" w:rsidRPr="000177FE" w:rsidRDefault="00E55982" w:rsidP="00E55982">
      <w:pPr>
        <w:ind w:left="851"/>
      </w:pPr>
      <w:r w:rsidRPr="000177FE">
        <w:t xml:space="preserve">The current system of accountability in Aotearoa New Zealand </w:t>
      </w:r>
      <w:r>
        <w:t>relies heavily on the</w:t>
      </w:r>
      <w:r w:rsidRPr="000177FE">
        <w:t xml:space="preserve"> methods and processes of constitutional accountability. </w:t>
      </w:r>
      <w:proofErr w:type="gramStart"/>
      <w:r w:rsidR="00941C37">
        <w:t>As a consequence</w:t>
      </w:r>
      <w:proofErr w:type="gramEnd"/>
      <w:r w:rsidR="00941C37">
        <w:t xml:space="preserve">, </w:t>
      </w:r>
      <w:r w:rsidR="007C0C02">
        <w:t>there are</w:t>
      </w:r>
      <w:r w:rsidRPr="000177FE">
        <w:t xml:space="preserve"> simultaneously claims of an ‘accountability deficit’ on the democratic and learning dimensions and an ‘accountability overload’ on the constitutional accountability front.</w:t>
      </w:r>
    </w:p>
    <w:p w14:paraId="743CEEA8" w14:textId="511FC640" w:rsidR="00347879" w:rsidRPr="000177FE" w:rsidRDefault="00347879" w:rsidP="00347879">
      <w:pPr>
        <w:ind w:left="851"/>
      </w:pPr>
      <w:r w:rsidRPr="000177FE">
        <w:t xml:space="preserve">We recommend a </w:t>
      </w:r>
      <w:r w:rsidR="00FC7D39">
        <w:t xml:space="preserve">strengthened, </w:t>
      </w:r>
      <w:r w:rsidRPr="000177FE">
        <w:t xml:space="preserve">more balanced approach that </w:t>
      </w:r>
      <w:r w:rsidR="00793379">
        <w:t>emphasises</w:t>
      </w:r>
      <w:r w:rsidRPr="000177FE">
        <w:t xml:space="preserve"> the accountability methods that focus on learning and using the power of democratic accountability to achieve better </w:t>
      </w:r>
      <w:r w:rsidR="00E46FCC">
        <w:t>results</w:t>
      </w:r>
      <w:r w:rsidRPr="000177FE">
        <w:t>.</w:t>
      </w:r>
    </w:p>
    <w:p w14:paraId="609CA1CF" w14:textId="6FBACA01" w:rsidR="00347879" w:rsidRDefault="006A01C2" w:rsidP="001E3A5F">
      <w:pPr>
        <w:pStyle w:val="ESHeading2"/>
      </w:pPr>
      <w:r>
        <w:t>…that</w:t>
      </w:r>
      <w:r w:rsidR="00347879" w:rsidRPr="000177FE">
        <w:t xml:space="preserve"> focus</w:t>
      </w:r>
      <w:r>
        <w:t>es</w:t>
      </w:r>
      <w:r w:rsidR="00347879" w:rsidRPr="000177FE">
        <w:t xml:space="preserve"> on supporting what works</w:t>
      </w:r>
      <w:r w:rsidR="00175E45">
        <w:t>…</w:t>
      </w:r>
      <w:r w:rsidR="00347879" w:rsidRPr="000177FE">
        <w:t xml:space="preserve"> </w:t>
      </w:r>
    </w:p>
    <w:p w14:paraId="1038A59E" w14:textId="4D5AE23A" w:rsidR="00BF0707" w:rsidRPr="000177FE" w:rsidRDefault="00BF0707" w:rsidP="00BF0707">
      <w:pPr>
        <w:ind w:left="851"/>
      </w:pPr>
      <w:r w:rsidRPr="000177FE">
        <w:t xml:space="preserve">Accountability </w:t>
      </w:r>
      <w:r w:rsidR="00DF3AF6">
        <w:t xml:space="preserve">systems </w:t>
      </w:r>
      <w:r w:rsidRPr="000177FE">
        <w:t xml:space="preserve">should focus on ensuring </w:t>
      </w:r>
      <w:r w:rsidR="00DF3AF6">
        <w:t xml:space="preserve">the </w:t>
      </w:r>
      <w:r w:rsidRPr="000177FE">
        <w:t>effectiveness of assistance to address persistent disadvantage.</w:t>
      </w:r>
    </w:p>
    <w:p w14:paraId="348D5812" w14:textId="1E85BECF" w:rsidR="00347879" w:rsidRPr="00AD6918" w:rsidRDefault="00347879" w:rsidP="00347879">
      <w:pPr>
        <w:ind w:left="851"/>
      </w:pPr>
      <w:r w:rsidRPr="000177FE">
        <w:t>Effectiveness essentially means, “does assistance work</w:t>
      </w:r>
      <w:r w:rsidR="0035301F">
        <w:t xml:space="preserve"> in supporting people to lead better lives</w:t>
      </w:r>
      <w:r w:rsidRPr="000177FE">
        <w:t xml:space="preserve">?”. Determining whether assistance is working requires listening to the people it is designed to help, learning from their </w:t>
      </w:r>
      <w:proofErr w:type="gramStart"/>
      <w:r w:rsidRPr="000177FE">
        <w:t>experiences</w:t>
      </w:r>
      <w:proofErr w:type="gramEnd"/>
      <w:r w:rsidRPr="000177FE">
        <w:t xml:space="preserve"> and making adjustments as needed. Assistance that works will address both the specific causes of disadvantage faced by each </w:t>
      </w:r>
      <w:r w:rsidR="003C5376">
        <w:t xml:space="preserve">person and </w:t>
      </w:r>
      <w:r w:rsidRPr="00AD6918">
        <w:t>whānau and more general, systemic issues.</w:t>
      </w:r>
      <w:r w:rsidR="00315235" w:rsidRPr="00AD6918">
        <w:t xml:space="preserve"> It will focus on prevention, provide crisis support, and build </w:t>
      </w:r>
      <w:r w:rsidR="004E31FA" w:rsidRPr="00AD6918">
        <w:t xml:space="preserve">the </w:t>
      </w:r>
      <w:r w:rsidR="00315235" w:rsidRPr="00AD6918">
        <w:t>capacity and capability</w:t>
      </w:r>
      <w:r w:rsidR="004E31FA" w:rsidRPr="00AD6918">
        <w:t xml:space="preserve"> of both staff and providers</w:t>
      </w:r>
      <w:r w:rsidR="00315235" w:rsidRPr="00AD6918">
        <w:t xml:space="preserve"> over time.</w:t>
      </w:r>
    </w:p>
    <w:p w14:paraId="78CBB74A" w14:textId="563E84D8" w:rsidR="00CB61DC" w:rsidRDefault="00CB61DC" w:rsidP="00CB61DC">
      <w:pPr>
        <w:ind w:left="851"/>
      </w:pPr>
      <w:r w:rsidRPr="00AD6918">
        <w:t xml:space="preserve">Where there is clear evidence that a programme or approach is not working, the relevant accountability system needs to force a response from decision-makers. A successful accountability system for assisting people experiencing persistent disadvantage does not </w:t>
      </w:r>
      <w:r w:rsidR="002472E9" w:rsidRPr="00AD6918">
        <w:t xml:space="preserve">just </w:t>
      </w:r>
      <w:r w:rsidRPr="00AD6918">
        <w:t>seek to assign blame or impose sanctions after the fact but encourages all decision-makers to proactively seek ongoing improvements.</w:t>
      </w:r>
      <w:r>
        <w:t xml:space="preserve"> </w:t>
      </w:r>
    </w:p>
    <w:p w14:paraId="6CB60308" w14:textId="77777777" w:rsidR="00A6286E" w:rsidRPr="000177FE" w:rsidRDefault="00A6286E" w:rsidP="00CB61DC">
      <w:pPr>
        <w:ind w:left="851"/>
      </w:pPr>
    </w:p>
    <w:p w14:paraId="6A003E15" w14:textId="30C31780" w:rsidR="00474FF5" w:rsidRPr="000177FE" w:rsidRDefault="00175E45" w:rsidP="001E3A5F">
      <w:pPr>
        <w:pStyle w:val="ESHeading2"/>
      </w:pPr>
      <w:r>
        <w:lastRenderedPageBreak/>
        <w:t xml:space="preserve">… </w:t>
      </w:r>
      <w:r w:rsidR="00474FF5">
        <w:t>encourage</w:t>
      </w:r>
      <w:r w:rsidR="006A01C2">
        <w:t>s</w:t>
      </w:r>
      <w:r w:rsidR="00474FF5">
        <w:t xml:space="preserve"> </w:t>
      </w:r>
      <w:r w:rsidR="00335B51">
        <w:t>efficient</w:t>
      </w:r>
      <w:r w:rsidR="00474FF5">
        <w:t xml:space="preserve"> </w:t>
      </w:r>
      <w:r>
        <w:t>solutions</w:t>
      </w:r>
      <w:r w:rsidR="00B73232">
        <w:t>…</w:t>
      </w:r>
    </w:p>
    <w:p w14:paraId="7210ECE1" w14:textId="5E154842" w:rsidR="00175E45" w:rsidRDefault="00175E45" w:rsidP="00347879">
      <w:pPr>
        <w:ind w:left="851"/>
      </w:pPr>
      <w:r>
        <w:t xml:space="preserve">Accountability should also encourage the efficient use of effective solutions. </w:t>
      </w:r>
    </w:p>
    <w:p w14:paraId="2D787A6A" w14:textId="1317959D" w:rsidR="00347879" w:rsidRDefault="00347879" w:rsidP="00347879">
      <w:pPr>
        <w:ind w:left="851"/>
      </w:pPr>
      <w:r w:rsidRPr="000177FE">
        <w:t xml:space="preserve">Efficiency is about using </w:t>
      </w:r>
      <w:r w:rsidR="00585EDC">
        <w:t>our limited resources</w:t>
      </w:r>
      <w:r w:rsidRPr="000177FE">
        <w:t xml:space="preserve"> as a country to best effect. Governments have multiple calls on the resources available to them</w:t>
      </w:r>
      <w:r w:rsidR="00585EDC">
        <w:t>,</w:t>
      </w:r>
      <w:r w:rsidRPr="000177FE">
        <w:t xml:space="preserve"> and difficult choices need to be made between competing priorities. ‘Just spend more’ on </w:t>
      </w:r>
      <w:r w:rsidR="00A22D46">
        <w:t>i</w:t>
      </w:r>
      <w:r w:rsidRPr="000177FE">
        <w:t xml:space="preserve">ssue X is rarely the right solution, not least because it implies spending less on </w:t>
      </w:r>
      <w:r w:rsidR="00A22D46">
        <w:t>i</w:t>
      </w:r>
      <w:r w:rsidRPr="000177FE">
        <w:t xml:space="preserve">ssue Y. </w:t>
      </w:r>
    </w:p>
    <w:p w14:paraId="62FC7913" w14:textId="1CE24FB7" w:rsidR="00315235" w:rsidRPr="00315235" w:rsidRDefault="00315235" w:rsidP="00DD5548">
      <w:pPr>
        <w:pStyle w:val="USBodyText"/>
      </w:pPr>
      <w:r>
        <w:t xml:space="preserve">This is not a call for </w:t>
      </w:r>
      <w:r w:rsidRPr="00315235">
        <w:t>crude cost-cutting</w:t>
      </w:r>
      <w:r>
        <w:t xml:space="preserve">. Addressing persistent disadvantage will </w:t>
      </w:r>
      <w:r w:rsidRPr="00315235">
        <w:t>involv</w:t>
      </w:r>
      <w:r>
        <w:t>e</w:t>
      </w:r>
      <w:r w:rsidRPr="00315235">
        <w:t xml:space="preserve"> examining the difference between </w:t>
      </w:r>
      <w:r>
        <w:t xml:space="preserve">the </w:t>
      </w:r>
      <w:r w:rsidRPr="00315235">
        <w:t>benefits and cost</w:t>
      </w:r>
      <w:r w:rsidR="00585EDC">
        <w:t>s</w:t>
      </w:r>
      <w:r w:rsidRPr="00315235">
        <w:t xml:space="preserve"> of different options</w:t>
      </w:r>
      <w:r>
        <w:t>, e</w:t>
      </w:r>
      <w:r w:rsidRPr="00315235">
        <w:t xml:space="preserve">nsuring that </w:t>
      </w:r>
      <w:r>
        <w:t xml:space="preserve">both monetary and </w:t>
      </w:r>
      <w:r w:rsidRPr="00315235">
        <w:t>wider costs and benefits are counted</w:t>
      </w:r>
      <w:r>
        <w:t xml:space="preserve">, and </w:t>
      </w:r>
      <w:r w:rsidRPr="00315235">
        <w:t>taking a long-term view</w:t>
      </w:r>
      <w:r>
        <w:t>. Upfront investment in prevention and addressing</w:t>
      </w:r>
      <w:r w:rsidR="003E5A40">
        <w:t xml:space="preserve"> the</w:t>
      </w:r>
      <w:r>
        <w:t xml:space="preserve"> extensive unmet needs</w:t>
      </w:r>
      <w:r w:rsidR="003E5A40">
        <w:t xml:space="preserve"> that currently exist</w:t>
      </w:r>
      <w:r>
        <w:t xml:space="preserve"> may well raise short-term spending but is likely to reduce costs over time.</w:t>
      </w:r>
    </w:p>
    <w:p w14:paraId="3BAE6DD7" w14:textId="10956B87" w:rsidR="004414F7" w:rsidRPr="004414F7" w:rsidRDefault="00DA2CC7" w:rsidP="00DD5548">
      <w:pPr>
        <w:pStyle w:val="ESHeading2"/>
      </w:pPr>
      <w:r>
        <w:t>…</w:t>
      </w:r>
      <w:r w:rsidR="00DC7362">
        <w:t xml:space="preserve">and </w:t>
      </w:r>
      <w:r w:rsidR="00650BF7">
        <w:t>centres</w:t>
      </w:r>
      <w:r w:rsidR="00DC7362">
        <w:t xml:space="preserve"> </w:t>
      </w:r>
      <w:r>
        <w:t>a</w:t>
      </w:r>
      <w:r w:rsidR="004414F7">
        <w:t xml:space="preserve">ccountability </w:t>
      </w:r>
      <w:r w:rsidR="00E30CC7">
        <w:t xml:space="preserve">to people </w:t>
      </w:r>
      <w:r w:rsidR="00DC7362">
        <w:t xml:space="preserve">experiencing </w:t>
      </w:r>
      <w:r w:rsidR="004414F7">
        <w:t xml:space="preserve">persistent </w:t>
      </w:r>
      <w:proofErr w:type="gramStart"/>
      <w:r w:rsidR="002F796F">
        <w:t>disadvantage</w:t>
      </w:r>
      <w:proofErr w:type="gramEnd"/>
      <w:r w:rsidR="003A090F">
        <w:t xml:space="preserve"> </w:t>
      </w:r>
    </w:p>
    <w:p w14:paraId="587E3D4F" w14:textId="67208D6B" w:rsidR="00B50412" w:rsidRPr="00AD6918" w:rsidRDefault="00334A5F" w:rsidP="00334A5F">
      <w:pPr>
        <w:ind w:left="851"/>
      </w:pPr>
      <w:r>
        <w:t xml:space="preserve">All the evidence of ‘what </w:t>
      </w:r>
      <w:proofErr w:type="gramStart"/>
      <w:r>
        <w:t>works’</w:t>
      </w:r>
      <w:proofErr w:type="gramEnd"/>
      <w:r>
        <w:t xml:space="preserve"> and exhortation</w:t>
      </w:r>
      <w:r w:rsidR="005E354C">
        <w:t>s</w:t>
      </w:r>
      <w:r>
        <w:t xml:space="preserve"> from civil society to try alternative approaches will continue to come to nothing if decision-makers and their advisers are not made more accountable to </w:t>
      </w:r>
      <w:r w:rsidRPr="00AD6918">
        <w:t xml:space="preserve">the people they are supposed to be helping. </w:t>
      </w:r>
    </w:p>
    <w:p w14:paraId="083D774C" w14:textId="77777777" w:rsidR="00F55D80" w:rsidRDefault="00334A5F" w:rsidP="00334A5F">
      <w:pPr>
        <w:ind w:left="851"/>
      </w:pPr>
      <w:r w:rsidRPr="00AD6918">
        <w:t>As it stands, these people have the least political power. Despite ongoing increases in expenditure on social assistance, their specific needs are often ignored by politicians courting the votes of those in the middle of the political and socio-economic spectrum.</w:t>
      </w:r>
    </w:p>
    <w:p w14:paraId="1E0B7A9E" w14:textId="35D9AFD0" w:rsidR="003A090F" w:rsidRPr="00AD6918" w:rsidRDefault="00201A60" w:rsidP="00334A5F">
      <w:pPr>
        <w:ind w:left="851"/>
      </w:pPr>
      <w:r>
        <w:t xml:space="preserve">It is here that we see the </w:t>
      </w:r>
      <w:r w:rsidR="00BF565C">
        <w:t>reality</w:t>
      </w:r>
      <w:r>
        <w:t xml:space="preserve"> of Churchill’s</w:t>
      </w:r>
      <w:r w:rsidR="00334A5F" w:rsidRPr="00AD6918">
        <w:t xml:space="preserve"> </w:t>
      </w:r>
      <w:r w:rsidR="00BF565C">
        <w:t xml:space="preserve">quip </w:t>
      </w:r>
      <w:r w:rsidR="00BF565C" w:rsidRPr="00BF565C">
        <w:t xml:space="preserve">that democracy is the worst form of Government except for all those other </w:t>
      </w:r>
      <w:r w:rsidR="00BF565C">
        <w:t>types that ha</w:t>
      </w:r>
      <w:r w:rsidR="00BB6328">
        <w:t>v</w:t>
      </w:r>
      <w:r w:rsidR="00BF565C">
        <w:t>e been tried.</w:t>
      </w:r>
    </w:p>
    <w:p w14:paraId="4C2E6BC7" w14:textId="76FA5568" w:rsidR="00334A5F" w:rsidRPr="00AD6918" w:rsidRDefault="003A090F" w:rsidP="00334A5F">
      <w:pPr>
        <w:ind w:left="851"/>
      </w:pPr>
      <w:r w:rsidRPr="00CE5C73">
        <w:t>To address this power imbalance, w</w:t>
      </w:r>
      <w:r w:rsidR="00334A5F" w:rsidRPr="00CE5C73">
        <w:t xml:space="preserve">e recommend </w:t>
      </w:r>
      <w:r w:rsidR="00327A58" w:rsidRPr="00CE5C73">
        <w:t xml:space="preserve">a range of changes that will make all those who exercise power when it comes to </w:t>
      </w:r>
      <w:r w:rsidR="00334A5F" w:rsidRPr="00AD6918">
        <w:t>people experiencing persistent disadvantage</w:t>
      </w:r>
      <w:r w:rsidR="00CE5C73">
        <w:t xml:space="preserve"> more accountable</w:t>
      </w:r>
      <w:r w:rsidR="000B2644">
        <w:t xml:space="preserve"> to those people. This applies to everyone in the ‘chain of democratic accountability</w:t>
      </w:r>
      <w:r w:rsidR="002B06A4">
        <w:t>’</w:t>
      </w:r>
      <w:r w:rsidR="00334A5F" w:rsidRPr="00AD6918">
        <w:t xml:space="preserve">, </w:t>
      </w:r>
      <w:r w:rsidR="00CE5C73">
        <w:t>from</w:t>
      </w:r>
      <w:r w:rsidR="00CE5C73" w:rsidRPr="00AD6918">
        <w:t xml:space="preserve"> </w:t>
      </w:r>
      <w:r w:rsidR="00334A5F" w:rsidRPr="00AD6918">
        <w:t xml:space="preserve">front-line staff and the managers and leaders of the organisations walking with them on their journey to a better life, to </w:t>
      </w:r>
      <w:r w:rsidR="00670053">
        <w:t>M</w:t>
      </w:r>
      <w:r w:rsidR="00670053" w:rsidRPr="00AD6918">
        <w:t>inisters</w:t>
      </w:r>
      <w:r w:rsidR="00670053">
        <w:t xml:space="preserve"> </w:t>
      </w:r>
      <w:r w:rsidR="000B2644">
        <w:t xml:space="preserve">and even to </w:t>
      </w:r>
      <w:r w:rsidR="00334A5F" w:rsidRPr="00AD6918">
        <w:t>Parliament</w:t>
      </w:r>
      <w:r w:rsidR="000B2644">
        <w:t xml:space="preserve">. </w:t>
      </w:r>
    </w:p>
    <w:p w14:paraId="290D7C7C" w14:textId="5833A147" w:rsidR="001D72ED" w:rsidRPr="00AD6918" w:rsidRDefault="001D72ED" w:rsidP="00334A5F">
      <w:pPr>
        <w:ind w:left="851"/>
      </w:pPr>
      <w:r w:rsidRPr="00AD6918">
        <w:t>Accountability involves an element of ‘build it and they will come’: putting an appropriate accountability system in place can greatly increase the likelihood that the ‘democratic chain of delegation’ will work effectively and efficien</w:t>
      </w:r>
      <w:r w:rsidR="002708CE" w:rsidRPr="00AD6918">
        <w:t>tl</w:t>
      </w:r>
      <w:r w:rsidRPr="00AD6918">
        <w:t xml:space="preserve">y, that waste fraud and abuse are minimised and that system-wide learning leads to </w:t>
      </w:r>
      <w:r w:rsidR="008B128E">
        <w:t>ongoing</w:t>
      </w:r>
      <w:r w:rsidR="008B128E" w:rsidRPr="00AD6918">
        <w:t xml:space="preserve"> </w:t>
      </w:r>
      <w:r w:rsidRPr="00AD6918">
        <w:t>improvement. But it is no perfect guarantee. In democracies, elections remain the best way for voters to pick their preferred delegates and hold them to account.</w:t>
      </w:r>
    </w:p>
    <w:p w14:paraId="787EE1C4" w14:textId="41D19AD8" w:rsidR="00103D95" w:rsidRPr="00AD6918" w:rsidRDefault="00295064" w:rsidP="001E3A5F">
      <w:pPr>
        <w:pStyle w:val="ESHeading2"/>
      </w:pPr>
      <w:r w:rsidRPr="00AD6918">
        <w:t>A new legislative framework</w:t>
      </w:r>
      <w:r w:rsidR="007C6A9A">
        <w:t xml:space="preserve"> </w:t>
      </w:r>
      <w:r w:rsidR="00A06C4F">
        <w:t xml:space="preserve">is needed </w:t>
      </w:r>
      <w:r w:rsidR="007C6A9A">
        <w:t>…</w:t>
      </w:r>
    </w:p>
    <w:p w14:paraId="3FA8BE81" w14:textId="3DE53507" w:rsidR="00A4479E" w:rsidRPr="00AD6918" w:rsidRDefault="00295064" w:rsidP="00334A5F">
      <w:pPr>
        <w:ind w:left="851"/>
      </w:pPr>
      <w:r w:rsidRPr="00AD6918">
        <w:t>In t</w:t>
      </w:r>
      <w:r w:rsidR="002A3AAC" w:rsidRPr="00AD6918">
        <w:t>h</w:t>
      </w:r>
      <w:r w:rsidRPr="00AD6918">
        <w:t xml:space="preserve">e absence of wider constitutional protections, </w:t>
      </w:r>
      <w:r w:rsidR="003A090F" w:rsidRPr="00AD6918">
        <w:t>we recommend</w:t>
      </w:r>
      <w:r w:rsidR="000F78E7" w:rsidRPr="00AD6918">
        <w:t xml:space="preserve"> introducing</w:t>
      </w:r>
      <w:r w:rsidRPr="00AD6918">
        <w:t xml:space="preserve"> a new </w:t>
      </w:r>
      <w:r w:rsidRPr="00CE5C73">
        <w:t>legislative accountability regi</w:t>
      </w:r>
      <w:r w:rsidR="003A090F" w:rsidRPr="00CE5C73">
        <w:t>m</w:t>
      </w:r>
      <w:r w:rsidRPr="00CE5C73">
        <w:t xml:space="preserve">e </w:t>
      </w:r>
      <w:r w:rsidR="009A292E" w:rsidRPr="00CE5C73">
        <w:t>for persistent disadvantage</w:t>
      </w:r>
      <w:r w:rsidR="009A292E" w:rsidRPr="00AD6918">
        <w:t xml:space="preserve"> </w:t>
      </w:r>
      <w:r w:rsidRPr="00AD6918">
        <w:t xml:space="preserve">that has enduring political support across the whole of Parliament. </w:t>
      </w:r>
    </w:p>
    <w:p w14:paraId="3A5A272D" w14:textId="42089F8F" w:rsidR="00295064" w:rsidRDefault="007E4FA8" w:rsidP="00334A5F">
      <w:pPr>
        <w:ind w:left="851"/>
      </w:pPr>
      <w:r w:rsidRPr="00CE5C73">
        <w:t xml:space="preserve">Our aim is for this system to </w:t>
      </w:r>
      <w:r w:rsidR="00295064" w:rsidRPr="00CE5C73">
        <w:t>achiev</w:t>
      </w:r>
      <w:r w:rsidRPr="00CE5C73">
        <w:t>e</w:t>
      </w:r>
      <w:r w:rsidR="00295064" w:rsidRPr="00CE5C73">
        <w:t xml:space="preserve"> </w:t>
      </w:r>
      <w:r w:rsidR="00623E96">
        <w:t xml:space="preserve">the </w:t>
      </w:r>
      <w:r w:rsidR="00295064" w:rsidRPr="00CE5C73">
        <w:t>constitutional status</w:t>
      </w:r>
      <w:r w:rsidRPr="00CE5C73">
        <w:t xml:space="preserve"> now enjoyed by</w:t>
      </w:r>
      <w:r w:rsidR="00295064" w:rsidRPr="00CE5C73">
        <w:t xml:space="preserve"> the fiscal responsibility provisions of the Public Finance Act.</w:t>
      </w:r>
    </w:p>
    <w:p w14:paraId="0304C4AF" w14:textId="77777777" w:rsidR="00A6286E" w:rsidRPr="00CE5C73" w:rsidRDefault="00A6286E" w:rsidP="00334A5F">
      <w:pPr>
        <w:ind w:left="851"/>
      </w:pPr>
    </w:p>
    <w:p w14:paraId="55837E70" w14:textId="77777777" w:rsidR="007C6A9A" w:rsidRDefault="007C6A9A" w:rsidP="002A76A5">
      <w:pPr>
        <w:pStyle w:val="ESHeading2"/>
      </w:pPr>
      <w:r>
        <w:lastRenderedPageBreak/>
        <w:t>… based on clear principles…</w:t>
      </w:r>
    </w:p>
    <w:p w14:paraId="56DC9EF5" w14:textId="5B869809" w:rsidR="00103D95" w:rsidRPr="00AD6918" w:rsidRDefault="00295064" w:rsidP="00103D95">
      <w:pPr>
        <w:ind w:left="851"/>
      </w:pPr>
      <w:r w:rsidRPr="00AD6918">
        <w:t>The new regi</w:t>
      </w:r>
      <w:r w:rsidR="002A3AAC" w:rsidRPr="00AD6918">
        <w:t xml:space="preserve">me </w:t>
      </w:r>
      <w:r w:rsidR="00103D95" w:rsidRPr="00AD6918">
        <w:t xml:space="preserve">should set clear principles within which policy should be </w:t>
      </w:r>
      <w:r w:rsidR="00AD6918">
        <w:t xml:space="preserve">conducted </w:t>
      </w:r>
      <w:r w:rsidR="00103D95" w:rsidRPr="00AD6918">
        <w:t xml:space="preserve">and require the government of the day to state its short- and long-term objectives in measurable terms and explain how it proposes to meet those objectives. Officials should be empowered to independently monitor progress and report. </w:t>
      </w:r>
    </w:p>
    <w:p w14:paraId="19C99915" w14:textId="14ED37AB" w:rsidR="00A56FEB" w:rsidRDefault="00A56FEB" w:rsidP="002A76A5">
      <w:pPr>
        <w:pStyle w:val="ESHeading2"/>
      </w:pPr>
      <w:r>
        <w:t>…</w:t>
      </w:r>
      <w:r w:rsidR="00EC5EAF">
        <w:t xml:space="preserve"> that</w:t>
      </w:r>
      <w:r>
        <w:t xml:space="preserve"> centre</w:t>
      </w:r>
      <w:r w:rsidR="00EC5EAF">
        <w:t>s</w:t>
      </w:r>
      <w:r>
        <w:t xml:space="preserve"> whānau voice</w:t>
      </w:r>
      <w:r w:rsidR="003C7276">
        <w:t xml:space="preserve"> </w:t>
      </w:r>
      <w:r>
        <w:t>…</w:t>
      </w:r>
    </w:p>
    <w:p w14:paraId="526905F4" w14:textId="0BA73B1F" w:rsidR="00BD16B4" w:rsidRPr="00AD6918" w:rsidRDefault="00BD16B4" w:rsidP="00BD16B4">
      <w:pPr>
        <w:ind w:left="851"/>
      </w:pPr>
      <w:r w:rsidRPr="00AD6918">
        <w:t xml:space="preserve">The accountability system needs to rebalance power </w:t>
      </w:r>
      <w:r w:rsidR="00623E96">
        <w:t>by</w:t>
      </w:r>
      <w:r w:rsidR="00623E96" w:rsidRPr="00AD6918">
        <w:t xml:space="preserve"> </w:t>
      </w:r>
      <w:r w:rsidRPr="00AD6918">
        <w:t>centring the voices of people experiencing persistent disadvantage</w:t>
      </w:r>
      <w:r w:rsidR="004163D5" w:rsidRPr="00AD6918">
        <w:t xml:space="preserve"> and</w:t>
      </w:r>
      <w:r w:rsidRPr="00AD6918">
        <w:t xml:space="preserve"> their families and communities</w:t>
      </w:r>
      <w:r w:rsidR="00E36A63" w:rsidRPr="00AD6918">
        <w:t xml:space="preserve">. </w:t>
      </w:r>
      <w:r w:rsidR="00093F61" w:rsidRPr="00AD6918">
        <w:t>D</w:t>
      </w:r>
      <w:r w:rsidR="00E36A63" w:rsidRPr="00AD6918">
        <w:t>evoting time and resources to building trusted relationships</w:t>
      </w:r>
      <w:r w:rsidR="00093F61" w:rsidRPr="00AD6918">
        <w:t xml:space="preserve"> and</w:t>
      </w:r>
      <w:r w:rsidRPr="00AD6918">
        <w:t xml:space="preserve"> ensuring </w:t>
      </w:r>
      <w:r w:rsidR="00093F61" w:rsidRPr="00AD6918">
        <w:t>people</w:t>
      </w:r>
      <w:r w:rsidRPr="00AD6918">
        <w:t xml:space="preserve"> are respected and listened </w:t>
      </w:r>
      <w:r w:rsidR="00F57FEC" w:rsidRPr="00AD6918">
        <w:t>to</w:t>
      </w:r>
      <w:r w:rsidRPr="00AD6918">
        <w:t xml:space="preserve"> </w:t>
      </w:r>
      <w:r w:rsidR="00C10F89">
        <w:t>will</w:t>
      </w:r>
      <w:r w:rsidRPr="00AD6918">
        <w:t xml:space="preserve"> lead to policies and programmes that provide whānau with the assistance and resources they need to change their lives.</w:t>
      </w:r>
      <w:r w:rsidRPr="00AD6918" w:rsidDel="007A4268">
        <w:t xml:space="preserve"> </w:t>
      </w:r>
    </w:p>
    <w:p w14:paraId="69F545FD" w14:textId="1F58FB1D" w:rsidR="007E4FA8" w:rsidRDefault="00103D95" w:rsidP="00FC6585">
      <w:pPr>
        <w:ind w:left="851"/>
      </w:pPr>
      <w:r w:rsidRPr="00AD6918">
        <w:t>Non-parliamentary voices</w:t>
      </w:r>
      <w:r w:rsidR="003A090F" w:rsidRPr="00AD6918">
        <w:t xml:space="preserve"> – particularly those of people experiencing disadvantage, their </w:t>
      </w:r>
      <w:proofErr w:type="gramStart"/>
      <w:r w:rsidR="003A090F" w:rsidRPr="00AD6918">
        <w:t>families</w:t>
      </w:r>
      <w:proofErr w:type="gramEnd"/>
      <w:r w:rsidR="003A090F" w:rsidRPr="00AD6918">
        <w:t xml:space="preserve"> and communities </w:t>
      </w:r>
      <w:r w:rsidR="00AD6918" w:rsidRPr="00663430">
        <w:t xml:space="preserve">– </w:t>
      </w:r>
      <w:r w:rsidRPr="00AD6918">
        <w:t xml:space="preserve">should also figure prominently in the </w:t>
      </w:r>
      <w:r w:rsidR="003A090F" w:rsidRPr="00AD6918">
        <w:t xml:space="preserve">scoping, design, delivery and </w:t>
      </w:r>
      <w:r w:rsidRPr="00AD6918">
        <w:t>evaluation of progress.</w:t>
      </w:r>
      <w:r w:rsidR="00BD16B4" w:rsidRPr="00AD6918">
        <w:t xml:space="preserve"> </w:t>
      </w:r>
      <w:r w:rsidR="007E4FA8" w:rsidRPr="00AD6918">
        <w:t xml:space="preserve">This will require adequate resourcing of engagement with a wide range of people to ensure genuine accessibility. We mean </w:t>
      </w:r>
      <w:r w:rsidR="00C772B9">
        <w:t xml:space="preserve">‘accessibility’ </w:t>
      </w:r>
      <w:r w:rsidR="007E4FA8" w:rsidRPr="00AD6918">
        <w:t xml:space="preserve">in </w:t>
      </w:r>
      <w:r w:rsidR="00124153">
        <w:t xml:space="preserve">the </w:t>
      </w:r>
      <w:r w:rsidR="007E4FA8" w:rsidRPr="00AD6918">
        <w:t xml:space="preserve">widest </w:t>
      </w:r>
      <w:r w:rsidR="000973C2" w:rsidRPr="00AD6918">
        <w:t>sense</w:t>
      </w:r>
      <w:r w:rsidR="0086693B">
        <w:t xml:space="preserve">, including on </w:t>
      </w:r>
      <w:r w:rsidR="005276B3" w:rsidRPr="00AD6918">
        <w:t xml:space="preserve">economic, social, cultural and disability </w:t>
      </w:r>
      <w:r w:rsidR="007E4FA8" w:rsidRPr="00AD6918">
        <w:t xml:space="preserve">grounds. </w:t>
      </w:r>
    </w:p>
    <w:p w14:paraId="053A4BD5" w14:textId="572EE7A2" w:rsidR="00A56FEB" w:rsidRPr="00AD6918" w:rsidRDefault="003C7276" w:rsidP="00852078">
      <w:pPr>
        <w:pStyle w:val="ESHeading2"/>
      </w:pPr>
      <w:r>
        <w:t xml:space="preserve">… using </w:t>
      </w:r>
      <w:r w:rsidR="006D69F0">
        <w:t xml:space="preserve">a variety of </w:t>
      </w:r>
      <w:r>
        <w:t xml:space="preserve">accountability </w:t>
      </w:r>
      <w:r w:rsidR="006D69F0">
        <w:t xml:space="preserve">mechanisms </w:t>
      </w:r>
      <w:r>
        <w:t>…</w:t>
      </w:r>
    </w:p>
    <w:p w14:paraId="1DD58725" w14:textId="61A425FC" w:rsidR="007E4FA8" w:rsidRDefault="00103D95" w:rsidP="00FC6585">
      <w:pPr>
        <w:ind w:left="851"/>
      </w:pPr>
      <w:r w:rsidRPr="00AD6918">
        <w:t xml:space="preserve">Informal accountability networks that use day-to-day interactions between those assisting people experiencing persistent disadvantage and their funders </w:t>
      </w:r>
      <w:r w:rsidR="00124153">
        <w:t>are</w:t>
      </w:r>
      <w:r w:rsidR="00124153" w:rsidRPr="00AD6918">
        <w:t xml:space="preserve"> </w:t>
      </w:r>
      <w:r w:rsidRPr="00AD6918">
        <w:t xml:space="preserve">undervalued as a powerful improvement mechanism. </w:t>
      </w:r>
      <w:r w:rsidR="007E4FA8" w:rsidRPr="00AD6918">
        <w:t xml:space="preserve">Providers of different types of services often share best practice with each other and there are professional standards bodies with coverage of staff working for multiple employers. </w:t>
      </w:r>
    </w:p>
    <w:p w14:paraId="46614FB5" w14:textId="39BBD013" w:rsidR="00FC6585" w:rsidRDefault="00DC76DE" w:rsidP="00FC6585">
      <w:pPr>
        <w:ind w:left="851"/>
      </w:pPr>
      <w:r w:rsidRPr="00AD6918">
        <w:t xml:space="preserve">NGOs operate within a network of formal and informal accountability. </w:t>
      </w:r>
      <w:r w:rsidR="00A47D89" w:rsidRPr="00AD6918">
        <w:t xml:space="preserve">More reliance should be placed on these networks to ensure honesty and probity, allowing contracts to focus on desired outcomes and the outputs that will deliver them. </w:t>
      </w:r>
      <w:r w:rsidRPr="00AD6918">
        <w:t>Those that are registered charities</w:t>
      </w:r>
      <w:r w:rsidR="004D3BD0">
        <w:t xml:space="preserve">, for </w:t>
      </w:r>
      <w:r w:rsidR="003D08F0">
        <w:t xml:space="preserve">example, </w:t>
      </w:r>
      <w:r w:rsidR="003D08F0" w:rsidRPr="00AD6918">
        <w:t>are</w:t>
      </w:r>
      <w:r w:rsidRPr="00AD6918">
        <w:t xml:space="preserve"> now required to disclose information about their operations. </w:t>
      </w:r>
      <w:r w:rsidR="00D14BF8">
        <w:t>Provisions in contact</w:t>
      </w:r>
      <w:r w:rsidR="004D3BD0">
        <w:t>s</w:t>
      </w:r>
      <w:r w:rsidR="00D14BF8">
        <w:t xml:space="preserve"> with government agencies that </w:t>
      </w:r>
      <w:r w:rsidR="008F45B4">
        <w:t xml:space="preserve">duplicate other accountability mechanism should be removed. </w:t>
      </w:r>
      <w:r w:rsidR="00FC6585" w:rsidRPr="00AD6918">
        <w:t xml:space="preserve">Organisations operating in </w:t>
      </w:r>
      <w:r w:rsidR="002805D1">
        <w:t>diverse contexts have demonstrated that informal accountability networks can</w:t>
      </w:r>
      <w:r w:rsidR="00FC6585" w:rsidRPr="00AD6918">
        <w:t xml:space="preserve"> change lives. The results generated by Manaaki </w:t>
      </w:r>
      <w:proofErr w:type="spellStart"/>
      <w:r w:rsidR="00FC6585" w:rsidRPr="00AD6918">
        <w:t>Tairāwhiti</w:t>
      </w:r>
      <w:proofErr w:type="spellEnd"/>
      <w:r w:rsidR="00FC6585" w:rsidRPr="00AD6918">
        <w:t xml:space="preserve"> and the South Auckland Social Wellbeing Board</w:t>
      </w:r>
      <w:r w:rsidR="002805D1">
        <w:t>,</w:t>
      </w:r>
      <w:r w:rsidR="00FC6585" w:rsidRPr="00AD6918">
        <w:t xml:space="preserve"> among others</w:t>
      </w:r>
      <w:r w:rsidR="002805D1">
        <w:t>,</w:t>
      </w:r>
      <w:r w:rsidR="00FC6585" w:rsidRPr="00AD6918">
        <w:t xml:space="preserve"> give us confidence that this approach can be applied more widely to improve the lives of more people experiencing persistent disadvantage.</w:t>
      </w:r>
    </w:p>
    <w:p w14:paraId="67A2BCB8" w14:textId="140B5EC6" w:rsidR="00FB2153" w:rsidRPr="00AD6918" w:rsidRDefault="00FB2153" w:rsidP="004D3BD0">
      <w:pPr>
        <w:pStyle w:val="ESHeading2"/>
      </w:pPr>
      <w:r>
        <w:t>… and promoting learning.</w:t>
      </w:r>
    </w:p>
    <w:p w14:paraId="333BC430" w14:textId="532BD9A2" w:rsidR="00103D95" w:rsidRDefault="00FC6585" w:rsidP="00103D95">
      <w:pPr>
        <w:ind w:left="851"/>
      </w:pPr>
      <w:r w:rsidRPr="00AD6918">
        <w:t>Prioritising the learning dimensions of accountability requires</w:t>
      </w:r>
      <w:r w:rsidRPr="000177FE">
        <w:t xml:space="preserve"> a significant mindset shift away from seeking to assign blame and towards looking at adverse events as opportunities for improvement. </w:t>
      </w:r>
      <w:r w:rsidR="00103D95" w:rsidRPr="000177FE">
        <w:t xml:space="preserve">One </w:t>
      </w:r>
      <w:r w:rsidR="00F32385" w:rsidRPr="000177FE">
        <w:t>example</w:t>
      </w:r>
      <w:r w:rsidR="00103D95" w:rsidRPr="000177FE">
        <w:t xml:space="preserve"> that could be extended, with modifications, is the adverse </w:t>
      </w:r>
      <w:r w:rsidR="00103D95" w:rsidRPr="00AD6918">
        <w:t>events system in the health sector. This approach focuses on learning from events which have caused harm to patients.</w:t>
      </w:r>
      <w:r w:rsidR="00103D95" w:rsidRPr="00AD6918" w:rsidDel="00F333A8">
        <w:t xml:space="preserve"> </w:t>
      </w:r>
    </w:p>
    <w:p w14:paraId="7B868289" w14:textId="2F5221C3" w:rsidR="00FB2153" w:rsidRPr="00AD6918" w:rsidRDefault="00FB2153" w:rsidP="004D3BD0">
      <w:pPr>
        <w:pStyle w:val="ESHeading2"/>
      </w:pPr>
      <w:r>
        <w:lastRenderedPageBreak/>
        <w:t xml:space="preserve">A new </w:t>
      </w:r>
      <w:r w:rsidR="002A77A8">
        <w:t xml:space="preserve">coordinating </w:t>
      </w:r>
      <w:r w:rsidR="007146BF">
        <w:t>M</w:t>
      </w:r>
      <w:r>
        <w:t>inister…</w:t>
      </w:r>
    </w:p>
    <w:p w14:paraId="2BE99EB1" w14:textId="69EC8BEF" w:rsidR="00334A5F" w:rsidRPr="00AD6918" w:rsidRDefault="00334A5F" w:rsidP="00334A5F">
      <w:pPr>
        <w:ind w:left="851"/>
      </w:pPr>
      <w:r w:rsidRPr="00AD6918">
        <w:t xml:space="preserve">At the ministerial level, a single senior </w:t>
      </w:r>
      <w:r w:rsidR="002805D1">
        <w:t>M</w:t>
      </w:r>
      <w:r w:rsidR="002805D1" w:rsidRPr="00AD6918">
        <w:t xml:space="preserve">inister </w:t>
      </w:r>
      <w:r w:rsidRPr="00AD6918">
        <w:t xml:space="preserve">should be appointed to take overall responsibility for </w:t>
      </w:r>
      <w:r w:rsidR="00DB6A73" w:rsidRPr="00AD6918">
        <w:t xml:space="preserve">coordinating activities to </w:t>
      </w:r>
      <w:r w:rsidRPr="00AD6918">
        <w:t xml:space="preserve">address persistent disadvantage. </w:t>
      </w:r>
    </w:p>
    <w:p w14:paraId="7865748B" w14:textId="02A111F5" w:rsidR="00347879" w:rsidRPr="00676A86" w:rsidRDefault="00347879" w:rsidP="00334A5F">
      <w:pPr>
        <w:ind w:left="851"/>
      </w:pPr>
      <w:r w:rsidRPr="00AD6918">
        <w:t xml:space="preserve">There are, and have been in the past, </w:t>
      </w:r>
      <w:r w:rsidR="002805D1">
        <w:t>M</w:t>
      </w:r>
      <w:r w:rsidR="002805D1" w:rsidRPr="00AD6918">
        <w:t xml:space="preserve">inisters </w:t>
      </w:r>
      <w:r w:rsidRPr="00AD6918">
        <w:t xml:space="preserve">with partial responsibility </w:t>
      </w:r>
      <w:r w:rsidR="003A090F" w:rsidRPr="00AD6918">
        <w:t xml:space="preserve">for persistent disadvantage </w:t>
      </w:r>
      <w:r w:rsidRPr="00AD6918">
        <w:t>– for example, the roles of the Minister for Child Poverty Reduction and the former</w:t>
      </w:r>
      <w:r w:rsidR="003A090F" w:rsidRPr="00AD6918">
        <w:t xml:space="preserve"> </w:t>
      </w:r>
      <w:r w:rsidRPr="00AD6918">
        <w:t>Minister for Social Investment contain many</w:t>
      </w:r>
      <w:r w:rsidRPr="00676A86">
        <w:t xml:space="preserve"> elements relevant to addressing persistent </w:t>
      </w:r>
      <w:r w:rsidRPr="00103783">
        <w:t xml:space="preserve">disadvantage. </w:t>
      </w:r>
      <w:r w:rsidRPr="00AD6918">
        <w:t xml:space="preserve">But there has been no one </w:t>
      </w:r>
      <w:r w:rsidR="002805D1">
        <w:t>M</w:t>
      </w:r>
      <w:r w:rsidR="002805D1" w:rsidRPr="00AD6918">
        <w:t xml:space="preserve">inister </w:t>
      </w:r>
      <w:r w:rsidRPr="00AD6918">
        <w:t xml:space="preserve">responsible for the key elements we have identified as being essential to addressing ongoing disadvantage – including taking responsibility for tacking underlying systemic issues such as power imbalances, racism, </w:t>
      </w:r>
      <w:proofErr w:type="gramStart"/>
      <w:r w:rsidRPr="00AD6918">
        <w:t>sexism</w:t>
      </w:r>
      <w:proofErr w:type="gramEnd"/>
      <w:r w:rsidRPr="00AD6918">
        <w:t xml:space="preserve"> and ableism, and centring the voices of whānau in the commissioning, design, delivery and evaluation of assistance.</w:t>
      </w:r>
      <w:r w:rsidRPr="00676A86">
        <w:t xml:space="preserve"> </w:t>
      </w:r>
    </w:p>
    <w:p w14:paraId="277CF56A" w14:textId="79BD36CE" w:rsidR="002A77A8" w:rsidRDefault="002A77A8" w:rsidP="004D3BD0">
      <w:pPr>
        <w:pStyle w:val="ESHeading2"/>
      </w:pPr>
      <w:r>
        <w:t>… leading a specialist department</w:t>
      </w:r>
      <w:r w:rsidR="004E6691">
        <w:t xml:space="preserve"> …</w:t>
      </w:r>
    </w:p>
    <w:p w14:paraId="6734ED9B" w14:textId="32F269BF" w:rsidR="00347879" w:rsidRDefault="00BE228E" w:rsidP="00347879">
      <w:pPr>
        <w:ind w:left="851"/>
      </w:pPr>
      <w:r>
        <w:t xml:space="preserve">That </w:t>
      </w:r>
      <w:r w:rsidR="0059478F">
        <w:t xml:space="preserve">Minister </w:t>
      </w:r>
      <w:r>
        <w:t xml:space="preserve">should be advised by a dedicated, expert staff on what additional assistance is required for people </w:t>
      </w:r>
      <w:r w:rsidR="00EE01E9">
        <w:t>experiencing or at risk of experiencing</w:t>
      </w:r>
      <w:r>
        <w:t xml:space="preserve"> persistent disadvantage</w:t>
      </w:r>
      <w:r w:rsidR="00F45314">
        <w:t xml:space="preserve">, </w:t>
      </w:r>
      <w:r w:rsidR="00F45314" w:rsidRPr="00505797">
        <w:t>including p</w:t>
      </w:r>
      <w:r w:rsidR="00F45314" w:rsidRPr="001E3A5F">
        <w:t xml:space="preserve">revention, crisis management and </w:t>
      </w:r>
      <w:r w:rsidR="00505797" w:rsidRPr="001E3A5F">
        <w:t xml:space="preserve">capacity and </w:t>
      </w:r>
      <w:r w:rsidR="00F45314" w:rsidRPr="001E3A5F">
        <w:t>capability building</w:t>
      </w:r>
      <w:r w:rsidR="00505797" w:rsidRPr="00505797">
        <w:t>.</w:t>
      </w:r>
      <w:r w:rsidR="00A34DDB">
        <w:t xml:space="preserve"> Equally importantly, staff should provide advice on </w:t>
      </w:r>
      <w:r>
        <w:t>what parts of the uniform system should not apply</w:t>
      </w:r>
      <w:r w:rsidR="00A34DDB">
        <w:t>. For example, instead of a person or wh</w:t>
      </w:r>
      <w:r w:rsidR="00EE5C4A">
        <w:t>ā</w:t>
      </w:r>
      <w:r w:rsidR="00A34DDB">
        <w:t>nau</w:t>
      </w:r>
      <w:r w:rsidR="00EE5C4A">
        <w:t xml:space="preserve"> </w:t>
      </w:r>
      <w:r w:rsidR="00A34DDB">
        <w:t xml:space="preserve">with </w:t>
      </w:r>
      <w:r w:rsidR="00F150C9">
        <w:t>several</w:t>
      </w:r>
      <w:r w:rsidR="00A34DDB">
        <w:t xml:space="preserve"> complex needs </w:t>
      </w:r>
      <w:r w:rsidR="00F419B8">
        <w:t>being subject to multiple – and repeated –</w:t>
      </w:r>
      <w:r w:rsidR="00D63787">
        <w:t xml:space="preserve"> individual</w:t>
      </w:r>
      <w:r w:rsidR="00F419B8">
        <w:t xml:space="preserve"> eligibility assessments for </w:t>
      </w:r>
      <w:r w:rsidR="00AA15B6">
        <w:t xml:space="preserve">specific </w:t>
      </w:r>
      <w:r w:rsidR="00F419B8">
        <w:t>serv</w:t>
      </w:r>
      <w:r w:rsidR="00EE5C4A">
        <w:t>ices, we recommend</w:t>
      </w:r>
      <w:r w:rsidR="00D63787">
        <w:t xml:space="preserve"> a</w:t>
      </w:r>
      <w:r w:rsidR="00AE1B65">
        <w:t xml:space="preserve"> single, enduring</w:t>
      </w:r>
      <w:r w:rsidR="00646875">
        <w:t>,</w:t>
      </w:r>
      <w:r w:rsidR="00AE1B65">
        <w:t xml:space="preserve"> overarching </w:t>
      </w:r>
      <w:r w:rsidR="00646875">
        <w:t xml:space="preserve">assessment </w:t>
      </w:r>
      <w:r w:rsidR="002F3D55">
        <w:t xml:space="preserve">of eligibility for assistance </w:t>
      </w:r>
      <w:r w:rsidR="00646875">
        <w:t xml:space="preserve">that </w:t>
      </w:r>
      <w:r w:rsidR="002F3D55">
        <w:t xml:space="preserve">can be updated as needed but </w:t>
      </w:r>
      <w:r w:rsidR="00AA15B6">
        <w:t xml:space="preserve">which </w:t>
      </w:r>
      <w:r w:rsidR="00646875">
        <w:t>stays in effect until it is revoked.</w:t>
      </w:r>
      <w:r w:rsidR="00EE5C4A">
        <w:t xml:space="preserve"> </w:t>
      </w:r>
    </w:p>
    <w:p w14:paraId="5B8B8B97" w14:textId="6C648931" w:rsidR="00107203" w:rsidRDefault="004E6691" w:rsidP="004D3BD0">
      <w:pPr>
        <w:pStyle w:val="ESHeading2"/>
      </w:pPr>
      <w:r>
        <w:t xml:space="preserve">… supported by </w:t>
      </w:r>
      <w:r w:rsidR="006C6B32">
        <w:t>Place-</w:t>
      </w:r>
      <w:r w:rsidR="007425A4">
        <w:t>B</w:t>
      </w:r>
      <w:r w:rsidR="006C6B32">
        <w:t xml:space="preserve">ased Initiatives </w:t>
      </w:r>
      <w:r w:rsidR="00107203">
        <w:t>…</w:t>
      </w:r>
    </w:p>
    <w:p w14:paraId="5320A9D0" w14:textId="1359151C" w:rsidR="006B097C" w:rsidRPr="00087DD1" w:rsidRDefault="00E96F70" w:rsidP="00347879">
      <w:pPr>
        <w:ind w:left="851"/>
      </w:pPr>
      <w:r>
        <w:t xml:space="preserve">At the systems level, </w:t>
      </w:r>
      <w:r w:rsidRPr="00F543C1">
        <w:t>we need to develop a new administrative approach to addressing persistent disadvantage</w:t>
      </w:r>
      <w:r w:rsidR="0051715E">
        <w:t>. P</w:t>
      </w:r>
      <w:r w:rsidR="00627983">
        <w:t xml:space="preserve">eople with the most complex and enduring needs </w:t>
      </w:r>
      <w:r w:rsidR="0051715E">
        <w:t xml:space="preserve">will still need to access some </w:t>
      </w:r>
      <w:r w:rsidR="009746B0">
        <w:t>‘</w:t>
      </w:r>
      <w:r w:rsidR="0051715E" w:rsidRPr="00087DD1">
        <w:t>mainstream</w:t>
      </w:r>
      <w:r w:rsidR="009746B0" w:rsidRPr="00087DD1">
        <w:t>’</w:t>
      </w:r>
      <w:r w:rsidR="0051715E" w:rsidRPr="00087DD1">
        <w:t xml:space="preserve"> services (such as </w:t>
      </w:r>
      <w:r w:rsidR="002A7461" w:rsidRPr="00087DD1">
        <w:t>N</w:t>
      </w:r>
      <w:r w:rsidR="001E3A5F" w:rsidRPr="00087DD1">
        <w:t xml:space="preserve">ew </w:t>
      </w:r>
      <w:r w:rsidR="002A7461" w:rsidRPr="00087DD1">
        <w:t>Z</w:t>
      </w:r>
      <w:r w:rsidR="001E3A5F" w:rsidRPr="00087DD1">
        <w:t>ealand</w:t>
      </w:r>
      <w:r w:rsidR="002A7461" w:rsidRPr="00087DD1">
        <w:t xml:space="preserve"> </w:t>
      </w:r>
      <w:r w:rsidR="00327A58" w:rsidRPr="00087DD1">
        <w:t>superannuation</w:t>
      </w:r>
      <w:r w:rsidR="002A7461" w:rsidRPr="00087DD1">
        <w:t xml:space="preserve"> or Working for Families)</w:t>
      </w:r>
      <w:r w:rsidR="0059478F">
        <w:t>,</w:t>
      </w:r>
      <w:r w:rsidR="002A7461" w:rsidRPr="00087DD1">
        <w:t xml:space="preserve"> but </w:t>
      </w:r>
      <w:r w:rsidR="009746B0" w:rsidRPr="00087DD1">
        <w:t xml:space="preserve">there also needs to be a </w:t>
      </w:r>
      <w:r w:rsidR="000E3132" w:rsidRPr="00087DD1">
        <w:t xml:space="preserve">parallel </w:t>
      </w:r>
      <w:r w:rsidR="009746B0" w:rsidRPr="00087DD1">
        <w:t xml:space="preserve">supplementary system </w:t>
      </w:r>
      <w:r w:rsidR="00205D47" w:rsidRPr="00087DD1">
        <w:t>that</w:t>
      </w:r>
      <w:r w:rsidR="0084739A" w:rsidRPr="00087DD1">
        <w:t xml:space="preserve"> is accountable for</w:t>
      </w:r>
      <w:r w:rsidR="00205D47" w:rsidRPr="00087DD1">
        <w:t xml:space="preserve"> provid</w:t>
      </w:r>
      <w:r w:rsidR="0084739A" w:rsidRPr="00087DD1">
        <w:t>ing</w:t>
      </w:r>
      <w:r w:rsidR="00205D47" w:rsidRPr="00087DD1">
        <w:t xml:space="preserve"> additional assistance </w:t>
      </w:r>
      <w:r w:rsidR="002B4576" w:rsidRPr="00087DD1">
        <w:t xml:space="preserve">to meet their wider needs. </w:t>
      </w:r>
    </w:p>
    <w:p w14:paraId="06CA25A0" w14:textId="534D6E8F" w:rsidR="0077273C" w:rsidRDefault="00DF1A64" w:rsidP="006F26E1">
      <w:pPr>
        <w:ind w:left="851"/>
      </w:pPr>
      <w:r>
        <w:t>We propose that a network of Place-</w:t>
      </w:r>
      <w:r w:rsidR="007425A4">
        <w:t>B</w:t>
      </w:r>
      <w:r>
        <w:t xml:space="preserve">ased Initiatives </w:t>
      </w:r>
      <w:r w:rsidR="00534B1A">
        <w:t xml:space="preserve">(PBIs) </w:t>
      </w:r>
      <w:r>
        <w:t xml:space="preserve">be established to work </w:t>
      </w:r>
      <w:r w:rsidR="0077273C">
        <w:t>with people experiencing persistent disadvantage</w:t>
      </w:r>
      <w:r w:rsidR="00534B1A">
        <w:t xml:space="preserve">. Manaaki </w:t>
      </w:r>
      <w:proofErr w:type="spellStart"/>
      <w:r w:rsidR="00534B1A">
        <w:t>Tai</w:t>
      </w:r>
      <w:r w:rsidR="002F69B3">
        <w:t>rā</w:t>
      </w:r>
      <w:r w:rsidR="00534B1A">
        <w:t>whiti</w:t>
      </w:r>
      <w:proofErr w:type="spellEnd"/>
      <w:r w:rsidR="00534B1A">
        <w:t xml:space="preserve"> and the South </w:t>
      </w:r>
      <w:r w:rsidR="002F69B3">
        <w:t>Auckland</w:t>
      </w:r>
      <w:r w:rsidR="00534B1A">
        <w:t xml:space="preserve"> Social</w:t>
      </w:r>
      <w:r w:rsidR="002F69B3">
        <w:t xml:space="preserve"> Wellbeing</w:t>
      </w:r>
      <w:r w:rsidR="00534B1A">
        <w:t xml:space="preserve"> Bo</w:t>
      </w:r>
      <w:r w:rsidR="002F69B3">
        <w:t>a</w:t>
      </w:r>
      <w:r w:rsidR="00534B1A">
        <w:t xml:space="preserve">rd show that </w:t>
      </w:r>
      <w:r w:rsidR="00E43865" w:rsidRPr="00E43865">
        <w:t>structure is less important than objectives and way of working</w:t>
      </w:r>
      <w:r w:rsidR="00E43865">
        <w:t>.</w:t>
      </w:r>
      <w:r w:rsidR="00092BB5">
        <w:t xml:space="preserve"> </w:t>
      </w:r>
      <w:r w:rsidR="00902DBD">
        <w:t>We envisage a range of different PBIs operating across the motu.</w:t>
      </w:r>
      <w:r w:rsidR="00CA3641">
        <w:t xml:space="preserve"> Some could be iwi-or faith based; some could operate nationally, other</w:t>
      </w:r>
      <w:r w:rsidR="00B71FDB">
        <w:t>s</w:t>
      </w:r>
      <w:r w:rsidR="00CA3641">
        <w:t xml:space="preserve"> regional</w:t>
      </w:r>
      <w:r w:rsidR="00B71FDB">
        <w:t xml:space="preserve">ly, or even down to the community level. </w:t>
      </w:r>
      <w:r w:rsidR="00BD0ECA">
        <w:t>The</w:t>
      </w:r>
      <w:r w:rsidR="00470B89">
        <w:t>ir</w:t>
      </w:r>
      <w:r w:rsidR="00BD0ECA">
        <w:t xml:space="preserve"> jurisdictions could overlap, allowing people experiencing persistent disadvantage to </w:t>
      </w:r>
      <w:r w:rsidR="00470B89">
        <w:t>choose</w:t>
      </w:r>
      <w:r w:rsidR="00BD0ECA">
        <w:t xml:space="preserve"> from whom they seek support and assistance.</w:t>
      </w:r>
    </w:p>
    <w:p w14:paraId="02F2D892" w14:textId="16339FA2" w:rsidR="00107203" w:rsidRDefault="004F7646" w:rsidP="006F26E1">
      <w:pPr>
        <w:ind w:left="851"/>
      </w:pPr>
      <w:r>
        <w:t>PBIs</w:t>
      </w:r>
      <w:r w:rsidR="00D41A72" w:rsidRPr="00087DD1">
        <w:t xml:space="preserve"> should be empowered, in </w:t>
      </w:r>
      <w:r w:rsidR="00BE34B5">
        <w:t>culturally appropriate and respectful ways</w:t>
      </w:r>
      <w:r w:rsidR="002B0F49">
        <w:t xml:space="preserve"> </w:t>
      </w:r>
      <w:r w:rsidR="00A64B69">
        <w:t>that are consistent with the Pri</w:t>
      </w:r>
      <w:r w:rsidR="002B0F49">
        <w:t>vacy Act</w:t>
      </w:r>
      <w:r w:rsidR="001305E7">
        <w:t xml:space="preserve">, </w:t>
      </w:r>
      <w:r w:rsidR="00B86E95" w:rsidRPr="00087DD1">
        <w:t xml:space="preserve">to use data held across the government </w:t>
      </w:r>
      <w:r w:rsidR="006F26E1" w:rsidRPr="00087DD1">
        <w:t xml:space="preserve">to identify </w:t>
      </w:r>
      <w:r w:rsidR="00087DD1">
        <w:t>people</w:t>
      </w:r>
      <w:r w:rsidR="00087DD1" w:rsidRPr="00087DD1">
        <w:t xml:space="preserve"> </w:t>
      </w:r>
      <w:r w:rsidR="006F26E1" w:rsidRPr="00087DD1">
        <w:t>who might be eligible for</w:t>
      </w:r>
      <w:r w:rsidR="006F26E1">
        <w:t xml:space="preserve"> additional assistance.</w:t>
      </w:r>
    </w:p>
    <w:p w14:paraId="1D202916" w14:textId="482486A4" w:rsidR="0027603A" w:rsidRDefault="0027603A" w:rsidP="006F26E1">
      <w:pPr>
        <w:ind w:left="851"/>
      </w:pPr>
      <w:r>
        <w:t>PBIs would be accountable to the people they are assisting and to the Crown for the public money they expend and their performance. The new specialist department would be responsible for overseeing the network of PBIs, but in a very light touch way that does not resemble the current system for contracting with NGOs.</w:t>
      </w:r>
    </w:p>
    <w:p w14:paraId="3A40D527" w14:textId="4A2253B3" w:rsidR="00B86E95" w:rsidRDefault="00107203" w:rsidP="00591D95">
      <w:pPr>
        <w:pStyle w:val="ESHeading2"/>
      </w:pPr>
      <w:r>
        <w:lastRenderedPageBreak/>
        <w:t>… employing</w:t>
      </w:r>
      <w:r w:rsidR="006F26E1">
        <w:t xml:space="preserve"> </w:t>
      </w:r>
      <w:r w:rsidRPr="00107203">
        <w:t>lead community worker</w:t>
      </w:r>
      <w:r>
        <w:t>s</w:t>
      </w:r>
      <w:r w:rsidR="004E6691">
        <w:t xml:space="preserve"> to </w:t>
      </w:r>
      <w:r w:rsidR="00B61B6D">
        <w:t>help</w:t>
      </w:r>
      <w:r w:rsidR="004E6691">
        <w:t xml:space="preserve"> whānau</w:t>
      </w:r>
      <w:r w:rsidR="003D08F0">
        <w:t xml:space="preserve"> </w:t>
      </w:r>
      <w:r w:rsidR="00B61B6D">
        <w:t>build better</w:t>
      </w:r>
      <w:r w:rsidR="003D08F0">
        <w:t xml:space="preserve"> </w:t>
      </w:r>
      <w:proofErr w:type="gramStart"/>
      <w:r w:rsidR="003D08F0">
        <w:t>lives</w:t>
      </w:r>
      <w:proofErr w:type="gramEnd"/>
    </w:p>
    <w:p w14:paraId="160C73F5" w14:textId="55FB5ABB" w:rsidR="00333A78" w:rsidRPr="00087DD1" w:rsidRDefault="00333A78" w:rsidP="00333A78">
      <w:pPr>
        <w:ind w:left="851"/>
      </w:pPr>
      <w:r>
        <w:t>Once those people are identified, a front-line worker would be assigned to walk with</w:t>
      </w:r>
      <w:r w:rsidR="0009104D">
        <w:t xml:space="preserve"> people experiencing persistent disadvantage </w:t>
      </w:r>
      <w:r>
        <w:t>on their journey to a better life. Their responsibilities would be much broader than those of a traditional ‘navigator’ tasked with helping whānau access available services. As a working name, we refer to th</w:t>
      </w:r>
      <w:r w:rsidR="004809D5">
        <w:t>is person</w:t>
      </w:r>
      <w:r>
        <w:t xml:space="preserve"> as a ‘</w:t>
      </w:r>
      <w:bookmarkStart w:id="2" w:name="_Hlk126267655"/>
      <w:r w:rsidR="00070525">
        <w:t>lead community worker</w:t>
      </w:r>
      <w:r>
        <w:t>’</w:t>
      </w:r>
      <w:bookmarkEnd w:id="2"/>
      <w:r>
        <w:t xml:space="preserve">. This </w:t>
      </w:r>
      <w:r w:rsidRPr="00087DD1">
        <w:t>emphasises both their leadership role</w:t>
      </w:r>
      <w:r w:rsidR="00BE34B5">
        <w:t xml:space="preserve"> and</w:t>
      </w:r>
      <w:r w:rsidRPr="00087DD1">
        <w:t xml:space="preserve"> that they are there to help whānau</w:t>
      </w:r>
      <w:r w:rsidR="004F5679">
        <w:t xml:space="preserve"> </w:t>
      </w:r>
      <w:r w:rsidR="00393E09">
        <w:t xml:space="preserve">build trust and community and </w:t>
      </w:r>
      <w:r w:rsidR="004F5679">
        <w:t>identify</w:t>
      </w:r>
      <w:r w:rsidRPr="00087DD1">
        <w:t xml:space="preserve"> </w:t>
      </w:r>
      <w:r w:rsidR="00393E09">
        <w:t xml:space="preserve">and </w:t>
      </w:r>
      <w:r w:rsidRPr="00087DD1">
        <w:t>access</w:t>
      </w:r>
      <w:r w:rsidR="00393E09">
        <w:t xml:space="preserve"> any</w:t>
      </w:r>
      <w:r w:rsidRPr="00087DD1">
        <w:t xml:space="preserve"> assistance</w:t>
      </w:r>
      <w:r w:rsidR="00393E09">
        <w:t xml:space="preserve"> they need</w:t>
      </w:r>
      <w:r w:rsidRPr="00087DD1">
        <w:t>.</w:t>
      </w:r>
    </w:p>
    <w:p w14:paraId="0DBBBE61" w14:textId="418B7FA5" w:rsidR="00AF1D46" w:rsidRPr="00087DD1" w:rsidRDefault="00070525" w:rsidP="00AF1D46">
      <w:pPr>
        <w:ind w:left="851"/>
      </w:pPr>
      <w:r>
        <w:t>Lead community worker</w:t>
      </w:r>
      <w:r w:rsidR="00986DD4" w:rsidRPr="00087DD1">
        <w:t>s w</w:t>
      </w:r>
      <w:r w:rsidR="006F26E1" w:rsidRPr="00087DD1">
        <w:t>ould build trusted relationships with whānau, understan</w:t>
      </w:r>
      <w:r w:rsidR="005723E7" w:rsidRPr="00087DD1">
        <w:t>d</w:t>
      </w:r>
      <w:r w:rsidR="006F26E1" w:rsidRPr="00087DD1">
        <w:t xml:space="preserve"> their needs and priorities and work with them to develop and implement a plan for improving their lives. </w:t>
      </w:r>
      <w:r w:rsidR="00AF1D46" w:rsidRPr="00087DD1">
        <w:t xml:space="preserve">They would have principal, and </w:t>
      </w:r>
      <w:r w:rsidR="003035FB" w:rsidRPr="00087DD1">
        <w:t>in some cases</w:t>
      </w:r>
      <w:r w:rsidR="00AF1D46" w:rsidRPr="00087DD1">
        <w:t xml:space="preserve"> exclusive, authority to gather information required to plan and deliver </w:t>
      </w:r>
      <w:r w:rsidR="00FC5EE4">
        <w:t>support</w:t>
      </w:r>
      <w:r w:rsidR="00AF1D46" w:rsidRPr="00087DD1">
        <w:t>.</w:t>
      </w:r>
    </w:p>
    <w:p w14:paraId="2DF6E264" w14:textId="49BAD3B8" w:rsidR="006F26E1" w:rsidRDefault="006F26E1" w:rsidP="006F26E1">
      <w:pPr>
        <w:ind w:left="851"/>
      </w:pPr>
      <w:r w:rsidRPr="00087DD1">
        <w:t xml:space="preserve">The </w:t>
      </w:r>
      <w:r w:rsidR="00070525">
        <w:t>lead community worker</w:t>
      </w:r>
      <w:r w:rsidRPr="00087DD1">
        <w:t xml:space="preserve"> would be empowered to take control of the entire package of assistance </w:t>
      </w:r>
      <w:r w:rsidR="00CE035D">
        <w:t xml:space="preserve">provided to an individual </w:t>
      </w:r>
      <w:r w:rsidR="00917ABF">
        <w:t xml:space="preserve">or </w:t>
      </w:r>
      <w:r w:rsidR="00CE035D">
        <w:t xml:space="preserve">whānau, </w:t>
      </w:r>
      <w:r w:rsidRPr="00087DD1">
        <w:t xml:space="preserve">within carefully defined and monitored limits. </w:t>
      </w:r>
      <w:r w:rsidR="005A32B9" w:rsidRPr="00327A58">
        <w:t xml:space="preserve">They </w:t>
      </w:r>
      <w:r w:rsidRPr="00327A58">
        <w:t xml:space="preserve">would make </w:t>
      </w:r>
      <w:r w:rsidR="005723E7" w:rsidRPr="00327A58">
        <w:t>a</w:t>
      </w:r>
      <w:r w:rsidRPr="00327A58">
        <w:t xml:space="preserve"> holistic assessment </w:t>
      </w:r>
      <w:r w:rsidR="00FE11E1">
        <w:t xml:space="preserve">of </w:t>
      </w:r>
      <w:r w:rsidR="008A0492">
        <w:t xml:space="preserve">the </w:t>
      </w:r>
      <w:r w:rsidR="00FE11E1">
        <w:t xml:space="preserve">needs </w:t>
      </w:r>
      <w:r w:rsidR="008A0492">
        <w:t xml:space="preserve">identified by whānau </w:t>
      </w:r>
      <w:r w:rsidRPr="00327A58">
        <w:t>and</w:t>
      </w:r>
      <w:r w:rsidR="00D50D0A">
        <w:t xml:space="preserve"> where necessary, approve </w:t>
      </w:r>
      <w:r w:rsidR="009C6474">
        <w:t xml:space="preserve">enduring and </w:t>
      </w:r>
      <w:r w:rsidR="00D50D0A">
        <w:t>overarching eligibility for support,</w:t>
      </w:r>
      <w:r w:rsidR="009E6828">
        <w:t xml:space="preserve"> </w:t>
      </w:r>
      <w:r w:rsidR="009C6474">
        <w:t>thereby</w:t>
      </w:r>
      <w:r w:rsidR="009E6828">
        <w:t xml:space="preserve"> </w:t>
      </w:r>
      <w:r w:rsidR="00BF6FFC">
        <w:t>removing the</w:t>
      </w:r>
      <w:r>
        <w:t xml:space="preserve"> need for people</w:t>
      </w:r>
      <w:r w:rsidR="005723E7">
        <w:t xml:space="preserve"> experiencing multiple, ongoing challenges</w:t>
      </w:r>
      <w:r>
        <w:t xml:space="preserve"> to </w:t>
      </w:r>
      <w:r w:rsidR="005723E7">
        <w:t>repeatedly</w:t>
      </w:r>
      <w:r>
        <w:t xml:space="preserve"> prove that they need help</w:t>
      </w:r>
      <w:r w:rsidR="00AF1D46">
        <w:t>.</w:t>
      </w:r>
      <w:r w:rsidR="00DA0538">
        <w:t xml:space="preserve"> </w:t>
      </w:r>
    </w:p>
    <w:p w14:paraId="50D1229D" w14:textId="77777777" w:rsidR="0071679D" w:rsidRDefault="006F26E1" w:rsidP="006F26E1">
      <w:pPr>
        <w:ind w:left="851"/>
      </w:pPr>
      <w:r>
        <w:t xml:space="preserve">The </w:t>
      </w:r>
      <w:r w:rsidR="00070525">
        <w:t>lead community worker</w:t>
      </w:r>
      <w:r>
        <w:t xml:space="preserve"> would also be empowered to authorise additional assistance identified by the whānau they are working with. They would, </w:t>
      </w:r>
      <w:r w:rsidR="005723E7">
        <w:t>in some cases</w:t>
      </w:r>
      <w:r w:rsidR="00EF1B8B">
        <w:t>,</w:t>
      </w:r>
      <w:r>
        <w:t xml:space="preserve"> jointly with the whānau, become a budget holder. The ethos would be to do ‘whatever it takes within the budget’ to improve the lives of the whānau they are supporting.</w:t>
      </w:r>
    </w:p>
    <w:p w14:paraId="10158E41" w14:textId="2131A7DA" w:rsidR="006F26E1" w:rsidRDefault="0071679D" w:rsidP="006F26E1">
      <w:pPr>
        <w:ind w:left="851"/>
      </w:pPr>
      <w:r>
        <w:t>A plan of how people working with a</w:t>
      </w:r>
      <w:r w:rsidR="006F26E1">
        <w:t xml:space="preserve"> </w:t>
      </w:r>
      <w:r>
        <w:t>lead community work</w:t>
      </w:r>
      <w:r w:rsidR="00DB108D">
        <w:t>er</w:t>
      </w:r>
      <w:r>
        <w:t xml:space="preserve"> might progress to needing different, and possible less, assistance would be developed. </w:t>
      </w:r>
    </w:p>
    <w:p w14:paraId="27A85274" w14:textId="12CD5C71" w:rsidR="005723E7" w:rsidRPr="00AD6918" w:rsidRDefault="006F26E1" w:rsidP="00347879">
      <w:pPr>
        <w:ind w:left="851"/>
      </w:pPr>
      <w:r>
        <w:t xml:space="preserve">We propose that individual </w:t>
      </w:r>
      <w:r w:rsidR="00070525">
        <w:t>lead community worker</w:t>
      </w:r>
      <w:r>
        <w:t xml:space="preserve">s would be supported by teams of peers and supervisors on a day-to-day </w:t>
      </w:r>
      <w:proofErr w:type="gramStart"/>
      <w:r>
        <w:t>basis.</w:t>
      </w:r>
      <w:r w:rsidR="002A3AAC" w:rsidRPr="00AD6918">
        <w:t>.</w:t>
      </w:r>
      <w:proofErr w:type="gramEnd"/>
      <w:r w:rsidR="002A3AAC" w:rsidRPr="00AD6918">
        <w:t xml:space="preserve"> </w:t>
      </w:r>
    </w:p>
    <w:p w14:paraId="3760303A" w14:textId="77777777" w:rsidR="00347879" w:rsidRPr="000177FE" w:rsidRDefault="00347879" w:rsidP="001E3A5F">
      <w:pPr>
        <w:pStyle w:val="ESHeading2"/>
      </w:pPr>
      <w:r w:rsidRPr="000177FE">
        <w:t>Being ready for change</w:t>
      </w:r>
    </w:p>
    <w:p w14:paraId="0026F9DD" w14:textId="3CCF4CAD" w:rsidR="00347879" w:rsidRPr="000177FE" w:rsidRDefault="00347879" w:rsidP="00347879">
      <w:pPr>
        <w:ind w:left="851"/>
      </w:pPr>
      <w:r w:rsidRPr="000177FE">
        <w:t>While having at face value a sophisticated public accountability system that produces large volumes of material, in our view</w:t>
      </w:r>
      <w:r w:rsidR="007B1111">
        <w:t>,</w:t>
      </w:r>
      <w:r w:rsidRPr="000177FE">
        <w:t xml:space="preserve"> New Zealand’s current approach provides</w:t>
      </w:r>
      <w:r w:rsidR="007B1111">
        <w:t>,</w:t>
      </w:r>
      <w:r w:rsidRPr="000177FE">
        <w:t xml:space="preserve"> at best</w:t>
      </w:r>
      <w:r w:rsidR="007B1111">
        <w:t>,</w:t>
      </w:r>
      <w:r w:rsidRPr="000177FE">
        <w:t xml:space="preserve"> a false sense of security and</w:t>
      </w:r>
      <w:r w:rsidR="007B1111">
        <w:t>,</w:t>
      </w:r>
      <w:r w:rsidRPr="000177FE">
        <w:t xml:space="preserve"> at worst</w:t>
      </w:r>
      <w:r w:rsidR="007B1111">
        <w:t>,</w:t>
      </w:r>
      <w:r w:rsidRPr="000177FE">
        <w:t xml:space="preserve"> a shield behind which inefficiency and ineffectiveness can be hidden.</w:t>
      </w:r>
    </w:p>
    <w:p w14:paraId="724C5020" w14:textId="4B07390A" w:rsidR="00347879" w:rsidRPr="000177FE" w:rsidRDefault="00347879" w:rsidP="00347879">
      <w:pPr>
        <w:ind w:left="851"/>
      </w:pPr>
      <w:r w:rsidRPr="000177FE">
        <w:t>Better accountability will drive assistance that leads to better lives. This means more focus on</w:t>
      </w:r>
      <w:r w:rsidRPr="000177FE">
        <w:rPr>
          <w:b/>
          <w:bCs/>
        </w:rPr>
        <w:t xml:space="preserve"> </w:t>
      </w:r>
      <w:r w:rsidRPr="000177FE">
        <w:t>demonstrating the effectiveness of assistance and value</w:t>
      </w:r>
      <w:r w:rsidR="005723E7">
        <w:t xml:space="preserve"> </w:t>
      </w:r>
      <w:r w:rsidRPr="000177FE">
        <w:t>for</w:t>
      </w:r>
      <w:r w:rsidR="005723E7">
        <w:t xml:space="preserve"> </w:t>
      </w:r>
      <w:r w:rsidRPr="000177FE">
        <w:t xml:space="preserve">money and learning and much less on simply reporting activities, </w:t>
      </w:r>
      <w:proofErr w:type="gramStart"/>
      <w:r w:rsidRPr="000177FE">
        <w:t>inputs</w:t>
      </w:r>
      <w:proofErr w:type="gramEnd"/>
      <w:r w:rsidRPr="000177FE">
        <w:t xml:space="preserve"> and outputs. It also requires active feedback loops designed to address systemic causes of persistent disadvantage and recalibrate power imbalances.</w:t>
      </w:r>
    </w:p>
    <w:p w14:paraId="74AAC858" w14:textId="5E4065A1" w:rsidR="00347879" w:rsidRPr="000177FE" w:rsidRDefault="00347879" w:rsidP="00347879">
      <w:pPr>
        <w:ind w:left="851"/>
      </w:pPr>
      <w:r>
        <w:t xml:space="preserve">The recommendations we set out </w:t>
      </w:r>
      <w:r w:rsidR="005723E7">
        <w:t xml:space="preserve">in section 5 </w:t>
      </w:r>
      <w:r>
        <w:t xml:space="preserve">below will </w:t>
      </w:r>
      <w:r w:rsidRPr="000177FE">
        <w:t>support a more balanced system of accountability</w:t>
      </w:r>
      <w:r>
        <w:t>. This</w:t>
      </w:r>
      <w:r w:rsidRPr="000177FE">
        <w:t xml:space="preserve"> will lead to three key changes:</w:t>
      </w:r>
    </w:p>
    <w:p w14:paraId="56D4D5C6" w14:textId="757E5F5F" w:rsidR="00347879" w:rsidRPr="000177FE" w:rsidRDefault="00347879" w:rsidP="00347879">
      <w:pPr>
        <w:numPr>
          <w:ilvl w:val="0"/>
          <w:numId w:val="1"/>
        </w:numPr>
      </w:pPr>
      <w:r w:rsidRPr="000177FE">
        <w:t xml:space="preserve">Process improvement will become a positive, proactive element of policy development and programme </w:t>
      </w:r>
      <w:proofErr w:type="gramStart"/>
      <w:r w:rsidRPr="000177FE">
        <w:t>administration</w:t>
      </w:r>
      <w:proofErr w:type="gramEnd"/>
      <w:r w:rsidRPr="000177FE">
        <w:t xml:space="preserve"> </w:t>
      </w:r>
    </w:p>
    <w:p w14:paraId="3E19E5DF" w14:textId="77777777" w:rsidR="00347879" w:rsidRPr="000177FE" w:rsidRDefault="00347879" w:rsidP="00347879">
      <w:pPr>
        <w:numPr>
          <w:ilvl w:val="0"/>
          <w:numId w:val="1"/>
        </w:numPr>
      </w:pPr>
      <w:r w:rsidRPr="000177FE">
        <w:t xml:space="preserve">Programmes and providers that are not effective will be supported to improve or discontinued and replaced with effective </w:t>
      </w:r>
      <w:proofErr w:type="gramStart"/>
      <w:r w:rsidRPr="000177FE">
        <w:t>programmes</w:t>
      </w:r>
      <w:proofErr w:type="gramEnd"/>
    </w:p>
    <w:p w14:paraId="029466CB" w14:textId="77777777" w:rsidR="00347879" w:rsidRPr="000177FE" w:rsidRDefault="00347879" w:rsidP="00347879">
      <w:pPr>
        <w:numPr>
          <w:ilvl w:val="0"/>
          <w:numId w:val="1"/>
        </w:numPr>
      </w:pPr>
      <w:r w:rsidRPr="000177FE">
        <w:lastRenderedPageBreak/>
        <w:t xml:space="preserve">Underlying systemic issues and power imbalances will be addressed and dismantled over time. </w:t>
      </w:r>
    </w:p>
    <w:p w14:paraId="123837DD" w14:textId="14706A5D" w:rsidR="00347879" w:rsidRPr="000177FE" w:rsidRDefault="009631CF" w:rsidP="00347879">
      <w:pPr>
        <w:ind w:left="851"/>
      </w:pPr>
      <w:r w:rsidRPr="009631CF">
        <w:t>We are realists: any improvements in the system of accountability will only come about in New Zealand if a government wants to hold itself and its successors to a higher level of account</w:t>
      </w:r>
      <w:r w:rsidR="002408BC">
        <w:t>ability</w:t>
      </w:r>
      <w:r w:rsidRPr="009631CF">
        <w:t xml:space="preserve"> than the status quo.</w:t>
      </w:r>
      <w:r>
        <w:t xml:space="preserve"> </w:t>
      </w:r>
      <w:r w:rsidR="00347879" w:rsidRPr="000177FE">
        <w:t xml:space="preserve">Bodies like the Productivity Commission and the Office of the Auditor-General have important advisory roles, but they are not final </w:t>
      </w:r>
      <w:r w:rsidR="002408BC" w:rsidRPr="000177FE">
        <w:t>decision</w:t>
      </w:r>
      <w:r w:rsidR="002408BC">
        <w:t>-</w:t>
      </w:r>
      <w:r w:rsidR="00347879" w:rsidRPr="000177FE">
        <w:t xml:space="preserve">makers. In addition, while the Commission has made important contributions to this debate, including in its </w:t>
      </w:r>
      <w:r w:rsidR="00347879" w:rsidRPr="00245D0B">
        <w:t>earlier</w:t>
      </w:r>
      <w:r w:rsidR="00347879" w:rsidRPr="000177FE">
        <w:rPr>
          <w:i/>
          <w:iCs/>
        </w:rPr>
        <w:t xml:space="preserve"> More effective social services inquiry</w:t>
      </w:r>
      <w:r w:rsidR="00347879" w:rsidRPr="000177FE">
        <w:t xml:space="preserve">, it presently lacks the resourcing and organisational remit to provide further detailed advice on the benefits of improving the productivity of the social assistance system. </w:t>
      </w:r>
    </w:p>
    <w:p w14:paraId="0EC09646" w14:textId="55F3A85C" w:rsidR="00223EC9" w:rsidRDefault="00223EC9" w:rsidP="00223EC9">
      <w:pPr>
        <w:ind w:left="851"/>
      </w:pPr>
      <w:r>
        <w:t xml:space="preserve">The Productivity Commission should take the opportunity of its current inquiry to make the case </w:t>
      </w:r>
      <w:r w:rsidR="004608BA">
        <w:t xml:space="preserve">again for reform and provide </w:t>
      </w:r>
      <w:r w:rsidR="00E129CB">
        <w:t xml:space="preserve">Aotearoa </w:t>
      </w:r>
      <w:r w:rsidR="004608BA">
        <w:t>New Zealand with a blueprint for what it consider</w:t>
      </w:r>
      <w:r>
        <w:t xml:space="preserve">s </w:t>
      </w:r>
      <w:r w:rsidR="004608BA">
        <w:t xml:space="preserve">is </w:t>
      </w:r>
      <w:r>
        <w:t>required.</w:t>
      </w:r>
    </w:p>
    <w:p w14:paraId="772769A2" w14:textId="2962089E" w:rsidR="00916CFA" w:rsidRPr="00F543C1" w:rsidRDefault="00223EC9" w:rsidP="00BE14CF">
      <w:pPr>
        <w:pStyle w:val="USBodyText"/>
      </w:pPr>
      <w:r>
        <w:t xml:space="preserve">We encourage them to pose a challenge to all those exercising </w:t>
      </w:r>
      <w:r w:rsidR="0084049B">
        <w:t xml:space="preserve">their </w:t>
      </w:r>
      <w:r>
        <w:t xml:space="preserve">power to reduce persistent disadvantage: </w:t>
      </w:r>
      <w:r w:rsidR="000B2644" w:rsidRPr="000B2644">
        <w:t>why are you not prepared to be held to greater account for addressing this issue?</w:t>
      </w:r>
      <w:r w:rsidR="000B2644">
        <w:t xml:space="preserve"> </w:t>
      </w:r>
    </w:p>
    <w:p w14:paraId="21512881" w14:textId="27FBF51B" w:rsidR="00DC354C" w:rsidRPr="00F543C1" w:rsidRDefault="00DC354C" w:rsidP="00DC354C">
      <w:pPr>
        <w:pStyle w:val="HeadingContents"/>
      </w:pPr>
      <w:r w:rsidRPr="00F543C1">
        <w:lastRenderedPageBreak/>
        <w:t>Contents</w:t>
      </w:r>
    </w:p>
    <w:tbl>
      <w:tblPr>
        <w:tblStyle w:val="TableGridLight"/>
        <w:tblW w:w="9393" w:type="dxa"/>
        <w:tblInd w:w="0" w:type="dxa"/>
        <w:tblCellMar>
          <w:left w:w="0" w:type="dxa"/>
          <w:right w:w="0" w:type="dxa"/>
        </w:tblCellMar>
        <w:tblLook w:val="04A0" w:firstRow="1" w:lastRow="0" w:firstColumn="1" w:lastColumn="0" w:noHBand="0" w:noVBand="1"/>
      </w:tblPr>
      <w:tblGrid>
        <w:gridCol w:w="9393"/>
      </w:tblGrid>
      <w:tr w:rsidR="00DC354C" w:rsidRPr="00F543C1" w14:paraId="3DB5D26C" w14:textId="77777777" w:rsidTr="001C0653">
        <w:tc>
          <w:tcPr>
            <w:tcW w:w="9393" w:type="dxa"/>
            <w:tcBorders>
              <w:top w:val="nil"/>
              <w:left w:val="nil"/>
              <w:bottom w:val="nil"/>
              <w:right w:val="nil"/>
            </w:tcBorders>
          </w:tcPr>
          <w:p w14:paraId="47D37775" w14:textId="40F87798" w:rsidR="00B64FC6" w:rsidRDefault="00DC354C">
            <w:pPr>
              <w:pStyle w:val="TOC1"/>
              <w:rPr>
                <w:rFonts w:asciiTheme="minorHAnsi" w:eastAsiaTheme="minorEastAsia" w:hAnsiTheme="minorHAnsi"/>
                <w:noProof/>
                <w:lang w:eastAsia="en-NZ"/>
              </w:rPr>
            </w:pPr>
            <w:r w:rsidRPr="00F543C1">
              <w:rPr>
                <w:color w:val="0094C5"/>
                <w:sz w:val="24"/>
              </w:rPr>
              <w:fldChar w:fldCharType="begin"/>
            </w:r>
            <w:r w:rsidRPr="00F543C1">
              <w:instrText xml:space="preserve"> TOC </w:instrText>
            </w:r>
            <w:r w:rsidR="00F175C3" w:rsidRPr="00F543C1">
              <w:instrText xml:space="preserve"> </w:instrText>
            </w:r>
            <w:r w:rsidR="004761CC" w:rsidRPr="00F543C1">
              <w:instrText>\o "1-</w:instrText>
            </w:r>
            <w:r w:rsidR="00780A71" w:rsidRPr="00F543C1">
              <w:instrText>2</w:instrText>
            </w:r>
            <w:r w:rsidR="004761CC" w:rsidRPr="00F543C1">
              <w:instrText xml:space="preserve">" \t </w:instrText>
            </w:r>
            <w:r w:rsidR="00780A71" w:rsidRPr="00F543C1">
              <w:instrText>\</w:instrText>
            </w:r>
            <w:r w:rsidR="00C005FA" w:rsidRPr="00F543C1">
              <w:instrText>h</w:instrText>
            </w:r>
            <w:r w:rsidR="004761CC" w:rsidRPr="00F543C1">
              <w:instrText>"</w:instrText>
            </w:r>
            <w:r w:rsidRPr="00F543C1">
              <w:instrText xml:space="preserve"> </w:instrText>
            </w:r>
            <w:r w:rsidRPr="00F543C1">
              <w:rPr>
                <w:color w:val="0094C5"/>
                <w:sz w:val="24"/>
              </w:rPr>
              <w:fldChar w:fldCharType="separate"/>
            </w:r>
            <w:hyperlink w:anchor="_Toc126841189" w:history="1">
              <w:r w:rsidR="00B64FC6" w:rsidRPr="00E01EB7">
                <w:rPr>
                  <w:rStyle w:val="Hyperlink"/>
                  <w:noProof/>
                </w:rPr>
                <w:t>1</w:t>
              </w:r>
              <w:r w:rsidR="00B64FC6">
                <w:rPr>
                  <w:rFonts w:asciiTheme="minorHAnsi" w:eastAsiaTheme="minorEastAsia" w:hAnsiTheme="minorHAnsi"/>
                  <w:noProof/>
                  <w:lang w:eastAsia="en-NZ"/>
                </w:rPr>
                <w:tab/>
              </w:r>
              <w:r w:rsidR="00B64FC6" w:rsidRPr="00E01EB7">
                <w:rPr>
                  <w:rStyle w:val="Hyperlink"/>
                  <w:noProof/>
                </w:rPr>
                <w:t>Introduction</w:t>
              </w:r>
              <w:r w:rsidR="00B64FC6">
                <w:rPr>
                  <w:noProof/>
                </w:rPr>
                <w:tab/>
              </w:r>
              <w:r w:rsidR="00B64FC6">
                <w:rPr>
                  <w:noProof/>
                </w:rPr>
                <w:fldChar w:fldCharType="begin"/>
              </w:r>
              <w:r w:rsidR="00B64FC6">
                <w:rPr>
                  <w:noProof/>
                </w:rPr>
                <w:instrText xml:space="preserve"> PAGEREF _Toc126841189 \h </w:instrText>
              </w:r>
              <w:r w:rsidR="00B64FC6">
                <w:rPr>
                  <w:noProof/>
                </w:rPr>
              </w:r>
              <w:r w:rsidR="00B64FC6">
                <w:rPr>
                  <w:noProof/>
                </w:rPr>
                <w:fldChar w:fldCharType="separate"/>
              </w:r>
              <w:r w:rsidR="00E06351">
                <w:rPr>
                  <w:noProof/>
                </w:rPr>
                <w:t>1</w:t>
              </w:r>
              <w:r w:rsidR="00B64FC6">
                <w:rPr>
                  <w:noProof/>
                </w:rPr>
                <w:fldChar w:fldCharType="end"/>
              </w:r>
            </w:hyperlink>
          </w:p>
          <w:p w14:paraId="169A9DCC" w14:textId="690B1CC8" w:rsidR="00B64FC6" w:rsidRDefault="00000000">
            <w:pPr>
              <w:pStyle w:val="TOC2"/>
              <w:rPr>
                <w:rFonts w:asciiTheme="minorHAnsi" w:eastAsiaTheme="minorEastAsia" w:hAnsiTheme="minorHAnsi"/>
                <w:noProof/>
                <w:lang w:eastAsia="en-NZ"/>
              </w:rPr>
            </w:pPr>
            <w:hyperlink w:anchor="_Toc126841190" w:history="1">
              <w:r w:rsidR="00B64FC6" w:rsidRPr="00E01EB7">
                <w:rPr>
                  <w:rStyle w:val="Hyperlink"/>
                  <w:noProof/>
                </w:rPr>
                <w:t>1.1</w:t>
              </w:r>
              <w:r w:rsidR="00B64FC6">
                <w:rPr>
                  <w:rFonts w:asciiTheme="minorHAnsi" w:eastAsiaTheme="minorEastAsia" w:hAnsiTheme="minorHAnsi"/>
                  <w:noProof/>
                  <w:lang w:eastAsia="en-NZ"/>
                </w:rPr>
                <w:tab/>
              </w:r>
              <w:r w:rsidR="00B64FC6" w:rsidRPr="00E01EB7">
                <w:rPr>
                  <w:rStyle w:val="Hyperlink"/>
                  <w:noProof/>
                </w:rPr>
                <w:t>Our approach</w:t>
              </w:r>
              <w:r w:rsidR="00B64FC6">
                <w:rPr>
                  <w:noProof/>
                </w:rPr>
                <w:tab/>
              </w:r>
              <w:r w:rsidR="00B64FC6">
                <w:rPr>
                  <w:noProof/>
                </w:rPr>
                <w:fldChar w:fldCharType="begin"/>
              </w:r>
              <w:r w:rsidR="00B64FC6">
                <w:rPr>
                  <w:noProof/>
                </w:rPr>
                <w:instrText xml:space="preserve"> PAGEREF _Toc126841190 \h </w:instrText>
              </w:r>
              <w:r w:rsidR="00B64FC6">
                <w:rPr>
                  <w:noProof/>
                </w:rPr>
              </w:r>
              <w:r w:rsidR="00B64FC6">
                <w:rPr>
                  <w:noProof/>
                </w:rPr>
                <w:fldChar w:fldCharType="separate"/>
              </w:r>
              <w:r w:rsidR="00E06351">
                <w:rPr>
                  <w:noProof/>
                </w:rPr>
                <w:t>1</w:t>
              </w:r>
              <w:r w:rsidR="00B64FC6">
                <w:rPr>
                  <w:noProof/>
                </w:rPr>
                <w:fldChar w:fldCharType="end"/>
              </w:r>
            </w:hyperlink>
          </w:p>
          <w:p w14:paraId="44A449DD" w14:textId="675BB301" w:rsidR="00B64FC6" w:rsidRDefault="00000000">
            <w:pPr>
              <w:pStyle w:val="TOC2"/>
              <w:rPr>
                <w:rFonts w:asciiTheme="minorHAnsi" w:eastAsiaTheme="minorEastAsia" w:hAnsiTheme="minorHAnsi"/>
                <w:noProof/>
                <w:lang w:eastAsia="en-NZ"/>
              </w:rPr>
            </w:pPr>
            <w:hyperlink w:anchor="_Toc126841191" w:history="1">
              <w:r w:rsidR="00B64FC6" w:rsidRPr="00E01EB7">
                <w:rPr>
                  <w:rStyle w:val="Hyperlink"/>
                  <w:noProof/>
                </w:rPr>
                <w:t>1.2</w:t>
              </w:r>
              <w:r w:rsidR="00B64FC6">
                <w:rPr>
                  <w:rFonts w:asciiTheme="minorHAnsi" w:eastAsiaTheme="minorEastAsia" w:hAnsiTheme="minorHAnsi"/>
                  <w:noProof/>
                  <w:lang w:eastAsia="en-NZ"/>
                </w:rPr>
                <w:tab/>
              </w:r>
              <w:r w:rsidR="00B64FC6" w:rsidRPr="00E01EB7">
                <w:rPr>
                  <w:rStyle w:val="Hyperlink"/>
                  <w:noProof/>
                </w:rPr>
                <w:t>The relationship between accountability and policy</w:t>
              </w:r>
              <w:r w:rsidR="00B64FC6">
                <w:rPr>
                  <w:noProof/>
                </w:rPr>
                <w:tab/>
              </w:r>
              <w:r w:rsidR="00B64FC6">
                <w:rPr>
                  <w:noProof/>
                </w:rPr>
                <w:fldChar w:fldCharType="begin"/>
              </w:r>
              <w:r w:rsidR="00B64FC6">
                <w:rPr>
                  <w:noProof/>
                </w:rPr>
                <w:instrText xml:space="preserve"> PAGEREF _Toc126841191 \h </w:instrText>
              </w:r>
              <w:r w:rsidR="00B64FC6">
                <w:rPr>
                  <w:noProof/>
                </w:rPr>
              </w:r>
              <w:r w:rsidR="00B64FC6">
                <w:rPr>
                  <w:noProof/>
                </w:rPr>
                <w:fldChar w:fldCharType="separate"/>
              </w:r>
              <w:r w:rsidR="00E06351">
                <w:rPr>
                  <w:noProof/>
                </w:rPr>
                <w:t>2</w:t>
              </w:r>
              <w:r w:rsidR="00B64FC6">
                <w:rPr>
                  <w:noProof/>
                </w:rPr>
                <w:fldChar w:fldCharType="end"/>
              </w:r>
            </w:hyperlink>
          </w:p>
          <w:p w14:paraId="6DB28A4F" w14:textId="45FC7028" w:rsidR="00B64FC6" w:rsidRDefault="00000000">
            <w:pPr>
              <w:pStyle w:val="TOC2"/>
              <w:rPr>
                <w:rFonts w:asciiTheme="minorHAnsi" w:eastAsiaTheme="minorEastAsia" w:hAnsiTheme="minorHAnsi"/>
                <w:noProof/>
                <w:lang w:eastAsia="en-NZ"/>
              </w:rPr>
            </w:pPr>
            <w:hyperlink w:anchor="_Toc126841192" w:history="1">
              <w:r w:rsidR="00B64FC6" w:rsidRPr="00E01EB7">
                <w:rPr>
                  <w:rStyle w:val="Hyperlink"/>
                  <w:noProof/>
                </w:rPr>
                <w:t>1.3</w:t>
              </w:r>
              <w:r w:rsidR="00B64FC6">
                <w:rPr>
                  <w:rFonts w:asciiTheme="minorHAnsi" w:eastAsiaTheme="minorEastAsia" w:hAnsiTheme="minorHAnsi"/>
                  <w:noProof/>
                  <w:lang w:eastAsia="en-NZ"/>
                </w:rPr>
                <w:tab/>
              </w:r>
              <w:r w:rsidR="00B64FC6" w:rsidRPr="00E01EB7">
                <w:rPr>
                  <w:rStyle w:val="Hyperlink"/>
                  <w:noProof/>
                </w:rPr>
                <w:t>Better lives are the ultimate goal</w:t>
              </w:r>
              <w:r w:rsidR="00B64FC6">
                <w:rPr>
                  <w:noProof/>
                </w:rPr>
                <w:tab/>
              </w:r>
              <w:r w:rsidR="00B64FC6">
                <w:rPr>
                  <w:noProof/>
                </w:rPr>
                <w:fldChar w:fldCharType="begin"/>
              </w:r>
              <w:r w:rsidR="00B64FC6">
                <w:rPr>
                  <w:noProof/>
                </w:rPr>
                <w:instrText xml:space="preserve"> PAGEREF _Toc126841192 \h </w:instrText>
              </w:r>
              <w:r w:rsidR="00B64FC6">
                <w:rPr>
                  <w:noProof/>
                </w:rPr>
              </w:r>
              <w:r w:rsidR="00B64FC6">
                <w:rPr>
                  <w:noProof/>
                </w:rPr>
                <w:fldChar w:fldCharType="separate"/>
              </w:r>
              <w:r w:rsidR="00E06351">
                <w:rPr>
                  <w:noProof/>
                </w:rPr>
                <w:t>2</w:t>
              </w:r>
              <w:r w:rsidR="00B64FC6">
                <w:rPr>
                  <w:noProof/>
                </w:rPr>
                <w:fldChar w:fldCharType="end"/>
              </w:r>
            </w:hyperlink>
          </w:p>
          <w:p w14:paraId="7570EF88" w14:textId="1C49B452" w:rsidR="00B64FC6" w:rsidRDefault="00000000">
            <w:pPr>
              <w:pStyle w:val="TOC2"/>
              <w:rPr>
                <w:rFonts w:asciiTheme="minorHAnsi" w:eastAsiaTheme="minorEastAsia" w:hAnsiTheme="minorHAnsi"/>
                <w:noProof/>
                <w:lang w:eastAsia="en-NZ"/>
              </w:rPr>
            </w:pPr>
            <w:hyperlink w:anchor="_Toc126841193" w:history="1">
              <w:r w:rsidR="00B64FC6" w:rsidRPr="00E01EB7">
                <w:rPr>
                  <w:rStyle w:val="Hyperlink"/>
                  <w:noProof/>
                </w:rPr>
                <w:t>1.4</w:t>
              </w:r>
              <w:r w:rsidR="00B64FC6">
                <w:rPr>
                  <w:rFonts w:asciiTheme="minorHAnsi" w:eastAsiaTheme="minorEastAsia" w:hAnsiTheme="minorHAnsi"/>
                  <w:noProof/>
                  <w:lang w:eastAsia="en-NZ"/>
                </w:rPr>
                <w:tab/>
              </w:r>
              <w:r w:rsidR="00B64FC6" w:rsidRPr="00E01EB7">
                <w:rPr>
                  <w:rStyle w:val="Hyperlink"/>
                  <w:noProof/>
                </w:rPr>
                <w:t>The elusive quest for better outcomes</w:t>
              </w:r>
              <w:r w:rsidR="00B64FC6">
                <w:rPr>
                  <w:noProof/>
                </w:rPr>
                <w:tab/>
              </w:r>
              <w:r w:rsidR="00B64FC6">
                <w:rPr>
                  <w:noProof/>
                </w:rPr>
                <w:fldChar w:fldCharType="begin"/>
              </w:r>
              <w:r w:rsidR="00B64FC6">
                <w:rPr>
                  <w:noProof/>
                </w:rPr>
                <w:instrText xml:space="preserve"> PAGEREF _Toc126841193 \h </w:instrText>
              </w:r>
              <w:r w:rsidR="00B64FC6">
                <w:rPr>
                  <w:noProof/>
                </w:rPr>
              </w:r>
              <w:r w:rsidR="00B64FC6">
                <w:rPr>
                  <w:noProof/>
                </w:rPr>
                <w:fldChar w:fldCharType="separate"/>
              </w:r>
              <w:r w:rsidR="00E06351">
                <w:rPr>
                  <w:noProof/>
                </w:rPr>
                <w:t>5</w:t>
              </w:r>
              <w:r w:rsidR="00B64FC6">
                <w:rPr>
                  <w:noProof/>
                </w:rPr>
                <w:fldChar w:fldCharType="end"/>
              </w:r>
            </w:hyperlink>
          </w:p>
          <w:p w14:paraId="08A237E9" w14:textId="14952C9A" w:rsidR="00B64FC6" w:rsidRDefault="00000000">
            <w:pPr>
              <w:pStyle w:val="TOC2"/>
              <w:rPr>
                <w:rFonts w:asciiTheme="minorHAnsi" w:eastAsiaTheme="minorEastAsia" w:hAnsiTheme="minorHAnsi"/>
                <w:noProof/>
                <w:lang w:eastAsia="en-NZ"/>
              </w:rPr>
            </w:pPr>
            <w:hyperlink w:anchor="_Toc126841194" w:history="1">
              <w:r w:rsidR="00B64FC6" w:rsidRPr="00E01EB7">
                <w:rPr>
                  <w:rStyle w:val="Hyperlink"/>
                  <w:noProof/>
                </w:rPr>
                <w:t>1.5</w:t>
              </w:r>
              <w:r w:rsidR="00B64FC6">
                <w:rPr>
                  <w:rFonts w:asciiTheme="minorHAnsi" w:eastAsiaTheme="minorEastAsia" w:hAnsiTheme="minorHAnsi"/>
                  <w:noProof/>
                  <w:lang w:eastAsia="en-NZ"/>
                </w:rPr>
                <w:tab/>
              </w:r>
              <w:r w:rsidR="00B64FC6" w:rsidRPr="00E01EB7">
                <w:rPr>
                  <w:rStyle w:val="Hyperlink"/>
                  <w:noProof/>
                </w:rPr>
                <w:t>Accountability and persistent disadvantage</w:t>
              </w:r>
              <w:r w:rsidR="00B64FC6">
                <w:rPr>
                  <w:noProof/>
                </w:rPr>
                <w:tab/>
              </w:r>
              <w:r w:rsidR="00B64FC6">
                <w:rPr>
                  <w:noProof/>
                </w:rPr>
                <w:fldChar w:fldCharType="begin"/>
              </w:r>
              <w:r w:rsidR="00B64FC6">
                <w:rPr>
                  <w:noProof/>
                </w:rPr>
                <w:instrText xml:space="preserve"> PAGEREF _Toc126841194 \h </w:instrText>
              </w:r>
              <w:r w:rsidR="00B64FC6">
                <w:rPr>
                  <w:noProof/>
                </w:rPr>
              </w:r>
              <w:r w:rsidR="00B64FC6">
                <w:rPr>
                  <w:noProof/>
                </w:rPr>
                <w:fldChar w:fldCharType="separate"/>
              </w:r>
              <w:r w:rsidR="00E06351">
                <w:rPr>
                  <w:noProof/>
                </w:rPr>
                <w:t>8</w:t>
              </w:r>
              <w:r w:rsidR="00B64FC6">
                <w:rPr>
                  <w:noProof/>
                </w:rPr>
                <w:fldChar w:fldCharType="end"/>
              </w:r>
            </w:hyperlink>
          </w:p>
          <w:p w14:paraId="524790BA" w14:textId="64A97EC2" w:rsidR="00B64FC6" w:rsidRDefault="00000000">
            <w:pPr>
              <w:pStyle w:val="TOC2"/>
              <w:rPr>
                <w:rFonts w:asciiTheme="minorHAnsi" w:eastAsiaTheme="minorEastAsia" w:hAnsiTheme="minorHAnsi"/>
                <w:noProof/>
                <w:lang w:eastAsia="en-NZ"/>
              </w:rPr>
            </w:pPr>
            <w:hyperlink w:anchor="_Toc126841195" w:history="1">
              <w:r w:rsidR="00B64FC6" w:rsidRPr="00E01EB7">
                <w:rPr>
                  <w:rStyle w:val="Hyperlink"/>
                  <w:noProof/>
                </w:rPr>
                <w:t>1.6</w:t>
              </w:r>
              <w:r w:rsidR="00B64FC6">
                <w:rPr>
                  <w:rFonts w:asciiTheme="minorHAnsi" w:eastAsiaTheme="minorEastAsia" w:hAnsiTheme="minorHAnsi"/>
                  <w:noProof/>
                  <w:lang w:eastAsia="en-NZ"/>
                </w:rPr>
                <w:tab/>
              </w:r>
              <w:r w:rsidR="00B64FC6" w:rsidRPr="00E01EB7">
                <w:rPr>
                  <w:rStyle w:val="Hyperlink"/>
                  <w:noProof/>
                </w:rPr>
                <w:t>How better accountability helps to improve peoples’ lives</w:t>
              </w:r>
              <w:r w:rsidR="00B64FC6">
                <w:rPr>
                  <w:noProof/>
                </w:rPr>
                <w:tab/>
              </w:r>
              <w:r w:rsidR="00B64FC6">
                <w:rPr>
                  <w:noProof/>
                </w:rPr>
                <w:fldChar w:fldCharType="begin"/>
              </w:r>
              <w:r w:rsidR="00B64FC6">
                <w:rPr>
                  <w:noProof/>
                </w:rPr>
                <w:instrText xml:space="preserve"> PAGEREF _Toc126841195 \h </w:instrText>
              </w:r>
              <w:r w:rsidR="00B64FC6">
                <w:rPr>
                  <w:noProof/>
                </w:rPr>
              </w:r>
              <w:r w:rsidR="00B64FC6">
                <w:rPr>
                  <w:noProof/>
                </w:rPr>
                <w:fldChar w:fldCharType="separate"/>
              </w:r>
              <w:r w:rsidR="00E06351">
                <w:rPr>
                  <w:noProof/>
                </w:rPr>
                <w:t>8</w:t>
              </w:r>
              <w:r w:rsidR="00B64FC6">
                <w:rPr>
                  <w:noProof/>
                </w:rPr>
                <w:fldChar w:fldCharType="end"/>
              </w:r>
            </w:hyperlink>
          </w:p>
          <w:p w14:paraId="1E881A6C" w14:textId="6360D1F6" w:rsidR="00B64FC6" w:rsidRDefault="00000000">
            <w:pPr>
              <w:pStyle w:val="TOC2"/>
              <w:rPr>
                <w:rFonts w:asciiTheme="minorHAnsi" w:eastAsiaTheme="minorEastAsia" w:hAnsiTheme="minorHAnsi"/>
                <w:noProof/>
                <w:lang w:eastAsia="en-NZ"/>
              </w:rPr>
            </w:pPr>
            <w:hyperlink w:anchor="_Toc126841196" w:history="1">
              <w:r w:rsidR="00B64FC6" w:rsidRPr="00E01EB7">
                <w:rPr>
                  <w:rStyle w:val="Hyperlink"/>
                  <w:noProof/>
                </w:rPr>
                <w:t>1.7</w:t>
              </w:r>
              <w:r w:rsidR="00B64FC6">
                <w:rPr>
                  <w:rFonts w:asciiTheme="minorHAnsi" w:eastAsiaTheme="minorEastAsia" w:hAnsiTheme="minorHAnsi"/>
                  <w:noProof/>
                  <w:lang w:eastAsia="en-NZ"/>
                </w:rPr>
                <w:tab/>
              </w:r>
              <w:r w:rsidR="00B64FC6" w:rsidRPr="00E01EB7">
                <w:rPr>
                  <w:rStyle w:val="Hyperlink"/>
                  <w:noProof/>
                </w:rPr>
                <w:t>An enduring challenge</w:t>
              </w:r>
              <w:r w:rsidR="00B64FC6">
                <w:rPr>
                  <w:noProof/>
                </w:rPr>
                <w:tab/>
              </w:r>
              <w:r w:rsidR="00B64FC6">
                <w:rPr>
                  <w:noProof/>
                </w:rPr>
                <w:fldChar w:fldCharType="begin"/>
              </w:r>
              <w:r w:rsidR="00B64FC6">
                <w:rPr>
                  <w:noProof/>
                </w:rPr>
                <w:instrText xml:space="preserve"> PAGEREF _Toc126841196 \h </w:instrText>
              </w:r>
              <w:r w:rsidR="00B64FC6">
                <w:rPr>
                  <w:noProof/>
                </w:rPr>
              </w:r>
              <w:r w:rsidR="00B64FC6">
                <w:rPr>
                  <w:noProof/>
                </w:rPr>
                <w:fldChar w:fldCharType="separate"/>
              </w:r>
              <w:r w:rsidR="00E06351">
                <w:rPr>
                  <w:noProof/>
                </w:rPr>
                <w:t>10</w:t>
              </w:r>
              <w:r w:rsidR="00B64FC6">
                <w:rPr>
                  <w:noProof/>
                </w:rPr>
                <w:fldChar w:fldCharType="end"/>
              </w:r>
            </w:hyperlink>
          </w:p>
          <w:p w14:paraId="666A5575" w14:textId="507C55F2" w:rsidR="00B64FC6" w:rsidRDefault="00000000">
            <w:pPr>
              <w:pStyle w:val="TOC2"/>
              <w:rPr>
                <w:rFonts w:asciiTheme="minorHAnsi" w:eastAsiaTheme="minorEastAsia" w:hAnsiTheme="minorHAnsi"/>
                <w:noProof/>
                <w:lang w:eastAsia="en-NZ"/>
              </w:rPr>
            </w:pPr>
            <w:hyperlink w:anchor="_Toc126841197" w:history="1">
              <w:r w:rsidR="00B64FC6" w:rsidRPr="00E01EB7">
                <w:rPr>
                  <w:rStyle w:val="Hyperlink"/>
                  <w:noProof/>
                </w:rPr>
                <w:t>1.8</w:t>
              </w:r>
              <w:r w:rsidR="00B64FC6">
                <w:rPr>
                  <w:rFonts w:asciiTheme="minorHAnsi" w:eastAsiaTheme="minorEastAsia" w:hAnsiTheme="minorHAnsi"/>
                  <w:noProof/>
                  <w:lang w:eastAsia="en-NZ"/>
                </w:rPr>
                <w:tab/>
              </w:r>
              <w:r w:rsidR="00B64FC6" w:rsidRPr="00E01EB7">
                <w:rPr>
                  <w:rStyle w:val="Hyperlink"/>
                  <w:noProof/>
                </w:rPr>
                <w:t>Outline</w:t>
              </w:r>
              <w:r w:rsidR="00B64FC6">
                <w:rPr>
                  <w:noProof/>
                </w:rPr>
                <w:tab/>
              </w:r>
              <w:r w:rsidR="00B64FC6">
                <w:rPr>
                  <w:noProof/>
                </w:rPr>
                <w:fldChar w:fldCharType="begin"/>
              </w:r>
              <w:r w:rsidR="00B64FC6">
                <w:rPr>
                  <w:noProof/>
                </w:rPr>
                <w:instrText xml:space="preserve"> PAGEREF _Toc126841197 \h </w:instrText>
              </w:r>
              <w:r w:rsidR="00B64FC6">
                <w:rPr>
                  <w:noProof/>
                </w:rPr>
              </w:r>
              <w:r w:rsidR="00B64FC6">
                <w:rPr>
                  <w:noProof/>
                </w:rPr>
                <w:fldChar w:fldCharType="separate"/>
              </w:r>
              <w:r w:rsidR="00E06351">
                <w:rPr>
                  <w:noProof/>
                </w:rPr>
                <w:t>10</w:t>
              </w:r>
              <w:r w:rsidR="00B64FC6">
                <w:rPr>
                  <w:noProof/>
                </w:rPr>
                <w:fldChar w:fldCharType="end"/>
              </w:r>
            </w:hyperlink>
          </w:p>
          <w:p w14:paraId="185D5A80" w14:textId="311BBC58" w:rsidR="00B64FC6" w:rsidRDefault="00000000">
            <w:pPr>
              <w:pStyle w:val="TOC1"/>
              <w:rPr>
                <w:rFonts w:asciiTheme="minorHAnsi" w:eastAsiaTheme="minorEastAsia" w:hAnsiTheme="minorHAnsi"/>
                <w:noProof/>
                <w:lang w:eastAsia="en-NZ"/>
              </w:rPr>
            </w:pPr>
            <w:hyperlink w:anchor="_Toc126841198" w:history="1">
              <w:r w:rsidR="00B64FC6" w:rsidRPr="00E01EB7">
                <w:rPr>
                  <w:rStyle w:val="Hyperlink"/>
                  <w:noProof/>
                </w:rPr>
                <w:t>2</w:t>
              </w:r>
              <w:r w:rsidR="00B64FC6">
                <w:rPr>
                  <w:rFonts w:asciiTheme="minorHAnsi" w:eastAsiaTheme="minorEastAsia" w:hAnsiTheme="minorHAnsi"/>
                  <w:noProof/>
                  <w:lang w:eastAsia="en-NZ"/>
                </w:rPr>
                <w:tab/>
              </w:r>
              <w:r w:rsidR="00B64FC6" w:rsidRPr="00E01EB7">
                <w:rPr>
                  <w:rStyle w:val="Hyperlink"/>
                  <w:noProof/>
                </w:rPr>
                <w:t>Persistent disadvantage</w:t>
              </w:r>
              <w:r w:rsidR="00B64FC6">
                <w:rPr>
                  <w:noProof/>
                </w:rPr>
                <w:tab/>
              </w:r>
              <w:r w:rsidR="00B64FC6">
                <w:rPr>
                  <w:noProof/>
                </w:rPr>
                <w:fldChar w:fldCharType="begin"/>
              </w:r>
              <w:r w:rsidR="00B64FC6">
                <w:rPr>
                  <w:noProof/>
                </w:rPr>
                <w:instrText xml:space="preserve"> PAGEREF _Toc126841198 \h </w:instrText>
              </w:r>
              <w:r w:rsidR="00B64FC6">
                <w:rPr>
                  <w:noProof/>
                </w:rPr>
              </w:r>
              <w:r w:rsidR="00B64FC6">
                <w:rPr>
                  <w:noProof/>
                </w:rPr>
                <w:fldChar w:fldCharType="separate"/>
              </w:r>
              <w:r w:rsidR="00E06351">
                <w:rPr>
                  <w:noProof/>
                </w:rPr>
                <w:t>11</w:t>
              </w:r>
              <w:r w:rsidR="00B64FC6">
                <w:rPr>
                  <w:noProof/>
                </w:rPr>
                <w:fldChar w:fldCharType="end"/>
              </w:r>
            </w:hyperlink>
          </w:p>
          <w:p w14:paraId="506590AE" w14:textId="19148B37" w:rsidR="00B64FC6" w:rsidRDefault="00000000">
            <w:pPr>
              <w:pStyle w:val="TOC2"/>
              <w:rPr>
                <w:rFonts w:asciiTheme="minorHAnsi" w:eastAsiaTheme="minorEastAsia" w:hAnsiTheme="minorHAnsi"/>
                <w:noProof/>
                <w:lang w:eastAsia="en-NZ"/>
              </w:rPr>
            </w:pPr>
            <w:hyperlink w:anchor="_Toc126841199" w:history="1">
              <w:r w:rsidR="00B64FC6" w:rsidRPr="00E01EB7">
                <w:rPr>
                  <w:rStyle w:val="Hyperlink"/>
                  <w:noProof/>
                </w:rPr>
                <w:t>2.1</w:t>
              </w:r>
              <w:r w:rsidR="00B64FC6">
                <w:rPr>
                  <w:rFonts w:asciiTheme="minorHAnsi" w:eastAsiaTheme="minorEastAsia" w:hAnsiTheme="minorHAnsi"/>
                  <w:noProof/>
                  <w:lang w:eastAsia="en-NZ"/>
                </w:rPr>
                <w:tab/>
              </w:r>
              <w:r w:rsidR="00B64FC6" w:rsidRPr="00E01EB7">
                <w:rPr>
                  <w:rStyle w:val="Hyperlink"/>
                  <w:noProof/>
                </w:rPr>
                <w:t>A diverse population</w:t>
              </w:r>
              <w:r w:rsidR="00B64FC6">
                <w:rPr>
                  <w:noProof/>
                </w:rPr>
                <w:tab/>
              </w:r>
              <w:r w:rsidR="00B64FC6">
                <w:rPr>
                  <w:noProof/>
                </w:rPr>
                <w:fldChar w:fldCharType="begin"/>
              </w:r>
              <w:r w:rsidR="00B64FC6">
                <w:rPr>
                  <w:noProof/>
                </w:rPr>
                <w:instrText xml:space="preserve"> PAGEREF _Toc126841199 \h </w:instrText>
              </w:r>
              <w:r w:rsidR="00B64FC6">
                <w:rPr>
                  <w:noProof/>
                </w:rPr>
              </w:r>
              <w:r w:rsidR="00B64FC6">
                <w:rPr>
                  <w:noProof/>
                </w:rPr>
                <w:fldChar w:fldCharType="separate"/>
              </w:r>
              <w:r w:rsidR="00E06351">
                <w:rPr>
                  <w:noProof/>
                </w:rPr>
                <w:t>11</w:t>
              </w:r>
              <w:r w:rsidR="00B64FC6">
                <w:rPr>
                  <w:noProof/>
                </w:rPr>
                <w:fldChar w:fldCharType="end"/>
              </w:r>
            </w:hyperlink>
          </w:p>
          <w:p w14:paraId="636C352E" w14:textId="21E64026" w:rsidR="00B64FC6" w:rsidRDefault="00000000">
            <w:pPr>
              <w:pStyle w:val="TOC2"/>
              <w:rPr>
                <w:rFonts w:asciiTheme="minorHAnsi" w:eastAsiaTheme="minorEastAsia" w:hAnsiTheme="minorHAnsi"/>
                <w:noProof/>
                <w:lang w:eastAsia="en-NZ"/>
              </w:rPr>
            </w:pPr>
            <w:hyperlink w:anchor="_Toc126841200" w:history="1">
              <w:r w:rsidR="00B64FC6" w:rsidRPr="00E01EB7">
                <w:rPr>
                  <w:rStyle w:val="Hyperlink"/>
                  <w:noProof/>
                </w:rPr>
                <w:t>2.2</w:t>
              </w:r>
              <w:r w:rsidR="00B64FC6">
                <w:rPr>
                  <w:rFonts w:asciiTheme="minorHAnsi" w:eastAsiaTheme="minorEastAsia" w:hAnsiTheme="minorHAnsi"/>
                  <w:noProof/>
                  <w:lang w:eastAsia="en-NZ"/>
                </w:rPr>
                <w:tab/>
              </w:r>
              <w:r w:rsidR="00B64FC6" w:rsidRPr="00E01EB7">
                <w:rPr>
                  <w:rStyle w:val="Hyperlink"/>
                  <w:noProof/>
                </w:rPr>
                <w:t>Most people in Aotearoa are doing well</w:t>
              </w:r>
              <w:r w:rsidR="00B64FC6">
                <w:rPr>
                  <w:noProof/>
                </w:rPr>
                <w:tab/>
              </w:r>
              <w:r w:rsidR="00B64FC6">
                <w:rPr>
                  <w:noProof/>
                </w:rPr>
                <w:fldChar w:fldCharType="begin"/>
              </w:r>
              <w:r w:rsidR="00B64FC6">
                <w:rPr>
                  <w:noProof/>
                </w:rPr>
                <w:instrText xml:space="preserve"> PAGEREF _Toc126841200 \h </w:instrText>
              </w:r>
              <w:r w:rsidR="00B64FC6">
                <w:rPr>
                  <w:noProof/>
                </w:rPr>
              </w:r>
              <w:r w:rsidR="00B64FC6">
                <w:rPr>
                  <w:noProof/>
                </w:rPr>
                <w:fldChar w:fldCharType="separate"/>
              </w:r>
              <w:r w:rsidR="00E06351">
                <w:rPr>
                  <w:noProof/>
                </w:rPr>
                <w:t>12</w:t>
              </w:r>
              <w:r w:rsidR="00B64FC6">
                <w:rPr>
                  <w:noProof/>
                </w:rPr>
                <w:fldChar w:fldCharType="end"/>
              </w:r>
            </w:hyperlink>
          </w:p>
          <w:p w14:paraId="49411AF9" w14:textId="073CA7CA" w:rsidR="00B64FC6" w:rsidRDefault="00000000">
            <w:pPr>
              <w:pStyle w:val="TOC2"/>
              <w:rPr>
                <w:rFonts w:asciiTheme="minorHAnsi" w:eastAsiaTheme="minorEastAsia" w:hAnsiTheme="minorHAnsi"/>
                <w:noProof/>
                <w:lang w:eastAsia="en-NZ"/>
              </w:rPr>
            </w:pPr>
            <w:hyperlink w:anchor="_Toc126841201" w:history="1">
              <w:r w:rsidR="00B64FC6" w:rsidRPr="00E01EB7">
                <w:rPr>
                  <w:rStyle w:val="Hyperlink"/>
                  <w:noProof/>
                </w:rPr>
                <w:t>2.3</w:t>
              </w:r>
              <w:r w:rsidR="00B64FC6">
                <w:rPr>
                  <w:rFonts w:asciiTheme="minorHAnsi" w:eastAsiaTheme="minorEastAsia" w:hAnsiTheme="minorHAnsi"/>
                  <w:noProof/>
                  <w:lang w:eastAsia="en-NZ"/>
                </w:rPr>
                <w:tab/>
              </w:r>
              <w:r w:rsidR="00B64FC6" w:rsidRPr="00E01EB7">
                <w:rPr>
                  <w:rStyle w:val="Hyperlink"/>
                  <w:noProof/>
                </w:rPr>
                <w:t>The current system is not addressing persistent disadvantage</w:t>
              </w:r>
              <w:r w:rsidR="00B64FC6">
                <w:rPr>
                  <w:noProof/>
                </w:rPr>
                <w:tab/>
              </w:r>
              <w:r w:rsidR="00B64FC6">
                <w:rPr>
                  <w:noProof/>
                </w:rPr>
                <w:fldChar w:fldCharType="begin"/>
              </w:r>
              <w:r w:rsidR="00B64FC6">
                <w:rPr>
                  <w:noProof/>
                </w:rPr>
                <w:instrText xml:space="preserve"> PAGEREF _Toc126841201 \h </w:instrText>
              </w:r>
              <w:r w:rsidR="00B64FC6">
                <w:rPr>
                  <w:noProof/>
                </w:rPr>
              </w:r>
              <w:r w:rsidR="00B64FC6">
                <w:rPr>
                  <w:noProof/>
                </w:rPr>
                <w:fldChar w:fldCharType="separate"/>
              </w:r>
              <w:r w:rsidR="00E06351">
                <w:rPr>
                  <w:noProof/>
                </w:rPr>
                <w:t>14</w:t>
              </w:r>
              <w:r w:rsidR="00B64FC6">
                <w:rPr>
                  <w:noProof/>
                </w:rPr>
                <w:fldChar w:fldCharType="end"/>
              </w:r>
            </w:hyperlink>
          </w:p>
          <w:p w14:paraId="61B4A68F" w14:textId="685BEDEA" w:rsidR="00B64FC6" w:rsidRDefault="00000000">
            <w:pPr>
              <w:pStyle w:val="TOC2"/>
              <w:rPr>
                <w:rFonts w:asciiTheme="minorHAnsi" w:eastAsiaTheme="minorEastAsia" w:hAnsiTheme="minorHAnsi"/>
                <w:noProof/>
                <w:lang w:eastAsia="en-NZ"/>
              </w:rPr>
            </w:pPr>
            <w:hyperlink w:anchor="_Toc126841202" w:history="1">
              <w:r w:rsidR="00B64FC6" w:rsidRPr="00E01EB7">
                <w:rPr>
                  <w:rStyle w:val="Hyperlink"/>
                  <w:noProof/>
                </w:rPr>
                <w:t>2.4</w:t>
              </w:r>
              <w:r w:rsidR="00B64FC6">
                <w:rPr>
                  <w:rFonts w:asciiTheme="minorHAnsi" w:eastAsiaTheme="minorEastAsia" w:hAnsiTheme="minorHAnsi"/>
                  <w:noProof/>
                  <w:lang w:eastAsia="en-NZ"/>
                </w:rPr>
                <w:tab/>
              </w:r>
              <w:r w:rsidR="00B64FC6" w:rsidRPr="00E01EB7">
                <w:rPr>
                  <w:rStyle w:val="Hyperlink"/>
                  <w:noProof/>
                </w:rPr>
                <w:t>Underlying drivers and impacts</w:t>
              </w:r>
              <w:r w:rsidR="00B64FC6">
                <w:rPr>
                  <w:noProof/>
                </w:rPr>
                <w:tab/>
              </w:r>
              <w:r w:rsidR="00B64FC6">
                <w:rPr>
                  <w:noProof/>
                </w:rPr>
                <w:fldChar w:fldCharType="begin"/>
              </w:r>
              <w:r w:rsidR="00B64FC6">
                <w:rPr>
                  <w:noProof/>
                </w:rPr>
                <w:instrText xml:space="preserve"> PAGEREF _Toc126841202 \h </w:instrText>
              </w:r>
              <w:r w:rsidR="00B64FC6">
                <w:rPr>
                  <w:noProof/>
                </w:rPr>
              </w:r>
              <w:r w:rsidR="00B64FC6">
                <w:rPr>
                  <w:noProof/>
                </w:rPr>
                <w:fldChar w:fldCharType="separate"/>
              </w:r>
              <w:r w:rsidR="00E06351">
                <w:rPr>
                  <w:noProof/>
                </w:rPr>
                <w:t>15</w:t>
              </w:r>
              <w:r w:rsidR="00B64FC6">
                <w:rPr>
                  <w:noProof/>
                </w:rPr>
                <w:fldChar w:fldCharType="end"/>
              </w:r>
            </w:hyperlink>
          </w:p>
          <w:p w14:paraId="6A66AF90" w14:textId="39C50A03" w:rsidR="00B64FC6" w:rsidRDefault="00000000">
            <w:pPr>
              <w:pStyle w:val="TOC2"/>
              <w:rPr>
                <w:rFonts w:asciiTheme="minorHAnsi" w:eastAsiaTheme="minorEastAsia" w:hAnsiTheme="minorHAnsi"/>
                <w:noProof/>
                <w:lang w:eastAsia="en-NZ"/>
              </w:rPr>
            </w:pPr>
            <w:hyperlink w:anchor="_Toc126841203" w:history="1">
              <w:r w:rsidR="00B64FC6" w:rsidRPr="00E01EB7">
                <w:rPr>
                  <w:rStyle w:val="Hyperlink"/>
                  <w:noProof/>
                </w:rPr>
                <w:t>2.5</w:t>
              </w:r>
              <w:r w:rsidR="00B64FC6">
                <w:rPr>
                  <w:rFonts w:asciiTheme="minorHAnsi" w:eastAsiaTheme="minorEastAsia" w:hAnsiTheme="minorHAnsi"/>
                  <w:noProof/>
                  <w:lang w:eastAsia="en-NZ"/>
                </w:rPr>
                <w:tab/>
              </w:r>
              <w:r w:rsidR="00B64FC6" w:rsidRPr="00E01EB7">
                <w:rPr>
                  <w:rStyle w:val="Hyperlink"/>
                  <w:noProof/>
                </w:rPr>
                <w:t>How to assist people experiencing persistent disadvantage</w:t>
              </w:r>
              <w:r w:rsidR="00B64FC6">
                <w:rPr>
                  <w:noProof/>
                </w:rPr>
                <w:tab/>
              </w:r>
              <w:r w:rsidR="00B64FC6">
                <w:rPr>
                  <w:noProof/>
                </w:rPr>
                <w:fldChar w:fldCharType="begin"/>
              </w:r>
              <w:r w:rsidR="00B64FC6">
                <w:rPr>
                  <w:noProof/>
                </w:rPr>
                <w:instrText xml:space="preserve"> PAGEREF _Toc126841203 \h </w:instrText>
              </w:r>
              <w:r w:rsidR="00B64FC6">
                <w:rPr>
                  <w:noProof/>
                </w:rPr>
              </w:r>
              <w:r w:rsidR="00B64FC6">
                <w:rPr>
                  <w:noProof/>
                </w:rPr>
                <w:fldChar w:fldCharType="separate"/>
              </w:r>
              <w:r w:rsidR="00E06351">
                <w:rPr>
                  <w:noProof/>
                </w:rPr>
                <w:t>17</w:t>
              </w:r>
              <w:r w:rsidR="00B64FC6">
                <w:rPr>
                  <w:noProof/>
                </w:rPr>
                <w:fldChar w:fldCharType="end"/>
              </w:r>
            </w:hyperlink>
          </w:p>
          <w:p w14:paraId="006A0B92" w14:textId="32E54C50" w:rsidR="00B64FC6" w:rsidRDefault="00000000">
            <w:pPr>
              <w:pStyle w:val="TOC2"/>
              <w:rPr>
                <w:rFonts w:asciiTheme="minorHAnsi" w:eastAsiaTheme="minorEastAsia" w:hAnsiTheme="minorHAnsi"/>
                <w:noProof/>
                <w:lang w:eastAsia="en-NZ"/>
              </w:rPr>
            </w:pPr>
            <w:hyperlink w:anchor="_Toc126841204" w:history="1">
              <w:r w:rsidR="00B64FC6" w:rsidRPr="00E01EB7">
                <w:rPr>
                  <w:rStyle w:val="Hyperlink"/>
                  <w:noProof/>
                </w:rPr>
                <w:t>2.6</w:t>
              </w:r>
              <w:r w:rsidR="00B64FC6">
                <w:rPr>
                  <w:rFonts w:asciiTheme="minorHAnsi" w:eastAsiaTheme="minorEastAsia" w:hAnsiTheme="minorHAnsi"/>
                  <w:noProof/>
                  <w:lang w:eastAsia="en-NZ"/>
                </w:rPr>
                <w:tab/>
              </w:r>
              <w:r w:rsidR="00B64FC6" w:rsidRPr="00E01EB7">
                <w:rPr>
                  <w:rStyle w:val="Hyperlink"/>
                  <w:noProof/>
                </w:rPr>
                <w:t>Working together</w:t>
              </w:r>
              <w:r w:rsidR="00B64FC6">
                <w:rPr>
                  <w:noProof/>
                </w:rPr>
                <w:tab/>
              </w:r>
              <w:r w:rsidR="00B64FC6">
                <w:rPr>
                  <w:noProof/>
                </w:rPr>
                <w:fldChar w:fldCharType="begin"/>
              </w:r>
              <w:r w:rsidR="00B64FC6">
                <w:rPr>
                  <w:noProof/>
                </w:rPr>
                <w:instrText xml:space="preserve"> PAGEREF _Toc126841204 \h </w:instrText>
              </w:r>
              <w:r w:rsidR="00B64FC6">
                <w:rPr>
                  <w:noProof/>
                </w:rPr>
              </w:r>
              <w:r w:rsidR="00B64FC6">
                <w:rPr>
                  <w:noProof/>
                </w:rPr>
                <w:fldChar w:fldCharType="separate"/>
              </w:r>
              <w:r w:rsidR="00E06351">
                <w:rPr>
                  <w:noProof/>
                </w:rPr>
                <w:t>36</w:t>
              </w:r>
              <w:r w:rsidR="00B64FC6">
                <w:rPr>
                  <w:noProof/>
                </w:rPr>
                <w:fldChar w:fldCharType="end"/>
              </w:r>
            </w:hyperlink>
          </w:p>
          <w:p w14:paraId="7F4A94DC" w14:textId="1700EF60" w:rsidR="00B64FC6" w:rsidRDefault="00000000">
            <w:pPr>
              <w:pStyle w:val="TOC2"/>
              <w:rPr>
                <w:rFonts w:asciiTheme="minorHAnsi" w:eastAsiaTheme="minorEastAsia" w:hAnsiTheme="minorHAnsi"/>
                <w:noProof/>
                <w:lang w:eastAsia="en-NZ"/>
              </w:rPr>
            </w:pPr>
            <w:hyperlink w:anchor="_Toc126841205" w:history="1">
              <w:r w:rsidR="00B64FC6" w:rsidRPr="00E01EB7">
                <w:rPr>
                  <w:rStyle w:val="Hyperlink"/>
                  <w:noProof/>
                </w:rPr>
                <w:t>2.7</w:t>
              </w:r>
              <w:r w:rsidR="00B64FC6">
                <w:rPr>
                  <w:rFonts w:asciiTheme="minorHAnsi" w:eastAsiaTheme="minorEastAsia" w:hAnsiTheme="minorHAnsi"/>
                  <w:noProof/>
                  <w:lang w:eastAsia="en-NZ"/>
                </w:rPr>
                <w:tab/>
              </w:r>
              <w:r w:rsidR="00B64FC6" w:rsidRPr="00E01EB7">
                <w:rPr>
                  <w:rStyle w:val="Hyperlink"/>
                  <w:noProof/>
                </w:rPr>
                <w:t>Institutions will also need to change</w:t>
              </w:r>
              <w:r w:rsidR="00B64FC6">
                <w:rPr>
                  <w:noProof/>
                </w:rPr>
                <w:tab/>
              </w:r>
              <w:r w:rsidR="00B64FC6">
                <w:rPr>
                  <w:noProof/>
                </w:rPr>
                <w:fldChar w:fldCharType="begin"/>
              </w:r>
              <w:r w:rsidR="00B64FC6">
                <w:rPr>
                  <w:noProof/>
                </w:rPr>
                <w:instrText xml:space="preserve"> PAGEREF _Toc126841205 \h </w:instrText>
              </w:r>
              <w:r w:rsidR="00B64FC6">
                <w:rPr>
                  <w:noProof/>
                </w:rPr>
              </w:r>
              <w:r w:rsidR="00B64FC6">
                <w:rPr>
                  <w:noProof/>
                </w:rPr>
                <w:fldChar w:fldCharType="separate"/>
              </w:r>
              <w:r w:rsidR="00E06351">
                <w:rPr>
                  <w:noProof/>
                </w:rPr>
                <w:t>36</w:t>
              </w:r>
              <w:r w:rsidR="00B64FC6">
                <w:rPr>
                  <w:noProof/>
                </w:rPr>
                <w:fldChar w:fldCharType="end"/>
              </w:r>
            </w:hyperlink>
          </w:p>
          <w:p w14:paraId="6B3DBE4C" w14:textId="0D46B222" w:rsidR="00B64FC6" w:rsidRDefault="00000000">
            <w:pPr>
              <w:pStyle w:val="TOC2"/>
              <w:rPr>
                <w:rFonts w:asciiTheme="minorHAnsi" w:eastAsiaTheme="minorEastAsia" w:hAnsiTheme="minorHAnsi"/>
                <w:noProof/>
                <w:lang w:eastAsia="en-NZ"/>
              </w:rPr>
            </w:pPr>
            <w:hyperlink w:anchor="_Toc126841206" w:history="1">
              <w:r w:rsidR="00B64FC6" w:rsidRPr="00E01EB7">
                <w:rPr>
                  <w:rStyle w:val="Hyperlink"/>
                  <w:noProof/>
                </w:rPr>
                <w:t>2.8</w:t>
              </w:r>
              <w:r w:rsidR="00B64FC6">
                <w:rPr>
                  <w:rFonts w:asciiTheme="minorHAnsi" w:eastAsiaTheme="minorEastAsia" w:hAnsiTheme="minorHAnsi"/>
                  <w:noProof/>
                  <w:lang w:eastAsia="en-NZ"/>
                </w:rPr>
                <w:tab/>
              </w:r>
              <w:r w:rsidR="00B64FC6" w:rsidRPr="00E01EB7">
                <w:rPr>
                  <w:rStyle w:val="Hyperlink"/>
                  <w:noProof/>
                </w:rPr>
                <w:t>What a new system looks like</w:t>
              </w:r>
              <w:r w:rsidR="00B64FC6">
                <w:rPr>
                  <w:noProof/>
                </w:rPr>
                <w:tab/>
              </w:r>
              <w:r w:rsidR="00B64FC6">
                <w:rPr>
                  <w:noProof/>
                </w:rPr>
                <w:fldChar w:fldCharType="begin"/>
              </w:r>
              <w:r w:rsidR="00B64FC6">
                <w:rPr>
                  <w:noProof/>
                </w:rPr>
                <w:instrText xml:space="preserve"> PAGEREF _Toc126841206 \h </w:instrText>
              </w:r>
              <w:r w:rsidR="00B64FC6">
                <w:rPr>
                  <w:noProof/>
                </w:rPr>
              </w:r>
              <w:r w:rsidR="00B64FC6">
                <w:rPr>
                  <w:noProof/>
                </w:rPr>
                <w:fldChar w:fldCharType="separate"/>
              </w:r>
              <w:r w:rsidR="00E06351">
                <w:rPr>
                  <w:noProof/>
                </w:rPr>
                <w:t>38</w:t>
              </w:r>
              <w:r w:rsidR="00B64FC6">
                <w:rPr>
                  <w:noProof/>
                </w:rPr>
                <w:fldChar w:fldCharType="end"/>
              </w:r>
            </w:hyperlink>
          </w:p>
          <w:p w14:paraId="3ABA53EF" w14:textId="02E19E79" w:rsidR="00B64FC6" w:rsidRDefault="00000000">
            <w:pPr>
              <w:pStyle w:val="TOC1"/>
              <w:rPr>
                <w:rFonts w:asciiTheme="minorHAnsi" w:eastAsiaTheme="minorEastAsia" w:hAnsiTheme="minorHAnsi"/>
                <w:noProof/>
                <w:lang w:eastAsia="en-NZ"/>
              </w:rPr>
            </w:pPr>
            <w:hyperlink w:anchor="_Toc126841207" w:history="1">
              <w:r w:rsidR="00B64FC6" w:rsidRPr="00E01EB7">
                <w:rPr>
                  <w:rStyle w:val="Hyperlink"/>
                  <w:noProof/>
                </w:rPr>
                <w:t>3</w:t>
              </w:r>
              <w:r w:rsidR="00B64FC6">
                <w:rPr>
                  <w:rFonts w:asciiTheme="minorHAnsi" w:eastAsiaTheme="minorEastAsia" w:hAnsiTheme="minorHAnsi"/>
                  <w:noProof/>
                  <w:lang w:eastAsia="en-NZ"/>
                </w:rPr>
                <w:tab/>
              </w:r>
              <w:r w:rsidR="00B64FC6" w:rsidRPr="00E01EB7">
                <w:rPr>
                  <w:rStyle w:val="Hyperlink"/>
                  <w:noProof/>
                </w:rPr>
                <w:t>Accountability</w:t>
              </w:r>
              <w:r w:rsidR="00B64FC6">
                <w:rPr>
                  <w:noProof/>
                </w:rPr>
                <w:tab/>
              </w:r>
              <w:r w:rsidR="00B64FC6">
                <w:rPr>
                  <w:noProof/>
                </w:rPr>
                <w:fldChar w:fldCharType="begin"/>
              </w:r>
              <w:r w:rsidR="00B64FC6">
                <w:rPr>
                  <w:noProof/>
                </w:rPr>
                <w:instrText xml:space="preserve"> PAGEREF _Toc126841207 \h </w:instrText>
              </w:r>
              <w:r w:rsidR="00B64FC6">
                <w:rPr>
                  <w:noProof/>
                </w:rPr>
              </w:r>
              <w:r w:rsidR="00B64FC6">
                <w:rPr>
                  <w:noProof/>
                </w:rPr>
                <w:fldChar w:fldCharType="separate"/>
              </w:r>
              <w:r w:rsidR="00E06351">
                <w:rPr>
                  <w:noProof/>
                </w:rPr>
                <w:t>40</w:t>
              </w:r>
              <w:r w:rsidR="00B64FC6">
                <w:rPr>
                  <w:noProof/>
                </w:rPr>
                <w:fldChar w:fldCharType="end"/>
              </w:r>
            </w:hyperlink>
          </w:p>
          <w:p w14:paraId="1932C813" w14:textId="3FF92027" w:rsidR="00B64FC6" w:rsidRDefault="00000000">
            <w:pPr>
              <w:pStyle w:val="TOC2"/>
              <w:rPr>
                <w:rFonts w:asciiTheme="minorHAnsi" w:eastAsiaTheme="minorEastAsia" w:hAnsiTheme="minorHAnsi"/>
                <w:noProof/>
                <w:lang w:eastAsia="en-NZ"/>
              </w:rPr>
            </w:pPr>
            <w:hyperlink w:anchor="_Toc126841208" w:history="1">
              <w:r w:rsidR="00B64FC6" w:rsidRPr="00E01EB7">
                <w:rPr>
                  <w:rStyle w:val="Hyperlink"/>
                  <w:noProof/>
                </w:rPr>
                <w:t>3.1</w:t>
              </w:r>
              <w:r w:rsidR="00B64FC6">
                <w:rPr>
                  <w:rFonts w:asciiTheme="minorHAnsi" w:eastAsiaTheme="minorEastAsia" w:hAnsiTheme="minorHAnsi"/>
                  <w:noProof/>
                  <w:lang w:eastAsia="en-NZ"/>
                </w:rPr>
                <w:tab/>
              </w:r>
              <w:r w:rsidR="00B64FC6" w:rsidRPr="00E01EB7">
                <w:rPr>
                  <w:rStyle w:val="Hyperlink"/>
                  <w:noProof/>
                </w:rPr>
                <w:t>What is accountability?</w:t>
              </w:r>
              <w:r w:rsidR="00B64FC6">
                <w:rPr>
                  <w:noProof/>
                </w:rPr>
                <w:tab/>
              </w:r>
              <w:r w:rsidR="00B64FC6">
                <w:rPr>
                  <w:noProof/>
                </w:rPr>
                <w:fldChar w:fldCharType="begin"/>
              </w:r>
              <w:r w:rsidR="00B64FC6">
                <w:rPr>
                  <w:noProof/>
                </w:rPr>
                <w:instrText xml:space="preserve"> PAGEREF _Toc126841208 \h </w:instrText>
              </w:r>
              <w:r w:rsidR="00B64FC6">
                <w:rPr>
                  <w:noProof/>
                </w:rPr>
              </w:r>
              <w:r w:rsidR="00B64FC6">
                <w:rPr>
                  <w:noProof/>
                </w:rPr>
                <w:fldChar w:fldCharType="separate"/>
              </w:r>
              <w:r w:rsidR="00E06351">
                <w:rPr>
                  <w:noProof/>
                </w:rPr>
                <w:t>40</w:t>
              </w:r>
              <w:r w:rsidR="00B64FC6">
                <w:rPr>
                  <w:noProof/>
                </w:rPr>
                <w:fldChar w:fldCharType="end"/>
              </w:r>
            </w:hyperlink>
          </w:p>
          <w:p w14:paraId="4C3248FC" w14:textId="3FC87987" w:rsidR="00B64FC6" w:rsidRDefault="00000000">
            <w:pPr>
              <w:pStyle w:val="TOC2"/>
              <w:rPr>
                <w:rFonts w:asciiTheme="minorHAnsi" w:eastAsiaTheme="minorEastAsia" w:hAnsiTheme="minorHAnsi"/>
                <w:noProof/>
                <w:lang w:eastAsia="en-NZ"/>
              </w:rPr>
            </w:pPr>
            <w:hyperlink w:anchor="_Toc126841209" w:history="1">
              <w:r w:rsidR="00B64FC6" w:rsidRPr="00E01EB7">
                <w:rPr>
                  <w:rStyle w:val="Hyperlink"/>
                  <w:noProof/>
                </w:rPr>
                <w:t>3.2</w:t>
              </w:r>
              <w:r w:rsidR="00B64FC6">
                <w:rPr>
                  <w:rFonts w:asciiTheme="minorHAnsi" w:eastAsiaTheme="minorEastAsia" w:hAnsiTheme="minorHAnsi"/>
                  <w:noProof/>
                  <w:lang w:eastAsia="en-NZ"/>
                </w:rPr>
                <w:tab/>
              </w:r>
              <w:r w:rsidR="00B64FC6" w:rsidRPr="00E01EB7">
                <w:rPr>
                  <w:rStyle w:val="Hyperlink"/>
                  <w:noProof/>
                </w:rPr>
                <w:t>Accountability is about conditioning power</w:t>
              </w:r>
              <w:r w:rsidR="00B64FC6">
                <w:rPr>
                  <w:noProof/>
                </w:rPr>
                <w:tab/>
              </w:r>
              <w:r w:rsidR="00B64FC6">
                <w:rPr>
                  <w:noProof/>
                </w:rPr>
                <w:fldChar w:fldCharType="begin"/>
              </w:r>
              <w:r w:rsidR="00B64FC6">
                <w:rPr>
                  <w:noProof/>
                </w:rPr>
                <w:instrText xml:space="preserve"> PAGEREF _Toc126841209 \h </w:instrText>
              </w:r>
              <w:r w:rsidR="00B64FC6">
                <w:rPr>
                  <w:noProof/>
                </w:rPr>
              </w:r>
              <w:r w:rsidR="00B64FC6">
                <w:rPr>
                  <w:noProof/>
                </w:rPr>
                <w:fldChar w:fldCharType="separate"/>
              </w:r>
              <w:r w:rsidR="00E06351">
                <w:rPr>
                  <w:noProof/>
                </w:rPr>
                <w:t>41</w:t>
              </w:r>
              <w:r w:rsidR="00B64FC6">
                <w:rPr>
                  <w:noProof/>
                </w:rPr>
                <w:fldChar w:fldCharType="end"/>
              </w:r>
            </w:hyperlink>
          </w:p>
          <w:p w14:paraId="4026BB59" w14:textId="39CD6CF5" w:rsidR="00B64FC6" w:rsidRDefault="00000000">
            <w:pPr>
              <w:pStyle w:val="TOC2"/>
              <w:rPr>
                <w:rFonts w:asciiTheme="minorHAnsi" w:eastAsiaTheme="minorEastAsia" w:hAnsiTheme="minorHAnsi"/>
                <w:noProof/>
                <w:lang w:eastAsia="en-NZ"/>
              </w:rPr>
            </w:pPr>
            <w:hyperlink w:anchor="_Toc126841210" w:history="1">
              <w:r w:rsidR="00B64FC6" w:rsidRPr="00E01EB7">
                <w:rPr>
                  <w:rStyle w:val="Hyperlink"/>
                  <w:noProof/>
                </w:rPr>
                <w:t>3.3</w:t>
              </w:r>
              <w:r w:rsidR="00B64FC6">
                <w:rPr>
                  <w:rFonts w:asciiTheme="minorHAnsi" w:eastAsiaTheme="minorEastAsia" w:hAnsiTheme="minorHAnsi"/>
                  <w:noProof/>
                  <w:lang w:eastAsia="en-NZ"/>
                </w:rPr>
                <w:tab/>
              </w:r>
              <w:r w:rsidR="00B64FC6" w:rsidRPr="00E01EB7">
                <w:rPr>
                  <w:rStyle w:val="Hyperlink"/>
                  <w:noProof/>
                </w:rPr>
                <w:t>Definitions are evolving</w:t>
              </w:r>
              <w:r w:rsidR="00B64FC6">
                <w:rPr>
                  <w:noProof/>
                </w:rPr>
                <w:tab/>
              </w:r>
              <w:r w:rsidR="00B64FC6">
                <w:rPr>
                  <w:noProof/>
                </w:rPr>
                <w:fldChar w:fldCharType="begin"/>
              </w:r>
              <w:r w:rsidR="00B64FC6">
                <w:rPr>
                  <w:noProof/>
                </w:rPr>
                <w:instrText xml:space="preserve"> PAGEREF _Toc126841210 \h </w:instrText>
              </w:r>
              <w:r w:rsidR="00B64FC6">
                <w:rPr>
                  <w:noProof/>
                </w:rPr>
              </w:r>
              <w:r w:rsidR="00B64FC6">
                <w:rPr>
                  <w:noProof/>
                </w:rPr>
                <w:fldChar w:fldCharType="separate"/>
              </w:r>
              <w:r w:rsidR="00E06351">
                <w:rPr>
                  <w:noProof/>
                </w:rPr>
                <w:t>43</w:t>
              </w:r>
              <w:r w:rsidR="00B64FC6">
                <w:rPr>
                  <w:noProof/>
                </w:rPr>
                <w:fldChar w:fldCharType="end"/>
              </w:r>
            </w:hyperlink>
          </w:p>
          <w:p w14:paraId="28EE09F8" w14:textId="77046718" w:rsidR="00B64FC6" w:rsidRDefault="00000000">
            <w:pPr>
              <w:pStyle w:val="TOC2"/>
              <w:rPr>
                <w:rFonts w:asciiTheme="minorHAnsi" w:eastAsiaTheme="minorEastAsia" w:hAnsiTheme="minorHAnsi"/>
                <w:noProof/>
                <w:lang w:eastAsia="en-NZ"/>
              </w:rPr>
            </w:pPr>
            <w:hyperlink w:anchor="_Toc126841211" w:history="1">
              <w:r w:rsidR="00B64FC6" w:rsidRPr="00E01EB7">
                <w:rPr>
                  <w:rStyle w:val="Hyperlink"/>
                  <w:noProof/>
                </w:rPr>
                <w:t>3.4</w:t>
              </w:r>
              <w:r w:rsidR="00B64FC6">
                <w:rPr>
                  <w:rFonts w:asciiTheme="minorHAnsi" w:eastAsiaTheme="minorEastAsia" w:hAnsiTheme="minorHAnsi"/>
                  <w:noProof/>
                  <w:lang w:eastAsia="en-NZ"/>
                </w:rPr>
                <w:tab/>
              </w:r>
              <w:r w:rsidR="00B64FC6" w:rsidRPr="00E01EB7">
                <w:rPr>
                  <w:rStyle w:val="Hyperlink"/>
                  <w:noProof/>
                </w:rPr>
                <w:t>The purpose of accountability</w:t>
              </w:r>
              <w:r w:rsidR="00B64FC6">
                <w:rPr>
                  <w:noProof/>
                </w:rPr>
                <w:tab/>
              </w:r>
              <w:r w:rsidR="00B64FC6">
                <w:rPr>
                  <w:noProof/>
                </w:rPr>
                <w:fldChar w:fldCharType="begin"/>
              </w:r>
              <w:r w:rsidR="00B64FC6">
                <w:rPr>
                  <w:noProof/>
                </w:rPr>
                <w:instrText xml:space="preserve"> PAGEREF _Toc126841211 \h </w:instrText>
              </w:r>
              <w:r w:rsidR="00B64FC6">
                <w:rPr>
                  <w:noProof/>
                </w:rPr>
              </w:r>
              <w:r w:rsidR="00B64FC6">
                <w:rPr>
                  <w:noProof/>
                </w:rPr>
                <w:fldChar w:fldCharType="separate"/>
              </w:r>
              <w:r w:rsidR="00E06351">
                <w:rPr>
                  <w:noProof/>
                </w:rPr>
                <w:t>46</w:t>
              </w:r>
              <w:r w:rsidR="00B64FC6">
                <w:rPr>
                  <w:noProof/>
                </w:rPr>
                <w:fldChar w:fldCharType="end"/>
              </w:r>
            </w:hyperlink>
          </w:p>
          <w:p w14:paraId="4F013141" w14:textId="711F33B9" w:rsidR="00B64FC6" w:rsidRDefault="00000000">
            <w:pPr>
              <w:pStyle w:val="TOC2"/>
              <w:rPr>
                <w:rFonts w:asciiTheme="minorHAnsi" w:eastAsiaTheme="minorEastAsia" w:hAnsiTheme="minorHAnsi"/>
                <w:noProof/>
                <w:lang w:eastAsia="en-NZ"/>
              </w:rPr>
            </w:pPr>
            <w:hyperlink w:anchor="_Toc126841212" w:history="1">
              <w:r w:rsidR="00B64FC6" w:rsidRPr="00E01EB7">
                <w:rPr>
                  <w:rStyle w:val="Hyperlink"/>
                  <w:noProof/>
                </w:rPr>
                <w:t>3.5</w:t>
              </w:r>
              <w:r w:rsidR="00B64FC6">
                <w:rPr>
                  <w:rFonts w:asciiTheme="minorHAnsi" w:eastAsiaTheme="minorEastAsia" w:hAnsiTheme="minorHAnsi"/>
                  <w:noProof/>
                  <w:lang w:eastAsia="en-NZ"/>
                </w:rPr>
                <w:tab/>
              </w:r>
              <w:r w:rsidR="00B64FC6" w:rsidRPr="00E01EB7">
                <w:rPr>
                  <w:rStyle w:val="Hyperlink"/>
                  <w:noProof/>
                </w:rPr>
                <w:t>Accountability deficits and overload</w:t>
              </w:r>
              <w:r w:rsidR="00B64FC6">
                <w:rPr>
                  <w:noProof/>
                </w:rPr>
                <w:tab/>
              </w:r>
              <w:r w:rsidR="00B64FC6">
                <w:rPr>
                  <w:noProof/>
                </w:rPr>
                <w:fldChar w:fldCharType="begin"/>
              </w:r>
              <w:r w:rsidR="00B64FC6">
                <w:rPr>
                  <w:noProof/>
                </w:rPr>
                <w:instrText xml:space="preserve"> PAGEREF _Toc126841212 \h </w:instrText>
              </w:r>
              <w:r w:rsidR="00B64FC6">
                <w:rPr>
                  <w:noProof/>
                </w:rPr>
              </w:r>
              <w:r w:rsidR="00B64FC6">
                <w:rPr>
                  <w:noProof/>
                </w:rPr>
                <w:fldChar w:fldCharType="separate"/>
              </w:r>
              <w:r w:rsidR="00E06351">
                <w:rPr>
                  <w:noProof/>
                </w:rPr>
                <w:t>48</w:t>
              </w:r>
              <w:r w:rsidR="00B64FC6">
                <w:rPr>
                  <w:noProof/>
                </w:rPr>
                <w:fldChar w:fldCharType="end"/>
              </w:r>
            </w:hyperlink>
          </w:p>
          <w:p w14:paraId="7BCB735C" w14:textId="6BD44A45" w:rsidR="00B64FC6" w:rsidRDefault="00000000">
            <w:pPr>
              <w:pStyle w:val="TOC2"/>
              <w:rPr>
                <w:rFonts w:asciiTheme="minorHAnsi" w:eastAsiaTheme="minorEastAsia" w:hAnsiTheme="minorHAnsi"/>
                <w:noProof/>
                <w:lang w:eastAsia="en-NZ"/>
              </w:rPr>
            </w:pPr>
            <w:hyperlink w:anchor="_Toc126841213" w:history="1">
              <w:r w:rsidR="00B64FC6" w:rsidRPr="00E01EB7">
                <w:rPr>
                  <w:rStyle w:val="Hyperlink"/>
                  <w:noProof/>
                </w:rPr>
                <w:t>3.6</w:t>
              </w:r>
              <w:r w:rsidR="00B64FC6">
                <w:rPr>
                  <w:rFonts w:asciiTheme="minorHAnsi" w:eastAsiaTheme="minorEastAsia" w:hAnsiTheme="minorHAnsi"/>
                  <w:noProof/>
                  <w:lang w:eastAsia="en-NZ"/>
                </w:rPr>
                <w:tab/>
              </w:r>
              <w:r w:rsidR="00B64FC6" w:rsidRPr="00E01EB7">
                <w:rPr>
                  <w:rStyle w:val="Hyperlink"/>
                  <w:noProof/>
                </w:rPr>
                <w:t>Macro, meso and micro-accountability systems</w:t>
              </w:r>
              <w:r w:rsidR="00B64FC6">
                <w:rPr>
                  <w:noProof/>
                </w:rPr>
                <w:tab/>
              </w:r>
              <w:r w:rsidR="00B64FC6">
                <w:rPr>
                  <w:noProof/>
                </w:rPr>
                <w:fldChar w:fldCharType="begin"/>
              </w:r>
              <w:r w:rsidR="00B64FC6">
                <w:rPr>
                  <w:noProof/>
                </w:rPr>
                <w:instrText xml:space="preserve"> PAGEREF _Toc126841213 \h </w:instrText>
              </w:r>
              <w:r w:rsidR="00B64FC6">
                <w:rPr>
                  <w:noProof/>
                </w:rPr>
              </w:r>
              <w:r w:rsidR="00B64FC6">
                <w:rPr>
                  <w:noProof/>
                </w:rPr>
                <w:fldChar w:fldCharType="separate"/>
              </w:r>
              <w:r w:rsidR="00E06351">
                <w:rPr>
                  <w:noProof/>
                </w:rPr>
                <w:t>50</w:t>
              </w:r>
              <w:r w:rsidR="00B64FC6">
                <w:rPr>
                  <w:noProof/>
                </w:rPr>
                <w:fldChar w:fldCharType="end"/>
              </w:r>
            </w:hyperlink>
          </w:p>
          <w:p w14:paraId="47158E14" w14:textId="7EFAB55E" w:rsidR="00B64FC6" w:rsidRDefault="00000000">
            <w:pPr>
              <w:pStyle w:val="TOC2"/>
              <w:rPr>
                <w:rFonts w:asciiTheme="minorHAnsi" w:eastAsiaTheme="minorEastAsia" w:hAnsiTheme="minorHAnsi"/>
                <w:noProof/>
                <w:lang w:eastAsia="en-NZ"/>
              </w:rPr>
            </w:pPr>
            <w:hyperlink w:anchor="_Toc126841214" w:history="1">
              <w:r w:rsidR="00B64FC6" w:rsidRPr="00E01EB7">
                <w:rPr>
                  <w:rStyle w:val="Hyperlink"/>
                  <w:noProof/>
                </w:rPr>
                <w:t>3.7</w:t>
              </w:r>
              <w:r w:rsidR="00B64FC6">
                <w:rPr>
                  <w:rFonts w:asciiTheme="minorHAnsi" w:eastAsiaTheme="minorEastAsia" w:hAnsiTheme="minorHAnsi"/>
                  <w:noProof/>
                  <w:lang w:eastAsia="en-NZ"/>
                </w:rPr>
                <w:tab/>
              </w:r>
              <w:r w:rsidR="00B64FC6" w:rsidRPr="00E01EB7">
                <w:rPr>
                  <w:rStyle w:val="Hyperlink"/>
                  <w:noProof/>
                </w:rPr>
                <w:t>Accountability mechanisms</w:t>
              </w:r>
              <w:r w:rsidR="00B64FC6">
                <w:rPr>
                  <w:noProof/>
                </w:rPr>
                <w:tab/>
              </w:r>
              <w:r w:rsidR="00B64FC6">
                <w:rPr>
                  <w:noProof/>
                </w:rPr>
                <w:fldChar w:fldCharType="begin"/>
              </w:r>
              <w:r w:rsidR="00B64FC6">
                <w:rPr>
                  <w:noProof/>
                </w:rPr>
                <w:instrText xml:space="preserve"> PAGEREF _Toc126841214 \h </w:instrText>
              </w:r>
              <w:r w:rsidR="00B64FC6">
                <w:rPr>
                  <w:noProof/>
                </w:rPr>
              </w:r>
              <w:r w:rsidR="00B64FC6">
                <w:rPr>
                  <w:noProof/>
                </w:rPr>
                <w:fldChar w:fldCharType="separate"/>
              </w:r>
              <w:r w:rsidR="00E06351">
                <w:rPr>
                  <w:noProof/>
                </w:rPr>
                <w:t>53</w:t>
              </w:r>
              <w:r w:rsidR="00B64FC6">
                <w:rPr>
                  <w:noProof/>
                </w:rPr>
                <w:fldChar w:fldCharType="end"/>
              </w:r>
            </w:hyperlink>
          </w:p>
          <w:p w14:paraId="20F86045" w14:textId="4B6FAEE4" w:rsidR="00B64FC6" w:rsidRDefault="00000000">
            <w:pPr>
              <w:pStyle w:val="TOC2"/>
              <w:rPr>
                <w:rFonts w:asciiTheme="minorHAnsi" w:eastAsiaTheme="minorEastAsia" w:hAnsiTheme="minorHAnsi"/>
                <w:noProof/>
                <w:lang w:eastAsia="en-NZ"/>
              </w:rPr>
            </w:pPr>
            <w:hyperlink w:anchor="_Toc126841215" w:history="1">
              <w:r w:rsidR="00B64FC6" w:rsidRPr="00E01EB7">
                <w:rPr>
                  <w:rStyle w:val="Hyperlink"/>
                  <w:noProof/>
                </w:rPr>
                <w:t>3.8</w:t>
              </w:r>
              <w:r w:rsidR="00B64FC6">
                <w:rPr>
                  <w:rFonts w:asciiTheme="minorHAnsi" w:eastAsiaTheme="minorEastAsia" w:hAnsiTheme="minorHAnsi"/>
                  <w:noProof/>
                  <w:lang w:eastAsia="en-NZ"/>
                </w:rPr>
                <w:tab/>
              </w:r>
              <w:r w:rsidR="00B64FC6" w:rsidRPr="00E01EB7">
                <w:rPr>
                  <w:rStyle w:val="Hyperlink"/>
                  <w:noProof/>
                </w:rPr>
                <w:t>Accountability in Te Ao Māori</w:t>
              </w:r>
              <w:r w:rsidR="00B64FC6">
                <w:rPr>
                  <w:noProof/>
                </w:rPr>
                <w:tab/>
              </w:r>
              <w:r w:rsidR="00B64FC6">
                <w:rPr>
                  <w:noProof/>
                </w:rPr>
                <w:fldChar w:fldCharType="begin"/>
              </w:r>
              <w:r w:rsidR="00B64FC6">
                <w:rPr>
                  <w:noProof/>
                </w:rPr>
                <w:instrText xml:space="preserve"> PAGEREF _Toc126841215 \h </w:instrText>
              </w:r>
              <w:r w:rsidR="00B64FC6">
                <w:rPr>
                  <w:noProof/>
                </w:rPr>
              </w:r>
              <w:r w:rsidR="00B64FC6">
                <w:rPr>
                  <w:noProof/>
                </w:rPr>
                <w:fldChar w:fldCharType="separate"/>
              </w:r>
              <w:r w:rsidR="00E06351">
                <w:rPr>
                  <w:noProof/>
                </w:rPr>
                <w:t>58</w:t>
              </w:r>
              <w:r w:rsidR="00B64FC6">
                <w:rPr>
                  <w:noProof/>
                </w:rPr>
                <w:fldChar w:fldCharType="end"/>
              </w:r>
            </w:hyperlink>
          </w:p>
          <w:p w14:paraId="73920A16" w14:textId="7842E968" w:rsidR="00B64FC6" w:rsidRDefault="00000000">
            <w:pPr>
              <w:pStyle w:val="TOC2"/>
              <w:rPr>
                <w:rFonts w:asciiTheme="minorHAnsi" w:eastAsiaTheme="minorEastAsia" w:hAnsiTheme="minorHAnsi"/>
                <w:noProof/>
                <w:lang w:eastAsia="en-NZ"/>
              </w:rPr>
            </w:pPr>
            <w:hyperlink w:anchor="_Toc126841216" w:history="1">
              <w:r w:rsidR="00B64FC6" w:rsidRPr="00E01EB7">
                <w:rPr>
                  <w:rStyle w:val="Hyperlink"/>
                  <w:noProof/>
                </w:rPr>
                <w:t>3.9</w:t>
              </w:r>
              <w:r w:rsidR="00B64FC6">
                <w:rPr>
                  <w:rFonts w:asciiTheme="minorHAnsi" w:eastAsiaTheme="minorEastAsia" w:hAnsiTheme="minorHAnsi"/>
                  <w:noProof/>
                  <w:lang w:eastAsia="en-NZ"/>
                </w:rPr>
                <w:tab/>
              </w:r>
              <w:r w:rsidR="00B64FC6" w:rsidRPr="00E01EB7">
                <w:rPr>
                  <w:rStyle w:val="Hyperlink"/>
                  <w:noProof/>
                </w:rPr>
                <w:t>The formal accountability system in Aotearoa New Zealand</w:t>
              </w:r>
              <w:r w:rsidR="00B64FC6">
                <w:rPr>
                  <w:noProof/>
                </w:rPr>
                <w:tab/>
              </w:r>
              <w:r w:rsidR="00B64FC6">
                <w:rPr>
                  <w:noProof/>
                </w:rPr>
                <w:fldChar w:fldCharType="begin"/>
              </w:r>
              <w:r w:rsidR="00B64FC6">
                <w:rPr>
                  <w:noProof/>
                </w:rPr>
                <w:instrText xml:space="preserve"> PAGEREF _Toc126841216 \h </w:instrText>
              </w:r>
              <w:r w:rsidR="00B64FC6">
                <w:rPr>
                  <w:noProof/>
                </w:rPr>
              </w:r>
              <w:r w:rsidR="00B64FC6">
                <w:rPr>
                  <w:noProof/>
                </w:rPr>
                <w:fldChar w:fldCharType="separate"/>
              </w:r>
              <w:r w:rsidR="00E06351">
                <w:rPr>
                  <w:noProof/>
                </w:rPr>
                <w:t>65</w:t>
              </w:r>
              <w:r w:rsidR="00B64FC6">
                <w:rPr>
                  <w:noProof/>
                </w:rPr>
                <w:fldChar w:fldCharType="end"/>
              </w:r>
            </w:hyperlink>
          </w:p>
          <w:p w14:paraId="4499D1B9" w14:textId="5CADE261" w:rsidR="00B64FC6" w:rsidRDefault="00000000">
            <w:pPr>
              <w:pStyle w:val="TOC2"/>
              <w:rPr>
                <w:rFonts w:asciiTheme="minorHAnsi" w:eastAsiaTheme="minorEastAsia" w:hAnsiTheme="minorHAnsi"/>
                <w:noProof/>
                <w:lang w:eastAsia="en-NZ"/>
              </w:rPr>
            </w:pPr>
            <w:hyperlink w:anchor="_Toc126841217" w:history="1">
              <w:r w:rsidR="00B64FC6" w:rsidRPr="00E01EB7">
                <w:rPr>
                  <w:rStyle w:val="Hyperlink"/>
                  <w:noProof/>
                </w:rPr>
                <w:t>3.10</w:t>
              </w:r>
              <w:r w:rsidR="00B64FC6">
                <w:rPr>
                  <w:rFonts w:asciiTheme="minorHAnsi" w:eastAsiaTheme="minorEastAsia" w:hAnsiTheme="minorHAnsi"/>
                  <w:noProof/>
                  <w:lang w:eastAsia="en-NZ"/>
                </w:rPr>
                <w:tab/>
              </w:r>
              <w:r w:rsidR="00B64FC6" w:rsidRPr="00E01EB7">
                <w:rPr>
                  <w:rStyle w:val="Hyperlink"/>
                  <w:noProof/>
                </w:rPr>
                <w:t>Accountability as learning</w:t>
              </w:r>
              <w:r w:rsidR="00B64FC6">
                <w:rPr>
                  <w:noProof/>
                </w:rPr>
                <w:tab/>
              </w:r>
              <w:r w:rsidR="00B64FC6">
                <w:rPr>
                  <w:noProof/>
                </w:rPr>
                <w:fldChar w:fldCharType="begin"/>
              </w:r>
              <w:r w:rsidR="00B64FC6">
                <w:rPr>
                  <w:noProof/>
                </w:rPr>
                <w:instrText xml:space="preserve"> PAGEREF _Toc126841217 \h </w:instrText>
              </w:r>
              <w:r w:rsidR="00B64FC6">
                <w:rPr>
                  <w:noProof/>
                </w:rPr>
              </w:r>
              <w:r w:rsidR="00B64FC6">
                <w:rPr>
                  <w:noProof/>
                </w:rPr>
                <w:fldChar w:fldCharType="separate"/>
              </w:r>
              <w:r w:rsidR="00E06351">
                <w:rPr>
                  <w:noProof/>
                </w:rPr>
                <w:t>80</w:t>
              </w:r>
              <w:r w:rsidR="00B64FC6">
                <w:rPr>
                  <w:noProof/>
                </w:rPr>
                <w:fldChar w:fldCharType="end"/>
              </w:r>
            </w:hyperlink>
          </w:p>
          <w:p w14:paraId="5C0F770E" w14:textId="4796941E" w:rsidR="00B64FC6" w:rsidRDefault="00000000">
            <w:pPr>
              <w:pStyle w:val="TOC2"/>
              <w:rPr>
                <w:rFonts w:asciiTheme="minorHAnsi" w:eastAsiaTheme="minorEastAsia" w:hAnsiTheme="minorHAnsi"/>
                <w:noProof/>
                <w:lang w:eastAsia="en-NZ"/>
              </w:rPr>
            </w:pPr>
            <w:hyperlink w:anchor="_Toc126841218" w:history="1">
              <w:r w:rsidR="00B64FC6" w:rsidRPr="00E01EB7">
                <w:rPr>
                  <w:rStyle w:val="Hyperlink"/>
                  <w:noProof/>
                </w:rPr>
                <w:t>3.11</w:t>
              </w:r>
              <w:r w:rsidR="00B64FC6">
                <w:rPr>
                  <w:rFonts w:asciiTheme="minorHAnsi" w:eastAsiaTheme="minorEastAsia" w:hAnsiTheme="minorHAnsi"/>
                  <w:noProof/>
                  <w:lang w:eastAsia="en-NZ"/>
                </w:rPr>
                <w:tab/>
              </w:r>
              <w:r w:rsidR="00B64FC6" w:rsidRPr="00E01EB7">
                <w:rPr>
                  <w:rStyle w:val="Hyperlink"/>
                  <w:noProof/>
                </w:rPr>
                <w:t>Assessing the current system</w:t>
              </w:r>
              <w:r w:rsidR="00B64FC6">
                <w:rPr>
                  <w:noProof/>
                </w:rPr>
                <w:tab/>
              </w:r>
              <w:r w:rsidR="00B64FC6">
                <w:rPr>
                  <w:noProof/>
                </w:rPr>
                <w:fldChar w:fldCharType="begin"/>
              </w:r>
              <w:r w:rsidR="00B64FC6">
                <w:rPr>
                  <w:noProof/>
                </w:rPr>
                <w:instrText xml:space="preserve"> PAGEREF _Toc126841218 \h </w:instrText>
              </w:r>
              <w:r w:rsidR="00B64FC6">
                <w:rPr>
                  <w:noProof/>
                </w:rPr>
              </w:r>
              <w:r w:rsidR="00B64FC6">
                <w:rPr>
                  <w:noProof/>
                </w:rPr>
                <w:fldChar w:fldCharType="separate"/>
              </w:r>
              <w:r w:rsidR="00E06351">
                <w:rPr>
                  <w:noProof/>
                </w:rPr>
                <w:t>81</w:t>
              </w:r>
              <w:r w:rsidR="00B64FC6">
                <w:rPr>
                  <w:noProof/>
                </w:rPr>
                <w:fldChar w:fldCharType="end"/>
              </w:r>
            </w:hyperlink>
          </w:p>
          <w:p w14:paraId="58572D8D" w14:textId="50E7661D" w:rsidR="00B64FC6" w:rsidRDefault="00000000">
            <w:pPr>
              <w:pStyle w:val="TOC2"/>
              <w:rPr>
                <w:rFonts w:asciiTheme="minorHAnsi" w:eastAsiaTheme="minorEastAsia" w:hAnsiTheme="minorHAnsi"/>
                <w:noProof/>
                <w:lang w:eastAsia="en-NZ"/>
              </w:rPr>
            </w:pPr>
            <w:hyperlink w:anchor="_Toc126841219" w:history="1">
              <w:r w:rsidR="00B64FC6" w:rsidRPr="00E01EB7">
                <w:rPr>
                  <w:rStyle w:val="Hyperlink"/>
                  <w:noProof/>
                </w:rPr>
                <w:t>3.12</w:t>
              </w:r>
              <w:r w:rsidR="00B64FC6">
                <w:rPr>
                  <w:rFonts w:asciiTheme="minorHAnsi" w:eastAsiaTheme="minorEastAsia" w:hAnsiTheme="minorHAnsi"/>
                  <w:noProof/>
                  <w:lang w:eastAsia="en-NZ"/>
                </w:rPr>
                <w:tab/>
              </w:r>
              <w:r w:rsidR="00B64FC6" w:rsidRPr="00E01EB7">
                <w:rPr>
                  <w:rStyle w:val="Hyperlink"/>
                  <w:noProof/>
                </w:rPr>
                <w:t>Pseudo accountability</w:t>
              </w:r>
              <w:r w:rsidR="00B64FC6">
                <w:rPr>
                  <w:noProof/>
                </w:rPr>
                <w:tab/>
              </w:r>
              <w:r w:rsidR="00B64FC6">
                <w:rPr>
                  <w:noProof/>
                </w:rPr>
                <w:fldChar w:fldCharType="begin"/>
              </w:r>
              <w:r w:rsidR="00B64FC6">
                <w:rPr>
                  <w:noProof/>
                </w:rPr>
                <w:instrText xml:space="preserve"> PAGEREF _Toc126841219 \h </w:instrText>
              </w:r>
              <w:r w:rsidR="00B64FC6">
                <w:rPr>
                  <w:noProof/>
                </w:rPr>
              </w:r>
              <w:r w:rsidR="00B64FC6">
                <w:rPr>
                  <w:noProof/>
                </w:rPr>
                <w:fldChar w:fldCharType="separate"/>
              </w:r>
              <w:r w:rsidR="00E06351">
                <w:rPr>
                  <w:noProof/>
                </w:rPr>
                <w:t>85</w:t>
              </w:r>
              <w:r w:rsidR="00B64FC6">
                <w:rPr>
                  <w:noProof/>
                </w:rPr>
                <w:fldChar w:fldCharType="end"/>
              </w:r>
            </w:hyperlink>
          </w:p>
          <w:p w14:paraId="237B4F6B" w14:textId="76A9132E" w:rsidR="00B64FC6" w:rsidRDefault="00000000">
            <w:pPr>
              <w:pStyle w:val="TOC1"/>
              <w:rPr>
                <w:rFonts w:asciiTheme="minorHAnsi" w:eastAsiaTheme="minorEastAsia" w:hAnsiTheme="minorHAnsi"/>
                <w:noProof/>
                <w:lang w:eastAsia="en-NZ"/>
              </w:rPr>
            </w:pPr>
            <w:hyperlink w:anchor="_Toc126841220" w:history="1">
              <w:r w:rsidR="00B64FC6" w:rsidRPr="00E01EB7">
                <w:rPr>
                  <w:rStyle w:val="Hyperlink"/>
                  <w:noProof/>
                </w:rPr>
                <w:t>4</w:t>
              </w:r>
              <w:r w:rsidR="00B64FC6">
                <w:rPr>
                  <w:rFonts w:asciiTheme="minorHAnsi" w:eastAsiaTheme="minorEastAsia" w:hAnsiTheme="minorHAnsi"/>
                  <w:noProof/>
                  <w:lang w:eastAsia="en-NZ"/>
                </w:rPr>
                <w:tab/>
              </w:r>
              <w:r w:rsidR="00B64FC6" w:rsidRPr="00E01EB7">
                <w:rPr>
                  <w:rStyle w:val="Hyperlink"/>
                  <w:noProof/>
                </w:rPr>
                <w:t>Making better use of accountability</w:t>
              </w:r>
              <w:r w:rsidR="00B64FC6">
                <w:rPr>
                  <w:noProof/>
                </w:rPr>
                <w:tab/>
              </w:r>
              <w:r w:rsidR="00B64FC6">
                <w:rPr>
                  <w:noProof/>
                </w:rPr>
                <w:fldChar w:fldCharType="begin"/>
              </w:r>
              <w:r w:rsidR="00B64FC6">
                <w:rPr>
                  <w:noProof/>
                </w:rPr>
                <w:instrText xml:space="preserve"> PAGEREF _Toc126841220 \h </w:instrText>
              </w:r>
              <w:r w:rsidR="00B64FC6">
                <w:rPr>
                  <w:noProof/>
                </w:rPr>
              </w:r>
              <w:r w:rsidR="00B64FC6">
                <w:rPr>
                  <w:noProof/>
                </w:rPr>
                <w:fldChar w:fldCharType="separate"/>
              </w:r>
              <w:r w:rsidR="00E06351">
                <w:rPr>
                  <w:noProof/>
                </w:rPr>
                <w:t>87</w:t>
              </w:r>
              <w:r w:rsidR="00B64FC6">
                <w:rPr>
                  <w:noProof/>
                </w:rPr>
                <w:fldChar w:fldCharType="end"/>
              </w:r>
            </w:hyperlink>
          </w:p>
          <w:p w14:paraId="4CA28381" w14:textId="0BDB51DE" w:rsidR="00B64FC6" w:rsidRDefault="00000000">
            <w:pPr>
              <w:pStyle w:val="TOC2"/>
              <w:rPr>
                <w:rFonts w:asciiTheme="minorHAnsi" w:eastAsiaTheme="minorEastAsia" w:hAnsiTheme="minorHAnsi"/>
                <w:noProof/>
                <w:lang w:eastAsia="en-NZ"/>
              </w:rPr>
            </w:pPr>
            <w:hyperlink w:anchor="_Toc126841221" w:history="1">
              <w:r w:rsidR="00B64FC6" w:rsidRPr="00E01EB7">
                <w:rPr>
                  <w:rStyle w:val="Hyperlink"/>
                  <w:noProof/>
                </w:rPr>
                <w:t>4.1</w:t>
              </w:r>
              <w:r w:rsidR="00B64FC6">
                <w:rPr>
                  <w:rFonts w:asciiTheme="minorHAnsi" w:eastAsiaTheme="minorEastAsia" w:hAnsiTheme="minorHAnsi"/>
                  <w:noProof/>
                  <w:lang w:eastAsia="en-NZ"/>
                </w:rPr>
                <w:tab/>
              </w:r>
              <w:r w:rsidR="00B64FC6" w:rsidRPr="00E01EB7">
                <w:rPr>
                  <w:rStyle w:val="Hyperlink"/>
                  <w:noProof/>
                </w:rPr>
                <w:t>What success looks like</w:t>
              </w:r>
              <w:r w:rsidR="00B64FC6">
                <w:rPr>
                  <w:noProof/>
                </w:rPr>
                <w:tab/>
              </w:r>
              <w:r w:rsidR="00B64FC6">
                <w:rPr>
                  <w:noProof/>
                </w:rPr>
                <w:fldChar w:fldCharType="begin"/>
              </w:r>
              <w:r w:rsidR="00B64FC6">
                <w:rPr>
                  <w:noProof/>
                </w:rPr>
                <w:instrText xml:space="preserve"> PAGEREF _Toc126841221 \h </w:instrText>
              </w:r>
              <w:r w:rsidR="00B64FC6">
                <w:rPr>
                  <w:noProof/>
                </w:rPr>
              </w:r>
              <w:r w:rsidR="00B64FC6">
                <w:rPr>
                  <w:noProof/>
                </w:rPr>
                <w:fldChar w:fldCharType="separate"/>
              </w:r>
              <w:r w:rsidR="00E06351">
                <w:rPr>
                  <w:noProof/>
                </w:rPr>
                <w:t>87</w:t>
              </w:r>
              <w:r w:rsidR="00B64FC6">
                <w:rPr>
                  <w:noProof/>
                </w:rPr>
                <w:fldChar w:fldCharType="end"/>
              </w:r>
            </w:hyperlink>
          </w:p>
          <w:p w14:paraId="119BB838" w14:textId="7754E5A1" w:rsidR="00B64FC6" w:rsidRDefault="00000000">
            <w:pPr>
              <w:pStyle w:val="TOC2"/>
              <w:rPr>
                <w:rFonts w:asciiTheme="minorHAnsi" w:eastAsiaTheme="minorEastAsia" w:hAnsiTheme="minorHAnsi"/>
                <w:noProof/>
                <w:lang w:eastAsia="en-NZ"/>
              </w:rPr>
            </w:pPr>
            <w:hyperlink w:anchor="_Toc126841222" w:history="1">
              <w:r w:rsidR="00B64FC6" w:rsidRPr="00E01EB7">
                <w:rPr>
                  <w:rStyle w:val="Hyperlink"/>
                  <w:noProof/>
                </w:rPr>
                <w:t>4.2</w:t>
              </w:r>
              <w:r w:rsidR="00B64FC6">
                <w:rPr>
                  <w:rFonts w:asciiTheme="minorHAnsi" w:eastAsiaTheme="minorEastAsia" w:hAnsiTheme="minorHAnsi"/>
                  <w:noProof/>
                  <w:lang w:eastAsia="en-NZ"/>
                </w:rPr>
                <w:tab/>
              </w:r>
              <w:r w:rsidR="00B64FC6" w:rsidRPr="00E01EB7">
                <w:rPr>
                  <w:rStyle w:val="Hyperlink"/>
                  <w:noProof/>
                </w:rPr>
                <w:t>Longer-term constitutional change</w:t>
              </w:r>
              <w:r w:rsidR="00B64FC6">
                <w:rPr>
                  <w:noProof/>
                </w:rPr>
                <w:tab/>
              </w:r>
              <w:r w:rsidR="00B64FC6">
                <w:rPr>
                  <w:noProof/>
                </w:rPr>
                <w:fldChar w:fldCharType="begin"/>
              </w:r>
              <w:r w:rsidR="00B64FC6">
                <w:rPr>
                  <w:noProof/>
                </w:rPr>
                <w:instrText xml:space="preserve"> PAGEREF _Toc126841222 \h </w:instrText>
              </w:r>
              <w:r w:rsidR="00B64FC6">
                <w:rPr>
                  <w:noProof/>
                </w:rPr>
              </w:r>
              <w:r w:rsidR="00B64FC6">
                <w:rPr>
                  <w:noProof/>
                </w:rPr>
                <w:fldChar w:fldCharType="separate"/>
              </w:r>
              <w:r w:rsidR="00E06351">
                <w:rPr>
                  <w:noProof/>
                </w:rPr>
                <w:t>87</w:t>
              </w:r>
              <w:r w:rsidR="00B64FC6">
                <w:rPr>
                  <w:noProof/>
                </w:rPr>
                <w:fldChar w:fldCharType="end"/>
              </w:r>
            </w:hyperlink>
          </w:p>
          <w:p w14:paraId="1DF6F358" w14:textId="32EC12C2" w:rsidR="00B64FC6" w:rsidRDefault="00000000">
            <w:pPr>
              <w:pStyle w:val="TOC2"/>
              <w:rPr>
                <w:rFonts w:asciiTheme="minorHAnsi" w:eastAsiaTheme="minorEastAsia" w:hAnsiTheme="minorHAnsi"/>
                <w:noProof/>
                <w:lang w:eastAsia="en-NZ"/>
              </w:rPr>
            </w:pPr>
            <w:hyperlink w:anchor="_Toc126841223" w:history="1">
              <w:r w:rsidR="00B64FC6" w:rsidRPr="00E01EB7">
                <w:rPr>
                  <w:rStyle w:val="Hyperlink"/>
                  <w:noProof/>
                </w:rPr>
                <w:t>4.3</w:t>
              </w:r>
              <w:r w:rsidR="00B64FC6">
                <w:rPr>
                  <w:rFonts w:asciiTheme="minorHAnsi" w:eastAsiaTheme="minorEastAsia" w:hAnsiTheme="minorHAnsi"/>
                  <w:noProof/>
                  <w:lang w:eastAsia="en-NZ"/>
                </w:rPr>
                <w:tab/>
              </w:r>
              <w:r w:rsidR="00B64FC6" w:rsidRPr="00E01EB7">
                <w:rPr>
                  <w:rStyle w:val="Hyperlink"/>
                  <w:noProof/>
                </w:rPr>
                <w:t>Using the tools we already have</w:t>
              </w:r>
              <w:r w:rsidR="00B64FC6">
                <w:rPr>
                  <w:noProof/>
                </w:rPr>
                <w:tab/>
              </w:r>
              <w:r w:rsidR="00B64FC6">
                <w:rPr>
                  <w:noProof/>
                </w:rPr>
                <w:fldChar w:fldCharType="begin"/>
              </w:r>
              <w:r w:rsidR="00B64FC6">
                <w:rPr>
                  <w:noProof/>
                </w:rPr>
                <w:instrText xml:space="preserve"> PAGEREF _Toc126841223 \h </w:instrText>
              </w:r>
              <w:r w:rsidR="00B64FC6">
                <w:rPr>
                  <w:noProof/>
                </w:rPr>
              </w:r>
              <w:r w:rsidR="00B64FC6">
                <w:rPr>
                  <w:noProof/>
                </w:rPr>
                <w:fldChar w:fldCharType="separate"/>
              </w:r>
              <w:r w:rsidR="00E06351">
                <w:rPr>
                  <w:noProof/>
                </w:rPr>
                <w:t>88</w:t>
              </w:r>
              <w:r w:rsidR="00B64FC6">
                <w:rPr>
                  <w:noProof/>
                </w:rPr>
                <w:fldChar w:fldCharType="end"/>
              </w:r>
            </w:hyperlink>
          </w:p>
          <w:p w14:paraId="25E236E2" w14:textId="62735074" w:rsidR="00B64FC6" w:rsidRDefault="00000000">
            <w:pPr>
              <w:pStyle w:val="TOC2"/>
              <w:rPr>
                <w:rFonts w:asciiTheme="minorHAnsi" w:eastAsiaTheme="minorEastAsia" w:hAnsiTheme="minorHAnsi"/>
                <w:noProof/>
                <w:lang w:eastAsia="en-NZ"/>
              </w:rPr>
            </w:pPr>
            <w:hyperlink w:anchor="_Toc126841224" w:history="1">
              <w:r w:rsidR="00B64FC6" w:rsidRPr="00E01EB7">
                <w:rPr>
                  <w:rStyle w:val="Hyperlink"/>
                  <w:noProof/>
                </w:rPr>
                <w:t>4.4</w:t>
              </w:r>
              <w:r w:rsidR="00B64FC6">
                <w:rPr>
                  <w:rFonts w:asciiTheme="minorHAnsi" w:eastAsiaTheme="minorEastAsia" w:hAnsiTheme="minorHAnsi"/>
                  <w:noProof/>
                  <w:lang w:eastAsia="en-NZ"/>
                </w:rPr>
                <w:tab/>
              </w:r>
              <w:r w:rsidR="00B64FC6" w:rsidRPr="00E01EB7">
                <w:rPr>
                  <w:rStyle w:val="Hyperlink"/>
                  <w:noProof/>
                </w:rPr>
                <w:t>Supporting multiple lines of accountability</w:t>
              </w:r>
              <w:r w:rsidR="00B64FC6">
                <w:rPr>
                  <w:noProof/>
                </w:rPr>
                <w:tab/>
              </w:r>
              <w:r w:rsidR="00B64FC6">
                <w:rPr>
                  <w:noProof/>
                </w:rPr>
                <w:fldChar w:fldCharType="begin"/>
              </w:r>
              <w:r w:rsidR="00B64FC6">
                <w:rPr>
                  <w:noProof/>
                </w:rPr>
                <w:instrText xml:space="preserve"> PAGEREF _Toc126841224 \h </w:instrText>
              </w:r>
              <w:r w:rsidR="00B64FC6">
                <w:rPr>
                  <w:noProof/>
                </w:rPr>
              </w:r>
              <w:r w:rsidR="00B64FC6">
                <w:rPr>
                  <w:noProof/>
                </w:rPr>
                <w:fldChar w:fldCharType="separate"/>
              </w:r>
              <w:r w:rsidR="00E06351">
                <w:rPr>
                  <w:noProof/>
                </w:rPr>
                <w:t>90</w:t>
              </w:r>
              <w:r w:rsidR="00B64FC6">
                <w:rPr>
                  <w:noProof/>
                </w:rPr>
                <w:fldChar w:fldCharType="end"/>
              </w:r>
            </w:hyperlink>
          </w:p>
          <w:p w14:paraId="7260539D" w14:textId="12AEB528" w:rsidR="00B64FC6" w:rsidRDefault="00000000">
            <w:pPr>
              <w:pStyle w:val="TOC2"/>
              <w:rPr>
                <w:rFonts w:asciiTheme="minorHAnsi" w:eastAsiaTheme="minorEastAsia" w:hAnsiTheme="minorHAnsi"/>
                <w:noProof/>
                <w:lang w:eastAsia="en-NZ"/>
              </w:rPr>
            </w:pPr>
            <w:hyperlink w:anchor="_Toc126841225" w:history="1">
              <w:r w:rsidR="00B64FC6" w:rsidRPr="00E01EB7">
                <w:rPr>
                  <w:rStyle w:val="Hyperlink"/>
                  <w:noProof/>
                </w:rPr>
                <w:t>4.5</w:t>
              </w:r>
              <w:r w:rsidR="00B64FC6">
                <w:rPr>
                  <w:rFonts w:asciiTheme="minorHAnsi" w:eastAsiaTheme="minorEastAsia" w:hAnsiTheme="minorHAnsi"/>
                  <w:noProof/>
                  <w:lang w:eastAsia="en-NZ"/>
                </w:rPr>
                <w:tab/>
              </w:r>
              <w:r w:rsidR="00B64FC6" w:rsidRPr="00E01EB7">
                <w:rPr>
                  <w:rStyle w:val="Hyperlink"/>
                  <w:noProof/>
                </w:rPr>
                <w:t>Achieving greater balance</w:t>
              </w:r>
              <w:r w:rsidR="00B64FC6">
                <w:rPr>
                  <w:noProof/>
                </w:rPr>
                <w:tab/>
              </w:r>
              <w:r w:rsidR="00B64FC6">
                <w:rPr>
                  <w:noProof/>
                </w:rPr>
                <w:fldChar w:fldCharType="begin"/>
              </w:r>
              <w:r w:rsidR="00B64FC6">
                <w:rPr>
                  <w:noProof/>
                </w:rPr>
                <w:instrText xml:space="preserve"> PAGEREF _Toc126841225 \h </w:instrText>
              </w:r>
              <w:r w:rsidR="00B64FC6">
                <w:rPr>
                  <w:noProof/>
                </w:rPr>
              </w:r>
              <w:r w:rsidR="00B64FC6">
                <w:rPr>
                  <w:noProof/>
                </w:rPr>
                <w:fldChar w:fldCharType="separate"/>
              </w:r>
              <w:r w:rsidR="00E06351">
                <w:rPr>
                  <w:noProof/>
                </w:rPr>
                <w:t>90</w:t>
              </w:r>
              <w:r w:rsidR="00B64FC6">
                <w:rPr>
                  <w:noProof/>
                </w:rPr>
                <w:fldChar w:fldCharType="end"/>
              </w:r>
            </w:hyperlink>
          </w:p>
          <w:p w14:paraId="7474B43B" w14:textId="6BC88619" w:rsidR="00B64FC6" w:rsidRDefault="00000000">
            <w:pPr>
              <w:pStyle w:val="TOC2"/>
              <w:rPr>
                <w:rFonts w:asciiTheme="minorHAnsi" w:eastAsiaTheme="minorEastAsia" w:hAnsiTheme="minorHAnsi"/>
                <w:noProof/>
                <w:lang w:eastAsia="en-NZ"/>
              </w:rPr>
            </w:pPr>
            <w:hyperlink w:anchor="_Toc126841226" w:history="1">
              <w:r w:rsidR="00B64FC6" w:rsidRPr="00E01EB7">
                <w:rPr>
                  <w:rStyle w:val="Hyperlink"/>
                  <w:noProof/>
                </w:rPr>
                <w:t>4.6</w:t>
              </w:r>
              <w:r w:rsidR="00B64FC6">
                <w:rPr>
                  <w:rFonts w:asciiTheme="minorHAnsi" w:eastAsiaTheme="minorEastAsia" w:hAnsiTheme="minorHAnsi"/>
                  <w:noProof/>
                  <w:lang w:eastAsia="en-NZ"/>
                </w:rPr>
                <w:tab/>
              </w:r>
              <w:r w:rsidR="00B64FC6" w:rsidRPr="00E01EB7">
                <w:rPr>
                  <w:rStyle w:val="Hyperlink"/>
                  <w:noProof/>
                </w:rPr>
                <w:t>Strengthening democratic accountability</w:t>
              </w:r>
              <w:r w:rsidR="00B64FC6">
                <w:rPr>
                  <w:noProof/>
                </w:rPr>
                <w:tab/>
              </w:r>
              <w:r w:rsidR="00B64FC6">
                <w:rPr>
                  <w:noProof/>
                </w:rPr>
                <w:fldChar w:fldCharType="begin"/>
              </w:r>
              <w:r w:rsidR="00B64FC6">
                <w:rPr>
                  <w:noProof/>
                </w:rPr>
                <w:instrText xml:space="preserve"> PAGEREF _Toc126841226 \h </w:instrText>
              </w:r>
              <w:r w:rsidR="00B64FC6">
                <w:rPr>
                  <w:noProof/>
                </w:rPr>
              </w:r>
              <w:r w:rsidR="00B64FC6">
                <w:rPr>
                  <w:noProof/>
                </w:rPr>
                <w:fldChar w:fldCharType="separate"/>
              </w:r>
              <w:r w:rsidR="00E06351">
                <w:rPr>
                  <w:noProof/>
                </w:rPr>
                <w:t>91</w:t>
              </w:r>
              <w:r w:rsidR="00B64FC6">
                <w:rPr>
                  <w:noProof/>
                </w:rPr>
                <w:fldChar w:fldCharType="end"/>
              </w:r>
            </w:hyperlink>
          </w:p>
          <w:p w14:paraId="3C332190" w14:textId="11DADBC9" w:rsidR="00B64FC6" w:rsidRDefault="00000000">
            <w:pPr>
              <w:pStyle w:val="TOC2"/>
              <w:rPr>
                <w:rFonts w:asciiTheme="minorHAnsi" w:eastAsiaTheme="minorEastAsia" w:hAnsiTheme="minorHAnsi"/>
                <w:noProof/>
                <w:lang w:eastAsia="en-NZ"/>
              </w:rPr>
            </w:pPr>
            <w:hyperlink w:anchor="_Toc126841227" w:history="1">
              <w:r w:rsidR="00B64FC6" w:rsidRPr="00E01EB7">
                <w:rPr>
                  <w:rStyle w:val="Hyperlink"/>
                  <w:noProof/>
                </w:rPr>
                <w:t>4.7</w:t>
              </w:r>
              <w:r w:rsidR="00B64FC6">
                <w:rPr>
                  <w:rFonts w:asciiTheme="minorHAnsi" w:eastAsiaTheme="minorEastAsia" w:hAnsiTheme="minorHAnsi"/>
                  <w:noProof/>
                  <w:lang w:eastAsia="en-NZ"/>
                </w:rPr>
                <w:tab/>
              </w:r>
              <w:r w:rsidR="00B64FC6" w:rsidRPr="00E01EB7">
                <w:rPr>
                  <w:rStyle w:val="Hyperlink"/>
                  <w:noProof/>
                </w:rPr>
                <w:t>Making constitutional accountability more proportionate and effective</w:t>
              </w:r>
              <w:r w:rsidR="00B64FC6">
                <w:rPr>
                  <w:noProof/>
                </w:rPr>
                <w:tab/>
              </w:r>
              <w:r w:rsidR="00B64FC6">
                <w:rPr>
                  <w:noProof/>
                </w:rPr>
                <w:fldChar w:fldCharType="begin"/>
              </w:r>
              <w:r w:rsidR="00B64FC6">
                <w:rPr>
                  <w:noProof/>
                </w:rPr>
                <w:instrText xml:space="preserve"> PAGEREF _Toc126841227 \h </w:instrText>
              </w:r>
              <w:r w:rsidR="00B64FC6">
                <w:rPr>
                  <w:noProof/>
                </w:rPr>
              </w:r>
              <w:r w:rsidR="00B64FC6">
                <w:rPr>
                  <w:noProof/>
                </w:rPr>
                <w:fldChar w:fldCharType="separate"/>
              </w:r>
              <w:r w:rsidR="00E06351">
                <w:rPr>
                  <w:noProof/>
                </w:rPr>
                <w:t>104</w:t>
              </w:r>
              <w:r w:rsidR="00B64FC6">
                <w:rPr>
                  <w:noProof/>
                </w:rPr>
                <w:fldChar w:fldCharType="end"/>
              </w:r>
            </w:hyperlink>
          </w:p>
          <w:p w14:paraId="109B5AF8" w14:textId="55D18F1B" w:rsidR="00B64FC6" w:rsidRDefault="00000000">
            <w:pPr>
              <w:pStyle w:val="TOC1"/>
              <w:rPr>
                <w:rFonts w:asciiTheme="minorHAnsi" w:eastAsiaTheme="minorEastAsia" w:hAnsiTheme="minorHAnsi"/>
                <w:noProof/>
                <w:lang w:eastAsia="en-NZ"/>
              </w:rPr>
            </w:pPr>
            <w:hyperlink w:anchor="_Toc126841228" w:history="1">
              <w:r w:rsidR="00B64FC6" w:rsidRPr="00E01EB7">
                <w:rPr>
                  <w:rStyle w:val="Hyperlink"/>
                  <w:noProof/>
                </w:rPr>
                <w:t>5</w:t>
              </w:r>
              <w:r w:rsidR="00B64FC6">
                <w:rPr>
                  <w:rFonts w:asciiTheme="minorHAnsi" w:eastAsiaTheme="minorEastAsia" w:hAnsiTheme="minorHAnsi"/>
                  <w:noProof/>
                  <w:lang w:eastAsia="en-NZ"/>
                </w:rPr>
                <w:tab/>
              </w:r>
              <w:r w:rsidR="00B64FC6" w:rsidRPr="00E01EB7">
                <w:rPr>
                  <w:rStyle w:val="Hyperlink"/>
                  <w:noProof/>
                </w:rPr>
                <w:t>Being ready for change</w:t>
              </w:r>
              <w:r w:rsidR="00B64FC6">
                <w:rPr>
                  <w:noProof/>
                </w:rPr>
                <w:tab/>
              </w:r>
              <w:r w:rsidR="00B64FC6">
                <w:rPr>
                  <w:noProof/>
                </w:rPr>
                <w:fldChar w:fldCharType="begin"/>
              </w:r>
              <w:r w:rsidR="00B64FC6">
                <w:rPr>
                  <w:noProof/>
                </w:rPr>
                <w:instrText xml:space="preserve"> PAGEREF _Toc126841228 \h </w:instrText>
              </w:r>
              <w:r w:rsidR="00B64FC6">
                <w:rPr>
                  <w:noProof/>
                </w:rPr>
              </w:r>
              <w:r w:rsidR="00B64FC6">
                <w:rPr>
                  <w:noProof/>
                </w:rPr>
                <w:fldChar w:fldCharType="separate"/>
              </w:r>
              <w:r w:rsidR="00E06351">
                <w:rPr>
                  <w:noProof/>
                </w:rPr>
                <w:t>108</w:t>
              </w:r>
              <w:r w:rsidR="00B64FC6">
                <w:rPr>
                  <w:noProof/>
                </w:rPr>
                <w:fldChar w:fldCharType="end"/>
              </w:r>
            </w:hyperlink>
          </w:p>
          <w:p w14:paraId="32FDA4C6" w14:textId="3B718955" w:rsidR="00B64FC6" w:rsidRDefault="00000000">
            <w:pPr>
              <w:pStyle w:val="TOC1"/>
              <w:rPr>
                <w:rFonts w:asciiTheme="minorHAnsi" w:eastAsiaTheme="minorEastAsia" w:hAnsiTheme="minorHAnsi"/>
                <w:noProof/>
                <w:lang w:eastAsia="en-NZ"/>
              </w:rPr>
            </w:pPr>
            <w:hyperlink w:anchor="_Toc126841229" w:history="1">
              <w:r w:rsidR="00B64FC6" w:rsidRPr="00E01EB7">
                <w:rPr>
                  <w:rStyle w:val="Hyperlink"/>
                  <w:noProof/>
                </w:rPr>
                <w:t>6</w:t>
              </w:r>
              <w:r w:rsidR="00B64FC6">
                <w:rPr>
                  <w:rFonts w:asciiTheme="minorHAnsi" w:eastAsiaTheme="minorEastAsia" w:hAnsiTheme="minorHAnsi"/>
                  <w:noProof/>
                  <w:lang w:eastAsia="en-NZ"/>
                </w:rPr>
                <w:tab/>
              </w:r>
              <w:r w:rsidR="00B64FC6" w:rsidRPr="00E01EB7">
                <w:rPr>
                  <w:rStyle w:val="Hyperlink"/>
                  <w:noProof/>
                </w:rPr>
                <w:t>Recommendations</w:t>
              </w:r>
              <w:r w:rsidR="00B64FC6">
                <w:rPr>
                  <w:noProof/>
                </w:rPr>
                <w:tab/>
              </w:r>
              <w:r w:rsidR="00B64FC6">
                <w:rPr>
                  <w:noProof/>
                </w:rPr>
                <w:fldChar w:fldCharType="begin"/>
              </w:r>
              <w:r w:rsidR="00B64FC6">
                <w:rPr>
                  <w:noProof/>
                </w:rPr>
                <w:instrText xml:space="preserve"> PAGEREF _Toc126841229 \h </w:instrText>
              </w:r>
              <w:r w:rsidR="00B64FC6">
                <w:rPr>
                  <w:noProof/>
                </w:rPr>
              </w:r>
              <w:r w:rsidR="00B64FC6">
                <w:rPr>
                  <w:noProof/>
                </w:rPr>
                <w:fldChar w:fldCharType="separate"/>
              </w:r>
              <w:r w:rsidR="00E06351">
                <w:rPr>
                  <w:noProof/>
                </w:rPr>
                <w:t>110</w:t>
              </w:r>
              <w:r w:rsidR="00B64FC6">
                <w:rPr>
                  <w:noProof/>
                </w:rPr>
                <w:fldChar w:fldCharType="end"/>
              </w:r>
            </w:hyperlink>
          </w:p>
          <w:p w14:paraId="47A7211D" w14:textId="71D9B7DA" w:rsidR="00B64FC6" w:rsidRDefault="00000000">
            <w:pPr>
              <w:pStyle w:val="TOC1"/>
              <w:rPr>
                <w:rFonts w:asciiTheme="minorHAnsi" w:eastAsiaTheme="minorEastAsia" w:hAnsiTheme="minorHAnsi"/>
                <w:noProof/>
                <w:lang w:eastAsia="en-NZ"/>
              </w:rPr>
            </w:pPr>
            <w:hyperlink w:anchor="_Toc126841230" w:history="1">
              <w:r w:rsidR="00B64FC6" w:rsidRPr="00E01EB7">
                <w:rPr>
                  <w:rStyle w:val="Hyperlink"/>
                  <w:noProof/>
                </w:rPr>
                <w:t>7</w:t>
              </w:r>
              <w:r w:rsidR="00B64FC6">
                <w:rPr>
                  <w:rFonts w:asciiTheme="minorHAnsi" w:eastAsiaTheme="minorEastAsia" w:hAnsiTheme="minorHAnsi"/>
                  <w:noProof/>
                  <w:lang w:eastAsia="en-NZ"/>
                </w:rPr>
                <w:tab/>
              </w:r>
              <w:r w:rsidR="00B64FC6" w:rsidRPr="00E01EB7">
                <w:rPr>
                  <w:rStyle w:val="Hyperlink"/>
                  <w:noProof/>
                </w:rPr>
                <w:t>References</w:t>
              </w:r>
              <w:r w:rsidR="00B64FC6">
                <w:rPr>
                  <w:noProof/>
                </w:rPr>
                <w:tab/>
              </w:r>
              <w:r w:rsidR="00B64FC6">
                <w:rPr>
                  <w:noProof/>
                </w:rPr>
                <w:fldChar w:fldCharType="begin"/>
              </w:r>
              <w:r w:rsidR="00B64FC6">
                <w:rPr>
                  <w:noProof/>
                </w:rPr>
                <w:instrText xml:space="preserve"> PAGEREF _Toc126841230 \h </w:instrText>
              </w:r>
              <w:r w:rsidR="00B64FC6">
                <w:rPr>
                  <w:noProof/>
                </w:rPr>
              </w:r>
              <w:r w:rsidR="00B64FC6">
                <w:rPr>
                  <w:noProof/>
                </w:rPr>
                <w:fldChar w:fldCharType="separate"/>
              </w:r>
              <w:r w:rsidR="00E06351">
                <w:rPr>
                  <w:noProof/>
                </w:rPr>
                <w:t>113</w:t>
              </w:r>
              <w:r w:rsidR="00B64FC6">
                <w:rPr>
                  <w:noProof/>
                </w:rPr>
                <w:fldChar w:fldCharType="end"/>
              </w:r>
            </w:hyperlink>
          </w:p>
          <w:p w14:paraId="6924A409" w14:textId="71AE1F90" w:rsidR="00DC354C" w:rsidRPr="00726346" w:rsidRDefault="00DC354C" w:rsidP="00DD5977">
            <w:pPr>
              <w:pStyle w:val="USWhiteSpace"/>
              <w:rPr>
                <w:sz w:val="2"/>
                <w:szCs w:val="2"/>
              </w:rPr>
            </w:pPr>
            <w:r w:rsidRPr="00F543C1">
              <w:fldChar w:fldCharType="end"/>
            </w:r>
          </w:p>
        </w:tc>
      </w:tr>
      <w:tr w:rsidR="001A3EDE" w:rsidRPr="00F543C1" w14:paraId="789FB8C9" w14:textId="77777777" w:rsidTr="009D6BE5">
        <w:tc>
          <w:tcPr>
            <w:tcW w:w="9393" w:type="dxa"/>
            <w:tcBorders>
              <w:top w:val="nil"/>
              <w:left w:val="nil"/>
              <w:bottom w:val="nil"/>
              <w:right w:val="nil"/>
            </w:tcBorders>
          </w:tcPr>
          <w:p w14:paraId="7CA59DB2" w14:textId="26FF908B" w:rsidR="001A3EDE" w:rsidRPr="00F543C1" w:rsidRDefault="001A3EDE" w:rsidP="00356907">
            <w:pPr>
              <w:pStyle w:val="HeadingContents-TablesFigures"/>
              <w:spacing w:before="240"/>
            </w:pPr>
            <w:r w:rsidRPr="00F543C1">
              <w:lastRenderedPageBreak/>
              <w:t>Appendices</w:t>
            </w:r>
          </w:p>
        </w:tc>
      </w:tr>
      <w:tr w:rsidR="00F337D4" w:rsidRPr="00F543C1" w14:paraId="6B11DF02" w14:textId="77777777" w:rsidTr="001C0653">
        <w:tc>
          <w:tcPr>
            <w:tcW w:w="9393" w:type="dxa"/>
            <w:tcBorders>
              <w:top w:val="nil"/>
              <w:left w:val="nil"/>
              <w:bottom w:val="nil"/>
              <w:right w:val="nil"/>
            </w:tcBorders>
          </w:tcPr>
          <w:p w14:paraId="65DC5F13" w14:textId="6C20BD37" w:rsidR="00B64FC6" w:rsidRDefault="00D454F0">
            <w:pPr>
              <w:pStyle w:val="TOC6"/>
              <w:rPr>
                <w:rFonts w:asciiTheme="minorHAnsi" w:eastAsiaTheme="minorEastAsia" w:hAnsiTheme="minorHAnsi"/>
                <w:noProof/>
                <w:lang w:eastAsia="en-NZ"/>
              </w:rPr>
            </w:pPr>
            <w:r w:rsidRPr="00F543C1">
              <w:rPr>
                <w:color w:val="0094C5"/>
                <w:sz w:val="24"/>
              </w:rPr>
              <w:fldChar w:fldCharType="begin"/>
            </w:r>
            <w:r w:rsidRPr="00F543C1">
              <w:instrText xml:space="preserve"> TOC  </w:instrText>
            </w:r>
            <w:r w:rsidR="00F175C3" w:rsidRPr="00F543C1">
              <w:instrText xml:space="preserve"> </w:instrText>
            </w:r>
            <w:r w:rsidR="004761CC" w:rsidRPr="00F543C1">
              <w:instrText>\o "6</w:instrText>
            </w:r>
            <w:r w:rsidR="00780A71" w:rsidRPr="00F543C1">
              <w:instrText>-6</w:instrText>
            </w:r>
            <w:r w:rsidR="004761CC" w:rsidRPr="00F543C1">
              <w:instrText xml:space="preserve">" \t </w:instrText>
            </w:r>
            <w:r w:rsidR="00780A71" w:rsidRPr="00F543C1">
              <w:instrText>\</w:instrText>
            </w:r>
            <w:r w:rsidR="00C005FA" w:rsidRPr="00F543C1">
              <w:instrText>h</w:instrText>
            </w:r>
            <w:r w:rsidR="004761CC" w:rsidRPr="00F543C1">
              <w:instrText>"</w:instrText>
            </w:r>
            <w:r w:rsidRPr="00F543C1">
              <w:instrText xml:space="preserve"> </w:instrText>
            </w:r>
            <w:r w:rsidRPr="00F543C1">
              <w:rPr>
                <w:color w:val="0094C5"/>
                <w:sz w:val="24"/>
              </w:rPr>
              <w:fldChar w:fldCharType="separate"/>
            </w:r>
            <w:hyperlink w:anchor="_Toc126841231" w:history="1">
              <w:r w:rsidR="00B64FC6" w:rsidRPr="00D742A0">
                <w:rPr>
                  <w:rStyle w:val="Hyperlink"/>
                  <w:noProof/>
                </w:rPr>
                <w:t>Appendix A The capabilities of indigenous people</w:t>
              </w:r>
              <w:r w:rsidR="00B64FC6">
                <w:rPr>
                  <w:noProof/>
                </w:rPr>
                <w:tab/>
              </w:r>
              <w:r w:rsidR="00B64FC6">
                <w:rPr>
                  <w:noProof/>
                </w:rPr>
                <w:fldChar w:fldCharType="begin"/>
              </w:r>
              <w:r w:rsidR="00B64FC6">
                <w:rPr>
                  <w:noProof/>
                </w:rPr>
                <w:instrText xml:space="preserve"> PAGEREF _Toc126841231 \h </w:instrText>
              </w:r>
              <w:r w:rsidR="00B64FC6">
                <w:rPr>
                  <w:noProof/>
                </w:rPr>
              </w:r>
              <w:r w:rsidR="00B64FC6">
                <w:rPr>
                  <w:noProof/>
                </w:rPr>
                <w:fldChar w:fldCharType="separate"/>
              </w:r>
              <w:r w:rsidR="00E06351">
                <w:rPr>
                  <w:noProof/>
                </w:rPr>
                <w:t>128</w:t>
              </w:r>
              <w:r w:rsidR="00B64FC6">
                <w:rPr>
                  <w:noProof/>
                </w:rPr>
                <w:fldChar w:fldCharType="end"/>
              </w:r>
            </w:hyperlink>
          </w:p>
          <w:p w14:paraId="65C90000" w14:textId="52385B21" w:rsidR="00F337D4" w:rsidRPr="00726346" w:rsidRDefault="00D454F0" w:rsidP="001A3EDE">
            <w:pPr>
              <w:pStyle w:val="USWhiteSpace"/>
            </w:pPr>
            <w:r w:rsidRPr="00F543C1">
              <w:fldChar w:fldCharType="end"/>
            </w:r>
          </w:p>
        </w:tc>
      </w:tr>
      <w:tr w:rsidR="00DD5977" w:rsidRPr="00F543C1" w14:paraId="22FA035A" w14:textId="77777777" w:rsidTr="001C0653">
        <w:tc>
          <w:tcPr>
            <w:tcW w:w="9393" w:type="dxa"/>
            <w:tcBorders>
              <w:top w:val="nil"/>
              <w:left w:val="nil"/>
              <w:bottom w:val="nil"/>
              <w:right w:val="nil"/>
            </w:tcBorders>
          </w:tcPr>
          <w:p w14:paraId="03565B52" w14:textId="76D7FB89" w:rsidR="00DD5977" w:rsidRPr="00F543C1" w:rsidRDefault="00DD5977" w:rsidP="001A3EDE">
            <w:pPr>
              <w:pStyle w:val="HeadingContents-TablesFigures"/>
              <w:spacing w:before="240"/>
            </w:pPr>
            <w:r w:rsidRPr="00F543C1">
              <w:t>Figures</w:t>
            </w:r>
          </w:p>
        </w:tc>
      </w:tr>
      <w:tr w:rsidR="00F8197C" w:rsidRPr="00F543C1" w14:paraId="1F7CC8EA" w14:textId="77777777" w:rsidTr="001C0653">
        <w:tc>
          <w:tcPr>
            <w:tcW w:w="9393" w:type="dxa"/>
            <w:tcBorders>
              <w:top w:val="nil"/>
              <w:left w:val="nil"/>
              <w:bottom w:val="nil"/>
              <w:right w:val="nil"/>
            </w:tcBorders>
          </w:tcPr>
          <w:p w14:paraId="350761A6" w14:textId="29F28DCA" w:rsidR="00B64FC6" w:rsidRDefault="00F8197C">
            <w:pPr>
              <w:pStyle w:val="TableofFigures"/>
              <w:rPr>
                <w:rFonts w:asciiTheme="minorHAnsi" w:eastAsiaTheme="minorEastAsia" w:hAnsiTheme="minorHAnsi"/>
                <w:noProof/>
                <w:lang w:eastAsia="en-NZ"/>
              </w:rPr>
            </w:pPr>
            <w:r w:rsidRPr="00F543C1">
              <w:fldChar w:fldCharType="begin"/>
            </w:r>
            <w:r w:rsidRPr="00F543C1">
              <w:instrText xml:space="preserve"> TOC </w:instrText>
            </w:r>
            <w:r w:rsidR="007C21B3" w:rsidRPr="00F543C1">
              <w:instrText xml:space="preserve">\h \z </w:instrText>
            </w:r>
            <w:r w:rsidRPr="00F543C1">
              <w:instrText xml:space="preserve">\c "Figure" </w:instrText>
            </w:r>
            <w:r w:rsidRPr="00F543C1">
              <w:fldChar w:fldCharType="separate"/>
            </w:r>
            <w:hyperlink w:anchor="_Toc126841232" w:history="1">
              <w:r w:rsidR="00B64FC6" w:rsidRPr="00ED684D">
                <w:rPr>
                  <w:rStyle w:val="Hyperlink"/>
                  <w:noProof/>
                </w:rPr>
                <w:t>Figure 1 Many people are doing well</w:t>
              </w:r>
              <w:r w:rsidR="00B64FC6">
                <w:rPr>
                  <w:noProof/>
                  <w:webHidden/>
                </w:rPr>
                <w:tab/>
              </w:r>
              <w:r w:rsidR="00B64FC6">
                <w:rPr>
                  <w:noProof/>
                  <w:webHidden/>
                </w:rPr>
                <w:fldChar w:fldCharType="begin"/>
              </w:r>
              <w:r w:rsidR="00B64FC6">
                <w:rPr>
                  <w:noProof/>
                  <w:webHidden/>
                </w:rPr>
                <w:instrText xml:space="preserve"> PAGEREF _Toc126841232 \h </w:instrText>
              </w:r>
              <w:r w:rsidR="00B64FC6">
                <w:rPr>
                  <w:noProof/>
                  <w:webHidden/>
                </w:rPr>
              </w:r>
              <w:r w:rsidR="00B64FC6">
                <w:rPr>
                  <w:noProof/>
                  <w:webHidden/>
                </w:rPr>
                <w:fldChar w:fldCharType="separate"/>
              </w:r>
              <w:r w:rsidR="00E06351">
                <w:rPr>
                  <w:noProof/>
                  <w:webHidden/>
                </w:rPr>
                <w:t>13</w:t>
              </w:r>
              <w:r w:rsidR="00B64FC6">
                <w:rPr>
                  <w:noProof/>
                  <w:webHidden/>
                </w:rPr>
                <w:fldChar w:fldCharType="end"/>
              </w:r>
            </w:hyperlink>
          </w:p>
          <w:p w14:paraId="7739DBDE" w14:textId="13E37FE4" w:rsidR="00B64FC6" w:rsidRDefault="00000000">
            <w:pPr>
              <w:pStyle w:val="TableofFigures"/>
              <w:rPr>
                <w:rFonts w:asciiTheme="minorHAnsi" w:eastAsiaTheme="minorEastAsia" w:hAnsiTheme="minorHAnsi"/>
                <w:noProof/>
                <w:lang w:eastAsia="en-NZ"/>
              </w:rPr>
            </w:pPr>
            <w:hyperlink w:anchor="_Toc126841233" w:history="1">
              <w:r w:rsidR="00B64FC6" w:rsidRPr="00ED684D">
                <w:rPr>
                  <w:rStyle w:val="Hyperlink"/>
                  <w:noProof/>
                </w:rPr>
                <w:t>Figure 2 Total</w:t>
              </w:r>
              <w:r w:rsidR="00B64FC6" w:rsidRPr="00ED684D">
                <w:rPr>
                  <w:rStyle w:val="Hyperlink"/>
                  <w:noProof/>
                  <w:spacing w:val="-1"/>
                </w:rPr>
                <w:t xml:space="preserve"> spending on </w:t>
              </w:r>
              <w:r w:rsidR="00B64FC6" w:rsidRPr="00ED684D">
                <w:rPr>
                  <w:rStyle w:val="Hyperlink"/>
                  <w:noProof/>
                </w:rPr>
                <w:t>social</w:t>
              </w:r>
              <w:r w:rsidR="00B64FC6" w:rsidRPr="00ED684D">
                <w:rPr>
                  <w:rStyle w:val="Hyperlink"/>
                  <w:noProof/>
                  <w:spacing w:val="-4"/>
                </w:rPr>
                <w:t xml:space="preserve"> </w:t>
              </w:r>
              <w:r w:rsidR="00B64FC6" w:rsidRPr="00ED684D">
                <w:rPr>
                  <w:rStyle w:val="Hyperlink"/>
                  <w:noProof/>
                </w:rPr>
                <w:t>assistance</w:t>
              </w:r>
              <w:r w:rsidR="00B64FC6">
                <w:rPr>
                  <w:noProof/>
                  <w:webHidden/>
                </w:rPr>
                <w:tab/>
              </w:r>
              <w:r w:rsidR="00B64FC6">
                <w:rPr>
                  <w:noProof/>
                  <w:webHidden/>
                </w:rPr>
                <w:fldChar w:fldCharType="begin"/>
              </w:r>
              <w:r w:rsidR="00B64FC6">
                <w:rPr>
                  <w:noProof/>
                  <w:webHidden/>
                </w:rPr>
                <w:instrText xml:space="preserve"> PAGEREF _Toc126841233 \h </w:instrText>
              </w:r>
              <w:r w:rsidR="00B64FC6">
                <w:rPr>
                  <w:noProof/>
                  <w:webHidden/>
                </w:rPr>
              </w:r>
              <w:r w:rsidR="00B64FC6">
                <w:rPr>
                  <w:noProof/>
                  <w:webHidden/>
                </w:rPr>
                <w:fldChar w:fldCharType="separate"/>
              </w:r>
              <w:r w:rsidR="00E06351">
                <w:rPr>
                  <w:noProof/>
                  <w:webHidden/>
                </w:rPr>
                <w:t>14</w:t>
              </w:r>
              <w:r w:rsidR="00B64FC6">
                <w:rPr>
                  <w:noProof/>
                  <w:webHidden/>
                </w:rPr>
                <w:fldChar w:fldCharType="end"/>
              </w:r>
            </w:hyperlink>
          </w:p>
          <w:p w14:paraId="01B4C731" w14:textId="469C9AAB" w:rsidR="00B64FC6" w:rsidRDefault="00000000">
            <w:pPr>
              <w:pStyle w:val="TableofFigures"/>
              <w:rPr>
                <w:rFonts w:asciiTheme="minorHAnsi" w:eastAsiaTheme="minorEastAsia" w:hAnsiTheme="minorHAnsi"/>
                <w:noProof/>
                <w:lang w:eastAsia="en-NZ"/>
              </w:rPr>
            </w:pPr>
            <w:hyperlink w:anchor="_Toc126841234" w:history="1">
              <w:r w:rsidR="00B64FC6" w:rsidRPr="00ED684D">
                <w:rPr>
                  <w:rStyle w:val="Hyperlink"/>
                  <w:noProof/>
                </w:rPr>
                <w:t>Figure 3 The Productivity Commission’s original quadrant diagram</w:t>
              </w:r>
              <w:r w:rsidR="00B64FC6">
                <w:rPr>
                  <w:noProof/>
                  <w:webHidden/>
                </w:rPr>
                <w:tab/>
              </w:r>
              <w:r w:rsidR="00B64FC6">
                <w:rPr>
                  <w:noProof/>
                  <w:webHidden/>
                </w:rPr>
                <w:fldChar w:fldCharType="begin"/>
              </w:r>
              <w:r w:rsidR="00B64FC6">
                <w:rPr>
                  <w:noProof/>
                  <w:webHidden/>
                </w:rPr>
                <w:instrText xml:space="preserve"> PAGEREF _Toc126841234 \h </w:instrText>
              </w:r>
              <w:r w:rsidR="00B64FC6">
                <w:rPr>
                  <w:noProof/>
                  <w:webHidden/>
                </w:rPr>
              </w:r>
              <w:r w:rsidR="00B64FC6">
                <w:rPr>
                  <w:noProof/>
                  <w:webHidden/>
                </w:rPr>
                <w:fldChar w:fldCharType="separate"/>
              </w:r>
              <w:r w:rsidR="00E06351">
                <w:rPr>
                  <w:noProof/>
                  <w:webHidden/>
                </w:rPr>
                <w:t>18</w:t>
              </w:r>
              <w:r w:rsidR="00B64FC6">
                <w:rPr>
                  <w:noProof/>
                  <w:webHidden/>
                </w:rPr>
                <w:fldChar w:fldCharType="end"/>
              </w:r>
            </w:hyperlink>
          </w:p>
          <w:p w14:paraId="0F4A59E0" w14:textId="21A63B1A" w:rsidR="00B64FC6" w:rsidRDefault="00000000">
            <w:pPr>
              <w:pStyle w:val="TableofFigures"/>
              <w:rPr>
                <w:rFonts w:asciiTheme="minorHAnsi" w:eastAsiaTheme="minorEastAsia" w:hAnsiTheme="minorHAnsi"/>
                <w:noProof/>
                <w:lang w:eastAsia="en-NZ"/>
              </w:rPr>
            </w:pPr>
            <w:hyperlink w:anchor="_Toc126841235" w:history="1">
              <w:r w:rsidR="00B64FC6" w:rsidRPr="00ED684D">
                <w:rPr>
                  <w:rStyle w:val="Hyperlink"/>
                  <w:noProof/>
                </w:rPr>
                <w:t>Figure 4 Assistance needs to be simpler and more comprehensive</w:t>
              </w:r>
              <w:r w:rsidR="00B64FC6">
                <w:rPr>
                  <w:noProof/>
                  <w:webHidden/>
                </w:rPr>
                <w:tab/>
              </w:r>
              <w:r w:rsidR="00B64FC6">
                <w:rPr>
                  <w:noProof/>
                  <w:webHidden/>
                </w:rPr>
                <w:fldChar w:fldCharType="begin"/>
              </w:r>
              <w:r w:rsidR="00B64FC6">
                <w:rPr>
                  <w:noProof/>
                  <w:webHidden/>
                </w:rPr>
                <w:instrText xml:space="preserve"> PAGEREF _Toc126841235 \h </w:instrText>
              </w:r>
              <w:r w:rsidR="00B64FC6">
                <w:rPr>
                  <w:noProof/>
                  <w:webHidden/>
                </w:rPr>
              </w:r>
              <w:r w:rsidR="00B64FC6">
                <w:rPr>
                  <w:noProof/>
                  <w:webHidden/>
                </w:rPr>
                <w:fldChar w:fldCharType="separate"/>
              </w:r>
              <w:r w:rsidR="00E06351">
                <w:rPr>
                  <w:noProof/>
                  <w:webHidden/>
                </w:rPr>
                <w:t>21</w:t>
              </w:r>
              <w:r w:rsidR="00B64FC6">
                <w:rPr>
                  <w:noProof/>
                  <w:webHidden/>
                </w:rPr>
                <w:fldChar w:fldCharType="end"/>
              </w:r>
            </w:hyperlink>
          </w:p>
          <w:p w14:paraId="3266AD43" w14:textId="15ABEE6E" w:rsidR="00B64FC6" w:rsidRDefault="00000000">
            <w:pPr>
              <w:pStyle w:val="TableofFigures"/>
              <w:rPr>
                <w:rFonts w:asciiTheme="minorHAnsi" w:eastAsiaTheme="minorEastAsia" w:hAnsiTheme="minorHAnsi"/>
                <w:noProof/>
                <w:lang w:eastAsia="en-NZ"/>
              </w:rPr>
            </w:pPr>
            <w:hyperlink w:anchor="_Toc126841236" w:history="1">
              <w:r w:rsidR="00B64FC6" w:rsidRPr="00ED684D">
                <w:rPr>
                  <w:rStyle w:val="Hyperlink"/>
                  <w:noProof/>
                </w:rPr>
                <w:t>Figure 5 An empowered, capable workforce is needed</w:t>
              </w:r>
              <w:r w:rsidR="00B64FC6">
                <w:rPr>
                  <w:noProof/>
                  <w:webHidden/>
                </w:rPr>
                <w:tab/>
              </w:r>
              <w:r w:rsidR="00B64FC6">
                <w:rPr>
                  <w:noProof/>
                  <w:webHidden/>
                </w:rPr>
                <w:fldChar w:fldCharType="begin"/>
              </w:r>
              <w:r w:rsidR="00B64FC6">
                <w:rPr>
                  <w:noProof/>
                  <w:webHidden/>
                </w:rPr>
                <w:instrText xml:space="preserve"> PAGEREF _Toc126841236 \h </w:instrText>
              </w:r>
              <w:r w:rsidR="00B64FC6">
                <w:rPr>
                  <w:noProof/>
                  <w:webHidden/>
                </w:rPr>
              </w:r>
              <w:r w:rsidR="00B64FC6">
                <w:rPr>
                  <w:noProof/>
                  <w:webHidden/>
                </w:rPr>
                <w:fldChar w:fldCharType="separate"/>
              </w:r>
              <w:r w:rsidR="00E06351">
                <w:rPr>
                  <w:noProof/>
                  <w:webHidden/>
                </w:rPr>
                <w:t>22</w:t>
              </w:r>
              <w:r w:rsidR="00B64FC6">
                <w:rPr>
                  <w:noProof/>
                  <w:webHidden/>
                </w:rPr>
                <w:fldChar w:fldCharType="end"/>
              </w:r>
            </w:hyperlink>
          </w:p>
          <w:p w14:paraId="2811A760" w14:textId="500AB3EA" w:rsidR="00B64FC6" w:rsidRDefault="00000000">
            <w:pPr>
              <w:pStyle w:val="TableofFigures"/>
              <w:rPr>
                <w:rFonts w:asciiTheme="minorHAnsi" w:eastAsiaTheme="minorEastAsia" w:hAnsiTheme="minorHAnsi"/>
                <w:noProof/>
                <w:lang w:eastAsia="en-NZ"/>
              </w:rPr>
            </w:pPr>
            <w:hyperlink w:anchor="_Toc126841237" w:history="1">
              <w:r w:rsidR="00B64FC6" w:rsidRPr="00ED684D">
                <w:rPr>
                  <w:rStyle w:val="Hyperlink"/>
                  <w:noProof/>
                </w:rPr>
                <w:t>Figure 6 The resources that influence wellbeing</w:t>
              </w:r>
              <w:r w:rsidR="00B64FC6">
                <w:rPr>
                  <w:noProof/>
                  <w:webHidden/>
                </w:rPr>
                <w:tab/>
              </w:r>
              <w:r w:rsidR="00B64FC6">
                <w:rPr>
                  <w:noProof/>
                  <w:webHidden/>
                </w:rPr>
                <w:fldChar w:fldCharType="begin"/>
              </w:r>
              <w:r w:rsidR="00B64FC6">
                <w:rPr>
                  <w:noProof/>
                  <w:webHidden/>
                </w:rPr>
                <w:instrText xml:space="preserve"> PAGEREF _Toc126841237 \h </w:instrText>
              </w:r>
              <w:r w:rsidR="00B64FC6">
                <w:rPr>
                  <w:noProof/>
                  <w:webHidden/>
                </w:rPr>
              </w:r>
              <w:r w:rsidR="00B64FC6">
                <w:rPr>
                  <w:noProof/>
                  <w:webHidden/>
                </w:rPr>
                <w:fldChar w:fldCharType="separate"/>
              </w:r>
              <w:r w:rsidR="00E06351">
                <w:rPr>
                  <w:noProof/>
                  <w:webHidden/>
                </w:rPr>
                <w:t>32</w:t>
              </w:r>
              <w:r w:rsidR="00B64FC6">
                <w:rPr>
                  <w:noProof/>
                  <w:webHidden/>
                </w:rPr>
                <w:fldChar w:fldCharType="end"/>
              </w:r>
            </w:hyperlink>
          </w:p>
          <w:p w14:paraId="484EE504" w14:textId="64A25AB5" w:rsidR="00B64FC6" w:rsidRDefault="00000000">
            <w:pPr>
              <w:pStyle w:val="TableofFigures"/>
              <w:rPr>
                <w:rFonts w:asciiTheme="minorHAnsi" w:eastAsiaTheme="minorEastAsia" w:hAnsiTheme="minorHAnsi"/>
                <w:noProof/>
                <w:lang w:eastAsia="en-NZ"/>
              </w:rPr>
            </w:pPr>
            <w:hyperlink w:anchor="_Toc126841238" w:history="1">
              <w:r w:rsidR="00B64FC6" w:rsidRPr="00ED684D">
                <w:rPr>
                  <w:rStyle w:val="Hyperlink"/>
                  <w:noProof/>
                </w:rPr>
                <w:t>Figure 7 Types of accountability systems</w:t>
              </w:r>
              <w:r w:rsidR="00B64FC6">
                <w:rPr>
                  <w:noProof/>
                  <w:webHidden/>
                </w:rPr>
                <w:tab/>
              </w:r>
              <w:r w:rsidR="00B64FC6">
                <w:rPr>
                  <w:noProof/>
                  <w:webHidden/>
                </w:rPr>
                <w:fldChar w:fldCharType="begin"/>
              </w:r>
              <w:r w:rsidR="00B64FC6">
                <w:rPr>
                  <w:noProof/>
                  <w:webHidden/>
                </w:rPr>
                <w:instrText xml:space="preserve"> PAGEREF _Toc126841238 \h </w:instrText>
              </w:r>
              <w:r w:rsidR="00B64FC6">
                <w:rPr>
                  <w:noProof/>
                  <w:webHidden/>
                </w:rPr>
              </w:r>
              <w:r w:rsidR="00B64FC6">
                <w:rPr>
                  <w:noProof/>
                  <w:webHidden/>
                </w:rPr>
                <w:fldChar w:fldCharType="separate"/>
              </w:r>
              <w:r w:rsidR="00E06351">
                <w:rPr>
                  <w:noProof/>
                  <w:webHidden/>
                </w:rPr>
                <w:t>54</w:t>
              </w:r>
              <w:r w:rsidR="00B64FC6">
                <w:rPr>
                  <w:noProof/>
                  <w:webHidden/>
                </w:rPr>
                <w:fldChar w:fldCharType="end"/>
              </w:r>
            </w:hyperlink>
          </w:p>
          <w:p w14:paraId="15B4ADD0" w14:textId="7177CAA0" w:rsidR="00B64FC6" w:rsidRDefault="00000000">
            <w:pPr>
              <w:pStyle w:val="TableofFigures"/>
              <w:rPr>
                <w:rFonts w:asciiTheme="minorHAnsi" w:eastAsiaTheme="minorEastAsia" w:hAnsiTheme="minorHAnsi"/>
                <w:noProof/>
                <w:lang w:eastAsia="en-NZ"/>
              </w:rPr>
            </w:pPr>
            <w:hyperlink w:anchor="_Toc126841239" w:history="1">
              <w:r w:rsidR="00B64FC6" w:rsidRPr="00ED684D">
                <w:rPr>
                  <w:rStyle w:val="Hyperlink"/>
                  <w:noProof/>
                </w:rPr>
                <w:t>Figure 8 A multi-layered system of parliamentary scrutiny</w:t>
              </w:r>
              <w:r w:rsidR="00B64FC6">
                <w:rPr>
                  <w:noProof/>
                  <w:webHidden/>
                </w:rPr>
                <w:tab/>
              </w:r>
              <w:r w:rsidR="00B64FC6">
                <w:rPr>
                  <w:noProof/>
                  <w:webHidden/>
                </w:rPr>
                <w:fldChar w:fldCharType="begin"/>
              </w:r>
              <w:r w:rsidR="00B64FC6">
                <w:rPr>
                  <w:noProof/>
                  <w:webHidden/>
                </w:rPr>
                <w:instrText xml:space="preserve"> PAGEREF _Toc126841239 \h </w:instrText>
              </w:r>
              <w:r w:rsidR="00B64FC6">
                <w:rPr>
                  <w:noProof/>
                  <w:webHidden/>
                </w:rPr>
              </w:r>
              <w:r w:rsidR="00B64FC6">
                <w:rPr>
                  <w:noProof/>
                  <w:webHidden/>
                </w:rPr>
                <w:fldChar w:fldCharType="separate"/>
              </w:r>
              <w:r w:rsidR="00E06351">
                <w:rPr>
                  <w:noProof/>
                  <w:webHidden/>
                </w:rPr>
                <w:t>69</w:t>
              </w:r>
              <w:r w:rsidR="00B64FC6">
                <w:rPr>
                  <w:noProof/>
                  <w:webHidden/>
                </w:rPr>
                <w:fldChar w:fldCharType="end"/>
              </w:r>
            </w:hyperlink>
          </w:p>
          <w:p w14:paraId="4F7CB27E" w14:textId="2E52FC9D" w:rsidR="00B64FC6" w:rsidRDefault="00000000">
            <w:pPr>
              <w:pStyle w:val="TableofFigures"/>
              <w:rPr>
                <w:rFonts w:asciiTheme="minorHAnsi" w:eastAsiaTheme="minorEastAsia" w:hAnsiTheme="minorHAnsi"/>
                <w:noProof/>
                <w:lang w:eastAsia="en-NZ"/>
              </w:rPr>
            </w:pPr>
            <w:hyperlink w:anchor="_Toc126841240" w:history="1">
              <w:r w:rsidR="00B64FC6" w:rsidRPr="00ED684D">
                <w:rPr>
                  <w:rStyle w:val="Hyperlink"/>
                  <w:noProof/>
                </w:rPr>
                <w:t>Figure 9 The process of reporting performance</w:t>
              </w:r>
              <w:r w:rsidR="00B64FC6">
                <w:rPr>
                  <w:noProof/>
                  <w:webHidden/>
                </w:rPr>
                <w:tab/>
              </w:r>
              <w:r w:rsidR="00B64FC6">
                <w:rPr>
                  <w:noProof/>
                  <w:webHidden/>
                </w:rPr>
                <w:fldChar w:fldCharType="begin"/>
              </w:r>
              <w:r w:rsidR="00B64FC6">
                <w:rPr>
                  <w:noProof/>
                  <w:webHidden/>
                </w:rPr>
                <w:instrText xml:space="preserve"> PAGEREF _Toc126841240 \h </w:instrText>
              </w:r>
              <w:r w:rsidR="00B64FC6">
                <w:rPr>
                  <w:noProof/>
                  <w:webHidden/>
                </w:rPr>
              </w:r>
              <w:r w:rsidR="00B64FC6">
                <w:rPr>
                  <w:noProof/>
                  <w:webHidden/>
                </w:rPr>
                <w:fldChar w:fldCharType="separate"/>
              </w:r>
              <w:r w:rsidR="00E06351">
                <w:rPr>
                  <w:noProof/>
                  <w:webHidden/>
                </w:rPr>
                <w:t>72</w:t>
              </w:r>
              <w:r w:rsidR="00B64FC6">
                <w:rPr>
                  <w:noProof/>
                  <w:webHidden/>
                </w:rPr>
                <w:fldChar w:fldCharType="end"/>
              </w:r>
            </w:hyperlink>
          </w:p>
          <w:p w14:paraId="7DD872DF" w14:textId="030A53DF" w:rsidR="00B64FC6" w:rsidRDefault="00000000">
            <w:pPr>
              <w:pStyle w:val="TableofFigures"/>
              <w:rPr>
                <w:rFonts w:asciiTheme="minorHAnsi" w:eastAsiaTheme="minorEastAsia" w:hAnsiTheme="minorHAnsi"/>
                <w:noProof/>
                <w:lang w:eastAsia="en-NZ"/>
              </w:rPr>
            </w:pPr>
            <w:hyperlink w:anchor="_Toc126841241" w:history="1">
              <w:r w:rsidR="00B64FC6" w:rsidRPr="00ED684D">
                <w:rPr>
                  <w:rStyle w:val="Hyperlink"/>
                  <w:noProof/>
                </w:rPr>
                <w:t>Figure 10 The Westminster chain of accountability</w:t>
              </w:r>
              <w:r w:rsidR="00B64FC6">
                <w:rPr>
                  <w:noProof/>
                  <w:webHidden/>
                </w:rPr>
                <w:tab/>
              </w:r>
              <w:r w:rsidR="00B64FC6">
                <w:rPr>
                  <w:noProof/>
                  <w:webHidden/>
                </w:rPr>
                <w:fldChar w:fldCharType="begin"/>
              </w:r>
              <w:r w:rsidR="00B64FC6">
                <w:rPr>
                  <w:noProof/>
                  <w:webHidden/>
                </w:rPr>
                <w:instrText xml:space="preserve"> PAGEREF _Toc126841241 \h </w:instrText>
              </w:r>
              <w:r w:rsidR="00B64FC6">
                <w:rPr>
                  <w:noProof/>
                  <w:webHidden/>
                </w:rPr>
              </w:r>
              <w:r w:rsidR="00B64FC6">
                <w:rPr>
                  <w:noProof/>
                  <w:webHidden/>
                </w:rPr>
                <w:fldChar w:fldCharType="separate"/>
              </w:r>
              <w:r w:rsidR="00E06351">
                <w:rPr>
                  <w:noProof/>
                  <w:webHidden/>
                </w:rPr>
                <w:t>75</w:t>
              </w:r>
              <w:r w:rsidR="00B64FC6">
                <w:rPr>
                  <w:noProof/>
                  <w:webHidden/>
                </w:rPr>
                <w:fldChar w:fldCharType="end"/>
              </w:r>
            </w:hyperlink>
          </w:p>
          <w:p w14:paraId="73BBD2D0" w14:textId="44576B55" w:rsidR="00B64FC6" w:rsidRDefault="00000000">
            <w:pPr>
              <w:pStyle w:val="TableofFigures"/>
              <w:rPr>
                <w:rFonts w:asciiTheme="minorHAnsi" w:eastAsiaTheme="minorEastAsia" w:hAnsiTheme="minorHAnsi"/>
                <w:noProof/>
                <w:lang w:eastAsia="en-NZ"/>
              </w:rPr>
            </w:pPr>
            <w:hyperlink w:anchor="_Toc126841242" w:history="1">
              <w:r w:rsidR="00B64FC6" w:rsidRPr="00ED684D">
                <w:rPr>
                  <w:rStyle w:val="Hyperlink"/>
                  <w:noProof/>
                </w:rPr>
                <w:t>Figure 11 The five steps for effective public accountability</w:t>
              </w:r>
              <w:r w:rsidR="00B64FC6">
                <w:rPr>
                  <w:noProof/>
                  <w:webHidden/>
                </w:rPr>
                <w:tab/>
              </w:r>
              <w:r w:rsidR="00B64FC6">
                <w:rPr>
                  <w:noProof/>
                  <w:webHidden/>
                </w:rPr>
                <w:fldChar w:fldCharType="begin"/>
              </w:r>
              <w:r w:rsidR="00B64FC6">
                <w:rPr>
                  <w:noProof/>
                  <w:webHidden/>
                </w:rPr>
                <w:instrText xml:space="preserve"> PAGEREF _Toc126841242 \h </w:instrText>
              </w:r>
              <w:r w:rsidR="00B64FC6">
                <w:rPr>
                  <w:noProof/>
                  <w:webHidden/>
                </w:rPr>
              </w:r>
              <w:r w:rsidR="00B64FC6">
                <w:rPr>
                  <w:noProof/>
                  <w:webHidden/>
                </w:rPr>
                <w:fldChar w:fldCharType="separate"/>
              </w:r>
              <w:r w:rsidR="00E06351">
                <w:rPr>
                  <w:noProof/>
                  <w:webHidden/>
                </w:rPr>
                <w:t>82</w:t>
              </w:r>
              <w:r w:rsidR="00B64FC6">
                <w:rPr>
                  <w:noProof/>
                  <w:webHidden/>
                </w:rPr>
                <w:fldChar w:fldCharType="end"/>
              </w:r>
            </w:hyperlink>
          </w:p>
          <w:p w14:paraId="079374DF" w14:textId="476B24BD" w:rsidR="00B64FC6" w:rsidRDefault="00000000">
            <w:pPr>
              <w:pStyle w:val="TableofFigures"/>
              <w:rPr>
                <w:rFonts w:asciiTheme="minorHAnsi" w:eastAsiaTheme="minorEastAsia" w:hAnsiTheme="minorHAnsi"/>
                <w:noProof/>
                <w:lang w:eastAsia="en-NZ"/>
              </w:rPr>
            </w:pPr>
            <w:hyperlink w:anchor="_Toc126841243" w:history="1">
              <w:r w:rsidR="00B64FC6" w:rsidRPr="00ED684D">
                <w:rPr>
                  <w:rStyle w:val="Hyperlink"/>
                  <w:noProof/>
                </w:rPr>
                <w:t>Figure 12 A new accountability structure for persistent disadvantage</w:t>
              </w:r>
              <w:r w:rsidR="00B64FC6">
                <w:rPr>
                  <w:noProof/>
                  <w:webHidden/>
                </w:rPr>
                <w:tab/>
              </w:r>
              <w:r w:rsidR="00B64FC6">
                <w:rPr>
                  <w:noProof/>
                  <w:webHidden/>
                </w:rPr>
                <w:fldChar w:fldCharType="begin"/>
              </w:r>
              <w:r w:rsidR="00B64FC6">
                <w:rPr>
                  <w:noProof/>
                  <w:webHidden/>
                </w:rPr>
                <w:instrText xml:space="preserve"> PAGEREF _Toc126841243 \h </w:instrText>
              </w:r>
              <w:r w:rsidR="00B64FC6">
                <w:rPr>
                  <w:noProof/>
                  <w:webHidden/>
                </w:rPr>
              </w:r>
              <w:r w:rsidR="00B64FC6">
                <w:rPr>
                  <w:noProof/>
                  <w:webHidden/>
                </w:rPr>
                <w:fldChar w:fldCharType="separate"/>
              </w:r>
              <w:r w:rsidR="00E06351">
                <w:rPr>
                  <w:noProof/>
                  <w:webHidden/>
                </w:rPr>
                <w:t>93</w:t>
              </w:r>
              <w:r w:rsidR="00B64FC6">
                <w:rPr>
                  <w:noProof/>
                  <w:webHidden/>
                </w:rPr>
                <w:fldChar w:fldCharType="end"/>
              </w:r>
            </w:hyperlink>
          </w:p>
          <w:p w14:paraId="3EF73381" w14:textId="204A296A" w:rsidR="00B64FC6" w:rsidRDefault="00000000">
            <w:pPr>
              <w:pStyle w:val="TableofFigures"/>
              <w:rPr>
                <w:rFonts w:asciiTheme="minorHAnsi" w:eastAsiaTheme="minorEastAsia" w:hAnsiTheme="minorHAnsi"/>
                <w:noProof/>
                <w:lang w:eastAsia="en-NZ"/>
              </w:rPr>
            </w:pPr>
            <w:hyperlink w:anchor="_Toc126841244" w:history="1">
              <w:r w:rsidR="00B64FC6" w:rsidRPr="00ED684D">
                <w:rPr>
                  <w:rStyle w:val="Hyperlink"/>
                  <w:noProof/>
                </w:rPr>
                <w:t>Figure 13 Our proposed structure</w:t>
              </w:r>
              <w:r w:rsidR="00B64FC6">
                <w:rPr>
                  <w:noProof/>
                  <w:webHidden/>
                </w:rPr>
                <w:tab/>
              </w:r>
              <w:r w:rsidR="00B64FC6">
                <w:rPr>
                  <w:noProof/>
                  <w:webHidden/>
                </w:rPr>
                <w:fldChar w:fldCharType="begin"/>
              </w:r>
              <w:r w:rsidR="00B64FC6">
                <w:rPr>
                  <w:noProof/>
                  <w:webHidden/>
                </w:rPr>
                <w:instrText xml:space="preserve"> PAGEREF _Toc126841244 \h </w:instrText>
              </w:r>
              <w:r w:rsidR="00B64FC6">
                <w:rPr>
                  <w:noProof/>
                  <w:webHidden/>
                </w:rPr>
              </w:r>
              <w:r w:rsidR="00B64FC6">
                <w:rPr>
                  <w:noProof/>
                  <w:webHidden/>
                </w:rPr>
                <w:fldChar w:fldCharType="separate"/>
              </w:r>
              <w:r w:rsidR="00E06351">
                <w:rPr>
                  <w:noProof/>
                  <w:webHidden/>
                </w:rPr>
                <w:t>97</w:t>
              </w:r>
              <w:r w:rsidR="00B64FC6">
                <w:rPr>
                  <w:noProof/>
                  <w:webHidden/>
                </w:rPr>
                <w:fldChar w:fldCharType="end"/>
              </w:r>
            </w:hyperlink>
          </w:p>
          <w:p w14:paraId="2F16F9E0" w14:textId="2C7FA0F3" w:rsidR="00F8197C" w:rsidRPr="00726346" w:rsidRDefault="00F8197C" w:rsidP="00DD5977">
            <w:pPr>
              <w:pStyle w:val="USWhiteSpace"/>
              <w:rPr>
                <w:sz w:val="2"/>
                <w:szCs w:val="2"/>
              </w:rPr>
            </w:pPr>
            <w:r w:rsidRPr="00F543C1">
              <w:fldChar w:fldCharType="end"/>
            </w:r>
          </w:p>
        </w:tc>
      </w:tr>
      <w:tr w:rsidR="00DD5977" w:rsidRPr="00F543C1" w14:paraId="24E78F10" w14:textId="77777777" w:rsidTr="001C0653">
        <w:tc>
          <w:tcPr>
            <w:tcW w:w="9393" w:type="dxa"/>
            <w:tcBorders>
              <w:top w:val="nil"/>
              <w:left w:val="nil"/>
              <w:bottom w:val="nil"/>
              <w:right w:val="nil"/>
            </w:tcBorders>
          </w:tcPr>
          <w:p w14:paraId="113477E0" w14:textId="13EC83AC" w:rsidR="00DD5977" w:rsidRPr="00F543C1" w:rsidRDefault="00DD5977" w:rsidP="001A3EDE">
            <w:pPr>
              <w:pStyle w:val="HeadingContents-TablesFigures"/>
              <w:spacing w:before="240"/>
            </w:pPr>
            <w:r w:rsidRPr="00F543C1">
              <w:t>Tables</w:t>
            </w:r>
          </w:p>
        </w:tc>
      </w:tr>
      <w:tr w:rsidR="00F8197C" w:rsidRPr="00F543C1" w14:paraId="2DD2EF8D" w14:textId="77777777" w:rsidTr="001C0653">
        <w:tc>
          <w:tcPr>
            <w:tcW w:w="9393" w:type="dxa"/>
            <w:tcBorders>
              <w:top w:val="nil"/>
              <w:left w:val="nil"/>
              <w:bottom w:val="nil"/>
              <w:right w:val="nil"/>
            </w:tcBorders>
          </w:tcPr>
          <w:p w14:paraId="56D59470" w14:textId="64B06187" w:rsidR="00B64FC6" w:rsidRDefault="00F8197C">
            <w:pPr>
              <w:pStyle w:val="TableofFigures"/>
              <w:rPr>
                <w:rFonts w:asciiTheme="minorHAnsi" w:eastAsiaTheme="minorEastAsia" w:hAnsiTheme="minorHAnsi"/>
                <w:noProof/>
                <w:lang w:eastAsia="en-NZ"/>
              </w:rPr>
            </w:pPr>
            <w:r w:rsidRPr="00F543C1">
              <w:rPr>
                <w:b/>
                <w:bCs/>
              </w:rPr>
              <w:fldChar w:fldCharType="begin"/>
            </w:r>
            <w:r w:rsidRPr="00F543C1">
              <w:rPr>
                <w:b/>
                <w:bCs/>
              </w:rPr>
              <w:instrText xml:space="preserve"> TOC </w:instrText>
            </w:r>
            <w:r w:rsidR="007C21B3" w:rsidRPr="00F543C1">
              <w:rPr>
                <w:b/>
                <w:bCs/>
              </w:rPr>
              <w:instrText xml:space="preserve">\h \z </w:instrText>
            </w:r>
            <w:r w:rsidRPr="00F543C1">
              <w:rPr>
                <w:b/>
                <w:bCs/>
              </w:rPr>
              <w:instrText>\c "Table</w:instrText>
            </w:r>
            <w:r w:rsidR="00C005FA" w:rsidRPr="00F543C1">
              <w:rPr>
                <w:b/>
                <w:bCs/>
              </w:rPr>
              <w:instrText>"</w:instrText>
            </w:r>
            <w:r w:rsidRPr="00F543C1">
              <w:rPr>
                <w:b/>
                <w:bCs/>
              </w:rPr>
              <w:instrText xml:space="preserve"> </w:instrText>
            </w:r>
            <w:r w:rsidRPr="00F543C1">
              <w:rPr>
                <w:b/>
                <w:bCs/>
              </w:rPr>
              <w:fldChar w:fldCharType="separate"/>
            </w:r>
            <w:hyperlink w:anchor="_Toc126841245" w:history="1">
              <w:r w:rsidR="00B64FC6" w:rsidRPr="008B592C">
                <w:rPr>
                  <w:rStyle w:val="Hyperlink"/>
                  <w:noProof/>
                </w:rPr>
                <w:t>Table 1 A better approach to addressing persistent disadvantage</w:t>
              </w:r>
              <w:r w:rsidR="00B64FC6">
                <w:rPr>
                  <w:noProof/>
                  <w:webHidden/>
                </w:rPr>
                <w:tab/>
              </w:r>
              <w:r w:rsidR="00B64FC6">
                <w:rPr>
                  <w:noProof/>
                  <w:webHidden/>
                </w:rPr>
                <w:fldChar w:fldCharType="begin"/>
              </w:r>
              <w:r w:rsidR="00B64FC6">
                <w:rPr>
                  <w:noProof/>
                  <w:webHidden/>
                </w:rPr>
                <w:instrText xml:space="preserve"> PAGEREF _Toc126841245 \h </w:instrText>
              </w:r>
              <w:r w:rsidR="00B64FC6">
                <w:rPr>
                  <w:noProof/>
                  <w:webHidden/>
                </w:rPr>
              </w:r>
              <w:r w:rsidR="00B64FC6">
                <w:rPr>
                  <w:noProof/>
                  <w:webHidden/>
                </w:rPr>
                <w:fldChar w:fldCharType="separate"/>
              </w:r>
              <w:r w:rsidR="00E06351">
                <w:rPr>
                  <w:noProof/>
                  <w:webHidden/>
                </w:rPr>
                <w:t>38</w:t>
              </w:r>
              <w:r w:rsidR="00B64FC6">
                <w:rPr>
                  <w:noProof/>
                  <w:webHidden/>
                </w:rPr>
                <w:fldChar w:fldCharType="end"/>
              </w:r>
            </w:hyperlink>
          </w:p>
          <w:p w14:paraId="5AAC7ECD" w14:textId="05C54B73" w:rsidR="00B64FC6" w:rsidRDefault="00000000">
            <w:pPr>
              <w:pStyle w:val="TableofFigures"/>
              <w:rPr>
                <w:rFonts w:asciiTheme="minorHAnsi" w:eastAsiaTheme="minorEastAsia" w:hAnsiTheme="minorHAnsi"/>
                <w:noProof/>
                <w:lang w:eastAsia="en-NZ"/>
              </w:rPr>
            </w:pPr>
            <w:hyperlink w:anchor="_Toc126841246" w:history="1">
              <w:r w:rsidR="00B64FC6" w:rsidRPr="008B592C">
                <w:rPr>
                  <w:rStyle w:val="Hyperlink"/>
                  <w:noProof/>
                </w:rPr>
                <w:t>Table 2 The central elements of accountability</w:t>
              </w:r>
              <w:r w:rsidR="00B64FC6">
                <w:rPr>
                  <w:noProof/>
                  <w:webHidden/>
                </w:rPr>
                <w:tab/>
              </w:r>
              <w:r w:rsidR="00B64FC6">
                <w:rPr>
                  <w:noProof/>
                  <w:webHidden/>
                </w:rPr>
                <w:fldChar w:fldCharType="begin"/>
              </w:r>
              <w:r w:rsidR="00B64FC6">
                <w:rPr>
                  <w:noProof/>
                  <w:webHidden/>
                </w:rPr>
                <w:instrText xml:space="preserve"> PAGEREF _Toc126841246 \h </w:instrText>
              </w:r>
              <w:r w:rsidR="00B64FC6">
                <w:rPr>
                  <w:noProof/>
                  <w:webHidden/>
                </w:rPr>
              </w:r>
              <w:r w:rsidR="00B64FC6">
                <w:rPr>
                  <w:noProof/>
                  <w:webHidden/>
                </w:rPr>
                <w:fldChar w:fldCharType="separate"/>
              </w:r>
              <w:r w:rsidR="00E06351">
                <w:rPr>
                  <w:noProof/>
                  <w:webHidden/>
                </w:rPr>
                <w:t>48</w:t>
              </w:r>
              <w:r w:rsidR="00B64FC6">
                <w:rPr>
                  <w:noProof/>
                  <w:webHidden/>
                </w:rPr>
                <w:fldChar w:fldCharType="end"/>
              </w:r>
            </w:hyperlink>
          </w:p>
          <w:p w14:paraId="268970D1" w14:textId="09616030" w:rsidR="00B64FC6" w:rsidRDefault="00000000">
            <w:pPr>
              <w:pStyle w:val="TableofFigures"/>
              <w:rPr>
                <w:rFonts w:asciiTheme="minorHAnsi" w:eastAsiaTheme="minorEastAsia" w:hAnsiTheme="minorHAnsi"/>
                <w:noProof/>
                <w:lang w:eastAsia="en-NZ"/>
              </w:rPr>
            </w:pPr>
            <w:hyperlink w:anchor="_Toc126841247" w:history="1">
              <w:r w:rsidR="00B64FC6" w:rsidRPr="008B592C">
                <w:rPr>
                  <w:rStyle w:val="Hyperlink"/>
                  <w:noProof/>
                </w:rPr>
                <w:t>Table 3 Functions and dysfunctions of public accountability</w:t>
              </w:r>
              <w:r w:rsidR="00B64FC6">
                <w:rPr>
                  <w:noProof/>
                  <w:webHidden/>
                </w:rPr>
                <w:tab/>
              </w:r>
              <w:r w:rsidR="00B64FC6">
                <w:rPr>
                  <w:noProof/>
                  <w:webHidden/>
                </w:rPr>
                <w:fldChar w:fldCharType="begin"/>
              </w:r>
              <w:r w:rsidR="00B64FC6">
                <w:rPr>
                  <w:noProof/>
                  <w:webHidden/>
                </w:rPr>
                <w:instrText xml:space="preserve"> PAGEREF _Toc126841247 \h </w:instrText>
              </w:r>
              <w:r w:rsidR="00B64FC6">
                <w:rPr>
                  <w:noProof/>
                  <w:webHidden/>
                </w:rPr>
              </w:r>
              <w:r w:rsidR="00B64FC6">
                <w:rPr>
                  <w:noProof/>
                  <w:webHidden/>
                </w:rPr>
                <w:fldChar w:fldCharType="separate"/>
              </w:r>
              <w:r w:rsidR="00E06351">
                <w:rPr>
                  <w:noProof/>
                  <w:webHidden/>
                </w:rPr>
                <w:t>49</w:t>
              </w:r>
              <w:r w:rsidR="00B64FC6">
                <w:rPr>
                  <w:noProof/>
                  <w:webHidden/>
                </w:rPr>
                <w:fldChar w:fldCharType="end"/>
              </w:r>
            </w:hyperlink>
          </w:p>
          <w:p w14:paraId="01B9BC73" w14:textId="4884806F" w:rsidR="00B64FC6" w:rsidRDefault="00000000">
            <w:pPr>
              <w:pStyle w:val="TableofFigures"/>
              <w:rPr>
                <w:rFonts w:asciiTheme="minorHAnsi" w:eastAsiaTheme="minorEastAsia" w:hAnsiTheme="minorHAnsi"/>
                <w:noProof/>
                <w:lang w:eastAsia="en-NZ"/>
              </w:rPr>
            </w:pPr>
            <w:hyperlink w:anchor="_Toc126841248" w:history="1">
              <w:r w:rsidR="00B64FC6" w:rsidRPr="008B592C">
                <w:rPr>
                  <w:rStyle w:val="Hyperlink"/>
                  <w:noProof/>
                </w:rPr>
                <w:t>Table 4 Front-line staff</w:t>
              </w:r>
              <w:r w:rsidR="00B64FC6">
                <w:rPr>
                  <w:noProof/>
                  <w:webHidden/>
                </w:rPr>
                <w:tab/>
              </w:r>
              <w:r w:rsidR="00B64FC6">
                <w:rPr>
                  <w:noProof/>
                  <w:webHidden/>
                </w:rPr>
                <w:fldChar w:fldCharType="begin"/>
              </w:r>
              <w:r w:rsidR="00B64FC6">
                <w:rPr>
                  <w:noProof/>
                  <w:webHidden/>
                </w:rPr>
                <w:instrText xml:space="preserve"> PAGEREF _Toc126841248 \h </w:instrText>
              </w:r>
              <w:r w:rsidR="00B64FC6">
                <w:rPr>
                  <w:noProof/>
                  <w:webHidden/>
                </w:rPr>
              </w:r>
              <w:r w:rsidR="00B64FC6">
                <w:rPr>
                  <w:noProof/>
                  <w:webHidden/>
                </w:rPr>
                <w:fldChar w:fldCharType="separate"/>
              </w:r>
              <w:r w:rsidR="00E06351">
                <w:rPr>
                  <w:noProof/>
                  <w:webHidden/>
                </w:rPr>
                <w:t>57</w:t>
              </w:r>
              <w:r w:rsidR="00B64FC6">
                <w:rPr>
                  <w:noProof/>
                  <w:webHidden/>
                </w:rPr>
                <w:fldChar w:fldCharType="end"/>
              </w:r>
            </w:hyperlink>
          </w:p>
          <w:p w14:paraId="4D7F35EF" w14:textId="1AB086CA" w:rsidR="00B64FC6" w:rsidRDefault="00000000">
            <w:pPr>
              <w:pStyle w:val="TableofFigures"/>
              <w:rPr>
                <w:rFonts w:asciiTheme="minorHAnsi" w:eastAsiaTheme="minorEastAsia" w:hAnsiTheme="minorHAnsi"/>
                <w:noProof/>
                <w:lang w:eastAsia="en-NZ"/>
              </w:rPr>
            </w:pPr>
            <w:hyperlink w:anchor="_Toc126841249" w:history="1">
              <w:r w:rsidR="00B64FC6" w:rsidRPr="008B592C">
                <w:rPr>
                  <w:rStyle w:val="Hyperlink"/>
                  <w:noProof/>
                </w:rPr>
                <w:t>Table 5 The accountability of government departments</w:t>
              </w:r>
              <w:r w:rsidR="00B64FC6">
                <w:rPr>
                  <w:noProof/>
                  <w:webHidden/>
                </w:rPr>
                <w:tab/>
              </w:r>
              <w:r w:rsidR="00B64FC6">
                <w:rPr>
                  <w:noProof/>
                  <w:webHidden/>
                </w:rPr>
                <w:fldChar w:fldCharType="begin"/>
              </w:r>
              <w:r w:rsidR="00B64FC6">
                <w:rPr>
                  <w:noProof/>
                  <w:webHidden/>
                </w:rPr>
                <w:instrText xml:space="preserve"> PAGEREF _Toc126841249 \h </w:instrText>
              </w:r>
              <w:r w:rsidR="00B64FC6">
                <w:rPr>
                  <w:noProof/>
                  <w:webHidden/>
                </w:rPr>
              </w:r>
              <w:r w:rsidR="00B64FC6">
                <w:rPr>
                  <w:noProof/>
                  <w:webHidden/>
                </w:rPr>
                <w:fldChar w:fldCharType="separate"/>
              </w:r>
              <w:r w:rsidR="00E06351">
                <w:rPr>
                  <w:noProof/>
                  <w:webHidden/>
                </w:rPr>
                <w:t>66</w:t>
              </w:r>
              <w:r w:rsidR="00B64FC6">
                <w:rPr>
                  <w:noProof/>
                  <w:webHidden/>
                </w:rPr>
                <w:fldChar w:fldCharType="end"/>
              </w:r>
            </w:hyperlink>
          </w:p>
          <w:p w14:paraId="2444E779" w14:textId="1FBEADF4" w:rsidR="00B64FC6" w:rsidRDefault="00000000">
            <w:pPr>
              <w:pStyle w:val="TableofFigures"/>
              <w:rPr>
                <w:rFonts w:asciiTheme="minorHAnsi" w:eastAsiaTheme="minorEastAsia" w:hAnsiTheme="minorHAnsi"/>
                <w:noProof/>
                <w:lang w:eastAsia="en-NZ"/>
              </w:rPr>
            </w:pPr>
            <w:hyperlink w:anchor="_Toc126841250" w:history="1">
              <w:r w:rsidR="00B64FC6" w:rsidRPr="008B592C">
                <w:rPr>
                  <w:rStyle w:val="Hyperlink"/>
                  <w:noProof/>
                </w:rPr>
                <w:t>Table 6 The current accountability system</w:t>
              </w:r>
              <w:r w:rsidR="00B64FC6">
                <w:rPr>
                  <w:noProof/>
                  <w:webHidden/>
                </w:rPr>
                <w:tab/>
              </w:r>
              <w:r w:rsidR="00B64FC6">
                <w:rPr>
                  <w:noProof/>
                  <w:webHidden/>
                </w:rPr>
                <w:fldChar w:fldCharType="begin"/>
              </w:r>
              <w:r w:rsidR="00B64FC6">
                <w:rPr>
                  <w:noProof/>
                  <w:webHidden/>
                </w:rPr>
                <w:instrText xml:space="preserve"> PAGEREF _Toc126841250 \h </w:instrText>
              </w:r>
              <w:r w:rsidR="00B64FC6">
                <w:rPr>
                  <w:noProof/>
                  <w:webHidden/>
                </w:rPr>
              </w:r>
              <w:r w:rsidR="00B64FC6">
                <w:rPr>
                  <w:noProof/>
                  <w:webHidden/>
                </w:rPr>
                <w:fldChar w:fldCharType="separate"/>
              </w:r>
              <w:r w:rsidR="00E06351">
                <w:rPr>
                  <w:noProof/>
                  <w:webHidden/>
                </w:rPr>
                <w:t>78</w:t>
              </w:r>
              <w:r w:rsidR="00B64FC6">
                <w:rPr>
                  <w:noProof/>
                  <w:webHidden/>
                </w:rPr>
                <w:fldChar w:fldCharType="end"/>
              </w:r>
            </w:hyperlink>
          </w:p>
          <w:p w14:paraId="0270C8AE" w14:textId="13C84AB1" w:rsidR="00B64FC6" w:rsidRDefault="00000000">
            <w:pPr>
              <w:pStyle w:val="TableofFigures"/>
              <w:rPr>
                <w:rFonts w:asciiTheme="minorHAnsi" w:eastAsiaTheme="minorEastAsia" w:hAnsiTheme="minorHAnsi"/>
                <w:noProof/>
                <w:lang w:eastAsia="en-NZ"/>
              </w:rPr>
            </w:pPr>
            <w:hyperlink w:anchor="_Toc126841251" w:history="1">
              <w:r w:rsidR="00B64FC6" w:rsidRPr="008B592C">
                <w:rPr>
                  <w:rStyle w:val="Hyperlink"/>
                  <w:noProof/>
                </w:rPr>
                <w:t>Table 7 Principles of consultation</w:t>
              </w:r>
              <w:r w:rsidR="00B64FC6">
                <w:rPr>
                  <w:noProof/>
                  <w:webHidden/>
                </w:rPr>
                <w:tab/>
              </w:r>
              <w:r w:rsidR="00B64FC6">
                <w:rPr>
                  <w:noProof/>
                  <w:webHidden/>
                </w:rPr>
                <w:fldChar w:fldCharType="begin"/>
              </w:r>
              <w:r w:rsidR="00B64FC6">
                <w:rPr>
                  <w:noProof/>
                  <w:webHidden/>
                </w:rPr>
                <w:instrText xml:space="preserve"> PAGEREF _Toc126841251 \h </w:instrText>
              </w:r>
              <w:r w:rsidR="00B64FC6">
                <w:rPr>
                  <w:noProof/>
                  <w:webHidden/>
                </w:rPr>
              </w:r>
              <w:r w:rsidR="00B64FC6">
                <w:rPr>
                  <w:noProof/>
                  <w:webHidden/>
                </w:rPr>
                <w:fldChar w:fldCharType="separate"/>
              </w:r>
              <w:r w:rsidR="00E06351">
                <w:rPr>
                  <w:noProof/>
                  <w:webHidden/>
                </w:rPr>
                <w:t>101</w:t>
              </w:r>
              <w:r w:rsidR="00B64FC6">
                <w:rPr>
                  <w:noProof/>
                  <w:webHidden/>
                </w:rPr>
                <w:fldChar w:fldCharType="end"/>
              </w:r>
            </w:hyperlink>
          </w:p>
          <w:p w14:paraId="1C0603F8" w14:textId="3BCF65C5" w:rsidR="00F8197C" w:rsidRPr="00726346" w:rsidRDefault="00F8197C" w:rsidP="00DD5977">
            <w:pPr>
              <w:pStyle w:val="USWhiteSpace"/>
            </w:pPr>
            <w:r w:rsidRPr="00F543C1">
              <w:fldChar w:fldCharType="end"/>
            </w:r>
          </w:p>
        </w:tc>
      </w:tr>
      <w:tr w:rsidR="009C72FC" w:rsidRPr="00F543C1" w14:paraId="1D85B0FA" w14:textId="77777777" w:rsidTr="001C0653">
        <w:tc>
          <w:tcPr>
            <w:tcW w:w="9393" w:type="dxa"/>
            <w:tcBorders>
              <w:top w:val="nil"/>
              <w:left w:val="nil"/>
              <w:bottom w:val="nil"/>
              <w:right w:val="nil"/>
            </w:tcBorders>
          </w:tcPr>
          <w:p w14:paraId="4CB02B9B" w14:textId="00D9C26F" w:rsidR="009C72FC" w:rsidRPr="009C72FC" w:rsidRDefault="009C72FC" w:rsidP="00537942">
            <w:pPr>
              <w:pStyle w:val="TableofFigures"/>
              <w:spacing w:before="240" w:after="40"/>
              <w:rPr>
                <w:b/>
                <w:bCs/>
              </w:rPr>
            </w:pPr>
            <w:r>
              <w:rPr>
                <w:b/>
                <w:bCs/>
                <w:color w:val="0094C5"/>
                <w:sz w:val="28"/>
                <w:szCs w:val="28"/>
              </w:rPr>
              <w:t>Boxes</w:t>
            </w:r>
          </w:p>
        </w:tc>
      </w:tr>
      <w:tr w:rsidR="00D77FF6" w:rsidRPr="00B64FC6" w14:paraId="333DC93F" w14:textId="77777777" w:rsidTr="001C0653">
        <w:tc>
          <w:tcPr>
            <w:tcW w:w="9393" w:type="dxa"/>
            <w:tcBorders>
              <w:top w:val="nil"/>
              <w:left w:val="nil"/>
              <w:bottom w:val="nil"/>
              <w:right w:val="nil"/>
            </w:tcBorders>
          </w:tcPr>
          <w:p w14:paraId="38631E83" w14:textId="6A6514B3" w:rsidR="00B64FC6" w:rsidRPr="00B64FC6" w:rsidRDefault="00C63FD8" w:rsidP="00B64FC6">
            <w:pPr>
              <w:pStyle w:val="TOC1"/>
              <w:spacing w:before="0" w:line="240" w:lineRule="auto"/>
              <w:rPr>
                <w:rStyle w:val="Hyperlink"/>
              </w:rPr>
            </w:pPr>
            <w:r w:rsidRPr="00B64FC6">
              <w:rPr>
                <w:rStyle w:val="Hyperlink"/>
              </w:rPr>
              <w:fldChar w:fldCharType="begin"/>
            </w:r>
            <w:r w:rsidRPr="00B64FC6">
              <w:rPr>
                <w:rStyle w:val="Hyperlink"/>
              </w:rPr>
              <w:instrText xml:space="preserve"> TOC \h \z \t "Box2,1" </w:instrText>
            </w:r>
            <w:r w:rsidRPr="00B64FC6">
              <w:rPr>
                <w:rStyle w:val="Hyperlink"/>
              </w:rPr>
              <w:fldChar w:fldCharType="separate"/>
            </w:r>
            <w:hyperlink w:anchor="_Toc126841252" w:history="1">
              <w:r w:rsidR="00B64FC6" w:rsidRPr="00B64FC6">
                <w:rPr>
                  <w:rStyle w:val="Hyperlink"/>
                </w:rPr>
                <w:t>Box 1</w:t>
              </w:r>
              <w:r w:rsidR="00B64FC6" w:rsidRPr="00B64FC6">
                <w:rPr>
                  <w:rStyle w:val="Hyperlink"/>
                </w:rPr>
                <w:tab/>
                <w:t>Enabling Good Lives and Mana Whaikaha</w:t>
              </w:r>
              <w:r w:rsidR="00B64FC6" w:rsidRPr="00B64FC6">
                <w:rPr>
                  <w:rStyle w:val="Hyperlink"/>
                  <w:webHidden/>
                </w:rPr>
                <w:tab/>
              </w:r>
              <w:r w:rsidR="00B64FC6" w:rsidRPr="00B64FC6">
                <w:rPr>
                  <w:rStyle w:val="Hyperlink"/>
                  <w:webHidden/>
                </w:rPr>
                <w:fldChar w:fldCharType="begin"/>
              </w:r>
              <w:r w:rsidR="00B64FC6" w:rsidRPr="00B64FC6">
                <w:rPr>
                  <w:rStyle w:val="Hyperlink"/>
                  <w:webHidden/>
                </w:rPr>
                <w:instrText xml:space="preserve"> PAGEREF _Toc126841252 \h </w:instrText>
              </w:r>
              <w:r w:rsidR="00B64FC6" w:rsidRPr="00B64FC6">
                <w:rPr>
                  <w:rStyle w:val="Hyperlink"/>
                  <w:webHidden/>
                </w:rPr>
              </w:r>
              <w:r w:rsidR="00B64FC6" w:rsidRPr="00B64FC6">
                <w:rPr>
                  <w:rStyle w:val="Hyperlink"/>
                  <w:webHidden/>
                </w:rPr>
                <w:fldChar w:fldCharType="separate"/>
              </w:r>
              <w:r w:rsidR="00E06351">
                <w:rPr>
                  <w:rStyle w:val="Hyperlink"/>
                  <w:noProof/>
                  <w:webHidden/>
                </w:rPr>
                <w:t>23</w:t>
              </w:r>
              <w:r w:rsidR="00B64FC6" w:rsidRPr="00B64FC6">
                <w:rPr>
                  <w:rStyle w:val="Hyperlink"/>
                  <w:webHidden/>
                </w:rPr>
                <w:fldChar w:fldCharType="end"/>
              </w:r>
            </w:hyperlink>
          </w:p>
          <w:p w14:paraId="4D965E48" w14:textId="76258DEE" w:rsidR="00B64FC6" w:rsidRPr="00B64FC6" w:rsidRDefault="00000000" w:rsidP="00B64FC6">
            <w:pPr>
              <w:pStyle w:val="TOC1"/>
              <w:spacing w:before="0" w:line="240" w:lineRule="auto"/>
              <w:rPr>
                <w:rStyle w:val="Hyperlink"/>
              </w:rPr>
            </w:pPr>
            <w:hyperlink w:anchor="_Toc126841253" w:history="1">
              <w:r w:rsidR="00B64FC6" w:rsidRPr="00B64FC6">
                <w:rPr>
                  <w:rStyle w:val="Hyperlink"/>
                </w:rPr>
                <w:t>Box 2</w:t>
              </w:r>
              <w:r w:rsidR="00B64FC6" w:rsidRPr="00B64FC6">
                <w:rPr>
                  <w:rStyle w:val="Hyperlink"/>
                </w:rPr>
                <w:tab/>
                <w:t>Community-led transformation of disability assistance</w:t>
              </w:r>
              <w:r w:rsidR="00B64FC6" w:rsidRPr="00B64FC6">
                <w:rPr>
                  <w:rStyle w:val="Hyperlink"/>
                  <w:webHidden/>
                </w:rPr>
                <w:tab/>
              </w:r>
              <w:r w:rsidR="00B64FC6" w:rsidRPr="00B64FC6">
                <w:rPr>
                  <w:rStyle w:val="Hyperlink"/>
                  <w:webHidden/>
                </w:rPr>
                <w:fldChar w:fldCharType="begin"/>
              </w:r>
              <w:r w:rsidR="00B64FC6" w:rsidRPr="00B64FC6">
                <w:rPr>
                  <w:rStyle w:val="Hyperlink"/>
                  <w:webHidden/>
                </w:rPr>
                <w:instrText xml:space="preserve"> PAGEREF _Toc126841253 \h </w:instrText>
              </w:r>
              <w:r w:rsidR="00B64FC6" w:rsidRPr="00B64FC6">
                <w:rPr>
                  <w:rStyle w:val="Hyperlink"/>
                  <w:webHidden/>
                </w:rPr>
              </w:r>
              <w:r w:rsidR="00B64FC6" w:rsidRPr="00B64FC6">
                <w:rPr>
                  <w:rStyle w:val="Hyperlink"/>
                  <w:webHidden/>
                </w:rPr>
                <w:fldChar w:fldCharType="separate"/>
              </w:r>
              <w:r w:rsidR="00E06351">
                <w:rPr>
                  <w:rStyle w:val="Hyperlink"/>
                  <w:noProof/>
                  <w:webHidden/>
                </w:rPr>
                <w:t>24</w:t>
              </w:r>
              <w:r w:rsidR="00B64FC6" w:rsidRPr="00B64FC6">
                <w:rPr>
                  <w:rStyle w:val="Hyperlink"/>
                  <w:webHidden/>
                </w:rPr>
                <w:fldChar w:fldCharType="end"/>
              </w:r>
            </w:hyperlink>
          </w:p>
          <w:p w14:paraId="1CABD011" w14:textId="6584F86A" w:rsidR="00B64FC6" w:rsidRPr="00B64FC6" w:rsidRDefault="00000000" w:rsidP="00B64FC6">
            <w:pPr>
              <w:pStyle w:val="TOC1"/>
              <w:spacing w:before="0" w:line="240" w:lineRule="auto"/>
              <w:rPr>
                <w:rStyle w:val="Hyperlink"/>
              </w:rPr>
            </w:pPr>
            <w:hyperlink w:anchor="_Toc126841254" w:history="1">
              <w:r w:rsidR="00B64FC6" w:rsidRPr="00B64FC6">
                <w:rPr>
                  <w:rStyle w:val="Hyperlink"/>
                </w:rPr>
                <w:t>Box 3</w:t>
              </w:r>
              <w:r w:rsidR="00B64FC6" w:rsidRPr="00B64FC6">
                <w:rPr>
                  <w:rStyle w:val="Hyperlink"/>
                </w:rPr>
                <w:tab/>
                <w:t>How accountability and trust interact in practice</w:t>
              </w:r>
              <w:r w:rsidR="00B64FC6" w:rsidRPr="00B64FC6">
                <w:rPr>
                  <w:rStyle w:val="Hyperlink"/>
                  <w:webHidden/>
                </w:rPr>
                <w:tab/>
              </w:r>
              <w:r w:rsidR="00B64FC6" w:rsidRPr="00B64FC6">
                <w:rPr>
                  <w:rStyle w:val="Hyperlink"/>
                  <w:webHidden/>
                </w:rPr>
                <w:fldChar w:fldCharType="begin"/>
              </w:r>
              <w:r w:rsidR="00B64FC6" w:rsidRPr="00B64FC6">
                <w:rPr>
                  <w:rStyle w:val="Hyperlink"/>
                  <w:webHidden/>
                </w:rPr>
                <w:instrText xml:space="preserve"> PAGEREF _Toc126841254 \h </w:instrText>
              </w:r>
              <w:r w:rsidR="00B64FC6" w:rsidRPr="00B64FC6">
                <w:rPr>
                  <w:rStyle w:val="Hyperlink"/>
                  <w:webHidden/>
                </w:rPr>
              </w:r>
              <w:r w:rsidR="00B64FC6" w:rsidRPr="00B64FC6">
                <w:rPr>
                  <w:rStyle w:val="Hyperlink"/>
                  <w:webHidden/>
                </w:rPr>
                <w:fldChar w:fldCharType="separate"/>
              </w:r>
              <w:r w:rsidR="00E06351">
                <w:rPr>
                  <w:rStyle w:val="Hyperlink"/>
                  <w:noProof/>
                  <w:webHidden/>
                </w:rPr>
                <w:t>61</w:t>
              </w:r>
              <w:r w:rsidR="00B64FC6" w:rsidRPr="00B64FC6">
                <w:rPr>
                  <w:rStyle w:val="Hyperlink"/>
                  <w:webHidden/>
                </w:rPr>
                <w:fldChar w:fldCharType="end"/>
              </w:r>
            </w:hyperlink>
          </w:p>
          <w:p w14:paraId="0659E2D6" w14:textId="257D57A1" w:rsidR="00B64FC6" w:rsidRPr="00B64FC6" w:rsidRDefault="00000000" w:rsidP="00B64FC6">
            <w:pPr>
              <w:pStyle w:val="TOC1"/>
              <w:spacing w:before="0" w:line="240" w:lineRule="auto"/>
              <w:rPr>
                <w:rStyle w:val="Hyperlink"/>
              </w:rPr>
            </w:pPr>
            <w:hyperlink w:anchor="_Toc126841255" w:history="1">
              <w:r w:rsidR="00B64FC6" w:rsidRPr="00B64FC6">
                <w:rPr>
                  <w:rStyle w:val="Hyperlink"/>
                </w:rPr>
                <w:t>Box 4</w:t>
              </w:r>
              <w:r w:rsidR="00B64FC6" w:rsidRPr="00B64FC6">
                <w:rPr>
                  <w:rStyle w:val="Hyperlink"/>
                </w:rPr>
                <w:tab/>
                <w:t>Why the fiscal responsibility provisions have been so effective</w:t>
              </w:r>
              <w:r w:rsidR="00B64FC6" w:rsidRPr="00B64FC6">
                <w:rPr>
                  <w:rStyle w:val="Hyperlink"/>
                  <w:webHidden/>
                </w:rPr>
                <w:tab/>
              </w:r>
              <w:r w:rsidR="00B64FC6" w:rsidRPr="00B64FC6">
                <w:rPr>
                  <w:rStyle w:val="Hyperlink"/>
                  <w:webHidden/>
                </w:rPr>
                <w:fldChar w:fldCharType="begin"/>
              </w:r>
              <w:r w:rsidR="00B64FC6" w:rsidRPr="00B64FC6">
                <w:rPr>
                  <w:rStyle w:val="Hyperlink"/>
                  <w:webHidden/>
                </w:rPr>
                <w:instrText xml:space="preserve"> PAGEREF _Toc126841255 \h </w:instrText>
              </w:r>
              <w:r w:rsidR="00B64FC6" w:rsidRPr="00B64FC6">
                <w:rPr>
                  <w:rStyle w:val="Hyperlink"/>
                  <w:webHidden/>
                </w:rPr>
              </w:r>
              <w:r w:rsidR="00B64FC6" w:rsidRPr="00B64FC6">
                <w:rPr>
                  <w:rStyle w:val="Hyperlink"/>
                  <w:webHidden/>
                </w:rPr>
                <w:fldChar w:fldCharType="separate"/>
              </w:r>
              <w:r w:rsidR="00E06351">
                <w:rPr>
                  <w:rStyle w:val="Hyperlink"/>
                  <w:noProof/>
                  <w:webHidden/>
                </w:rPr>
                <w:t>71</w:t>
              </w:r>
              <w:r w:rsidR="00B64FC6" w:rsidRPr="00B64FC6">
                <w:rPr>
                  <w:rStyle w:val="Hyperlink"/>
                  <w:webHidden/>
                </w:rPr>
                <w:fldChar w:fldCharType="end"/>
              </w:r>
            </w:hyperlink>
          </w:p>
          <w:p w14:paraId="415FEA3C" w14:textId="534ECB75" w:rsidR="00B64FC6" w:rsidRPr="00B64FC6" w:rsidRDefault="00000000" w:rsidP="00B64FC6">
            <w:pPr>
              <w:pStyle w:val="TOC1"/>
              <w:spacing w:before="0" w:line="240" w:lineRule="auto"/>
              <w:rPr>
                <w:rStyle w:val="Hyperlink"/>
              </w:rPr>
            </w:pPr>
            <w:hyperlink w:anchor="_Toc126841256" w:history="1">
              <w:r w:rsidR="00B64FC6" w:rsidRPr="00B64FC6">
                <w:rPr>
                  <w:rStyle w:val="Hyperlink"/>
                </w:rPr>
                <w:t>Box 5</w:t>
              </w:r>
              <w:r w:rsidR="00B64FC6" w:rsidRPr="00B64FC6">
                <w:rPr>
                  <w:rStyle w:val="Hyperlink"/>
                </w:rPr>
                <w:tab/>
                <w:t>Adverse Events Reporting in the New Zealand public health sector</w:t>
              </w:r>
              <w:r w:rsidR="00B64FC6" w:rsidRPr="00B64FC6">
                <w:rPr>
                  <w:rStyle w:val="Hyperlink"/>
                  <w:webHidden/>
                </w:rPr>
                <w:tab/>
              </w:r>
              <w:r w:rsidR="00B64FC6" w:rsidRPr="00B64FC6">
                <w:rPr>
                  <w:rStyle w:val="Hyperlink"/>
                  <w:webHidden/>
                </w:rPr>
                <w:fldChar w:fldCharType="begin"/>
              </w:r>
              <w:r w:rsidR="00B64FC6" w:rsidRPr="00B64FC6">
                <w:rPr>
                  <w:rStyle w:val="Hyperlink"/>
                  <w:webHidden/>
                </w:rPr>
                <w:instrText xml:space="preserve"> PAGEREF _Toc126841256 \h </w:instrText>
              </w:r>
              <w:r w:rsidR="00B64FC6" w:rsidRPr="00B64FC6">
                <w:rPr>
                  <w:rStyle w:val="Hyperlink"/>
                  <w:webHidden/>
                </w:rPr>
              </w:r>
              <w:r w:rsidR="00B64FC6" w:rsidRPr="00B64FC6">
                <w:rPr>
                  <w:rStyle w:val="Hyperlink"/>
                  <w:webHidden/>
                </w:rPr>
                <w:fldChar w:fldCharType="separate"/>
              </w:r>
              <w:r w:rsidR="00E06351">
                <w:rPr>
                  <w:rStyle w:val="Hyperlink"/>
                  <w:noProof/>
                  <w:webHidden/>
                </w:rPr>
                <w:t>81</w:t>
              </w:r>
              <w:r w:rsidR="00B64FC6" w:rsidRPr="00B64FC6">
                <w:rPr>
                  <w:rStyle w:val="Hyperlink"/>
                  <w:webHidden/>
                </w:rPr>
                <w:fldChar w:fldCharType="end"/>
              </w:r>
            </w:hyperlink>
          </w:p>
          <w:p w14:paraId="17A9C602" w14:textId="0409C083" w:rsidR="00B64FC6" w:rsidRPr="00B64FC6" w:rsidRDefault="00000000" w:rsidP="00B64FC6">
            <w:pPr>
              <w:pStyle w:val="TOC1"/>
              <w:spacing w:before="0" w:line="240" w:lineRule="auto"/>
              <w:rPr>
                <w:rStyle w:val="Hyperlink"/>
              </w:rPr>
            </w:pPr>
            <w:hyperlink w:anchor="_Toc126841257" w:history="1">
              <w:r w:rsidR="00B64FC6" w:rsidRPr="00B64FC6">
                <w:rPr>
                  <w:rStyle w:val="Hyperlink"/>
                </w:rPr>
                <w:t>Box 6</w:t>
              </w:r>
              <w:r w:rsidR="00B64FC6" w:rsidRPr="00B64FC6">
                <w:rPr>
                  <w:rStyle w:val="Hyperlink"/>
                </w:rPr>
                <w:tab/>
                <w:t>Structural racism and the mirage of accountability in schools</w:t>
              </w:r>
              <w:r w:rsidR="00B64FC6" w:rsidRPr="00B64FC6">
                <w:rPr>
                  <w:rStyle w:val="Hyperlink"/>
                  <w:webHidden/>
                </w:rPr>
                <w:tab/>
              </w:r>
              <w:r w:rsidR="00B64FC6" w:rsidRPr="00B64FC6">
                <w:rPr>
                  <w:rStyle w:val="Hyperlink"/>
                  <w:webHidden/>
                </w:rPr>
                <w:fldChar w:fldCharType="begin"/>
              </w:r>
              <w:r w:rsidR="00B64FC6" w:rsidRPr="00B64FC6">
                <w:rPr>
                  <w:rStyle w:val="Hyperlink"/>
                  <w:webHidden/>
                </w:rPr>
                <w:instrText xml:space="preserve"> PAGEREF _Toc126841257 \h </w:instrText>
              </w:r>
              <w:r w:rsidR="00B64FC6" w:rsidRPr="00B64FC6">
                <w:rPr>
                  <w:rStyle w:val="Hyperlink"/>
                  <w:webHidden/>
                </w:rPr>
              </w:r>
              <w:r w:rsidR="00B64FC6" w:rsidRPr="00B64FC6">
                <w:rPr>
                  <w:rStyle w:val="Hyperlink"/>
                  <w:webHidden/>
                </w:rPr>
                <w:fldChar w:fldCharType="separate"/>
              </w:r>
              <w:r w:rsidR="00E06351">
                <w:rPr>
                  <w:rStyle w:val="Hyperlink"/>
                  <w:noProof/>
                  <w:webHidden/>
                </w:rPr>
                <w:t>86</w:t>
              </w:r>
              <w:r w:rsidR="00B64FC6" w:rsidRPr="00B64FC6">
                <w:rPr>
                  <w:rStyle w:val="Hyperlink"/>
                  <w:webHidden/>
                </w:rPr>
                <w:fldChar w:fldCharType="end"/>
              </w:r>
            </w:hyperlink>
          </w:p>
          <w:p w14:paraId="671DF5C5" w14:textId="6097A190" w:rsidR="00B64FC6" w:rsidRPr="00B64FC6" w:rsidRDefault="00000000" w:rsidP="00B64FC6">
            <w:pPr>
              <w:pStyle w:val="TOC1"/>
              <w:spacing w:before="0" w:line="240" w:lineRule="auto"/>
              <w:rPr>
                <w:rStyle w:val="Hyperlink"/>
              </w:rPr>
            </w:pPr>
            <w:hyperlink w:anchor="_Toc126841258" w:history="1">
              <w:r w:rsidR="00B64FC6" w:rsidRPr="00B64FC6">
                <w:rPr>
                  <w:rStyle w:val="Hyperlink"/>
                </w:rPr>
                <w:t>Box 7</w:t>
              </w:r>
              <w:r w:rsidR="00B64FC6" w:rsidRPr="00B64FC6">
                <w:rPr>
                  <w:rStyle w:val="Hyperlink"/>
                </w:rPr>
                <w:tab/>
                <w:t>Section 6B of the Children’s Act</w:t>
              </w:r>
              <w:r w:rsidR="00B64FC6" w:rsidRPr="00B64FC6">
                <w:rPr>
                  <w:rStyle w:val="Hyperlink"/>
                  <w:webHidden/>
                </w:rPr>
                <w:tab/>
              </w:r>
              <w:r w:rsidR="00B64FC6" w:rsidRPr="00B64FC6">
                <w:rPr>
                  <w:rStyle w:val="Hyperlink"/>
                  <w:webHidden/>
                </w:rPr>
                <w:fldChar w:fldCharType="begin"/>
              </w:r>
              <w:r w:rsidR="00B64FC6" w:rsidRPr="00B64FC6">
                <w:rPr>
                  <w:rStyle w:val="Hyperlink"/>
                  <w:webHidden/>
                </w:rPr>
                <w:instrText xml:space="preserve"> PAGEREF _Toc126841258 \h </w:instrText>
              </w:r>
              <w:r w:rsidR="00B64FC6" w:rsidRPr="00B64FC6">
                <w:rPr>
                  <w:rStyle w:val="Hyperlink"/>
                  <w:webHidden/>
                </w:rPr>
              </w:r>
              <w:r w:rsidR="00B64FC6" w:rsidRPr="00B64FC6">
                <w:rPr>
                  <w:rStyle w:val="Hyperlink"/>
                  <w:webHidden/>
                </w:rPr>
                <w:fldChar w:fldCharType="separate"/>
              </w:r>
              <w:r w:rsidR="00E06351">
                <w:rPr>
                  <w:rStyle w:val="Hyperlink"/>
                  <w:noProof/>
                  <w:webHidden/>
                </w:rPr>
                <w:t>100</w:t>
              </w:r>
              <w:r w:rsidR="00B64FC6" w:rsidRPr="00B64FC6">
                <w:rPr>
                  <w:rStyle w:val="Hyperlink"/>
                  <w:webHidden/>
                </w:rPr>
                <w:fldChar w:fldCharType="end"/>
              </w:r>
            </w:hyperlink>
          </w:p>
          <w:p w14:paraId="036A6581" w14:textId="7C3A58AC" w:rsidR="00B64FC6" w:rsidRPr="00B64FC6" w:rsidRDefault="00000000" w:rsidP="00B64FC6">
            <w:pPr>
              <w:pStyle w:val="TOC1"/>
              <w:spacing w:before="0" w:line="240" w:lineRule="auto"/>
              <w:rPr>
                <w:rStyle w:val="Hyperlink"/>
              </w:rPr>
            </w:pPr>
            <w:hyperlink w:anchor="_Toc126841259" w:history="1">
              <w:r w:rsidR="00B64FC6" w:rsidRPr="00B64FC6">
                <w:rPr>
                  <w:rStyle w:val="Hyperlink"/>
                </w:rPr>
                <w:t>Box 8</w:t>
              </w:r>
              <w:r w:rsidR="00B64FC6" w:rsidRPr="00B64FC6">
                <w:rPr>
                  <w:rStyle w:val="Hyperlink"/>
                </w:rPr>
                <w:tab/>
                <w:t>Section 41 of the Pae Ora (Healthy Futures) Act</w:t>
              </w:r>
              <w:r w:rsidR="00B64FC6" w:rsidRPr="00B64FC6">
                <w:rPr>
                  <w:rStyle w:val="Hyperlink"/>
                  <w:webHidden/>
                </w:rPr>
                <w:tab/>
              </w:r>
              <w:r w:rsidR="00B64FC6" w:rsidRPr="00B64FC6">
                <w:rPr>
                  <w:rStyle w:val="Hyperlink"/>
                  <w:webHidden/>
                </w:rPr>
                <w:fldChar w:fldCharType="begin"/>
              </w:r>
              <w:r w:rsidR="00B64FC6" w:rsidRPr="00B64FC6">
                <w:rPr>
                  <w:rStyle w:val="Hyperlink"/>
                  <w:webHidden/>
                </w:rPr>
                <w:instrText xml:space="preserve"> PAGEREF _Toc126841259 \h </w:instrText>
              </w:r>
              <w:r w:rsidR="00B64FC6" w:rsidRPr="00B64FC6">
                <w:rPr>
                  <w:rStyle w:val="Hyperlink"/>
                  <w:webHidden/>
                </w:rPr>
              </w:r>
              <w:r w:rsidR="00B64FC6" w:rsidRPr="00B64FC6">
                <w:rPr>
                  <w:rStyle w:val="Hyperlink"/>
                  <w:webHidden/>
                </w:rPr>
                <w:fldChar w:fldCharType="separate"/>
              </w:r>
              <w:r w:rsidR="00E06351">
                <w:rPr>
                  <w:rStyle w:val="Hyperlink"/>
                  <w:noProof/>
                  <w:webHidden/>
                </w:rPr>
                <w:t>107</w:t>
              </w:r>
              <w:r w:rsidR="00B64FC6" w:rsidRPr="00B64FC6">
                <w:rPr>
                  <w:rStyle w:val="Hyperlink"/>
                  <w:webHidden/>
                </w:rPr>
                <w:fldChar w:fldCharType="end"/>
              </w:r>
            </w:hyperlink>
          </w:p>
          <w:p w14:paraId="6EB1BA1C" w14:textId="23C4BEA9" w:rsidR="00D77FF6" w:rsidRPr="00B64FC6" w:rsidRDefault="00C63FD8" w:rsidP="00C0586A">
            <w:pPr>
              <w:pStyle w:val="TableofFigures"/>
              <w:ind w:left="0" w:firstLine="0"/>
              <w:rPr>
                <w:rStyle w:val="Hyperlink"/>
              </w:rPr>
            </w:pPr>
            <w:r w:rsidRPr="00B64FC6">
              <w:rPr>
                <w:rStyle w:val="Hyperlink"/>
              </w:rPr>
              <w:fldChar w:fldCharType="end"/>
            </w:r>
          </w:p>
        </w:tc>
      </w:tr>
    </w:tbl>
    <w:p w14:paraId="0586A6D6" w14:textId="3504DBA9" w:rsidR="008B5F66" w:rsidRPr="00F543C1" w:rsidRDefault="008B5F66" w:rsidP="008B5F66">
      <w:pPr>
        <w:pStyle w:val="USBodyText"/>
        <w:sectPr w:rsidR="008B5F66" w:rsidRPr="00F543C1" w:rsidSect="00294AF0">
          <w:headerReference w:type="even" r:id="rId15"/>
          <w:headerReference w:type="default" r:id="rId16"/>
          <w:footerReference w:type="default" r:id="rId17"/>
          <w:headerReference w:type="first" r:id="rId18"/>
          <w:pgSz w:w="11907" w:h="16839" w:code="9"/>
          <w:pgMar w:top="1701" w:right="1418" w:bottom="1418" w:left="1418" w:header="851" w:footer="851" w:gutter="0"/>
          <w:pgNumType w:fmt="lowerRoman" w:start="1"/>
          <w:cols w:space="708"/>
          <w:docGrid w:linePitch="360"/>
        </w:sectPr>
      </w:pPr>
    </w:p>
    <w:p w14:paraId="19BB14DE" w14:textId="04EC701E" w:rsidR="00BE14CF" w:rsidRPr="00F543C1" w:rsidRDefault="00EE4397" w:rsidP="00537942">
      <w:pPr>
        <w:pStyle w:val="Heading1"/>
        <w:numPr>
          <w:ilvl w:val="0"/>
          <w:numId w:val="10"/>
        </w:numPr>
      </w:pPr>
      <w:bookmarkStart w:id="3" w:name="_Ref118291315"/>
      <w:bookmarkStart w:id="4" w:name="_Toc122443608"/>
      <w:bookmarkStart w:id="5" w:name="_Toc120275686"/>
      <w:bookmarkStart w:id="6" w:name="_Toc126092071"/>
      <w:bookmarkStart w:id="7" w:name="_Toc126841189"/>
      <w:r w:rsidRPr="00726346">
        <w:lastRenderedPageBreak/>
        <w:t>Introduction</w:t>
      </w:r>
      <w:bookmarkEnd w:id="3"/>
      <w:bookmarkEnd w:id="4"/>
      <w:bookmarkEnd w:id="5"/>
      <w:bookmarkEnd w:id="6"/>
      <w:bookmarkEnd w:id="7"/>
    </w:p>
    <w:p w14:paraId="50B5B318" w14:textId="7A23B6CE" w:rsidR="004A67D4" w:rsidRPr="00726346" w:rsidRDefault="004A67D4" w:rsidP="00674393">
      <w:pPr>
        <w:pStyle w:val="Quotation"/>
      </w:pPr>
      <w:r w:rsidRPr="00F543C1">
        <w:t xml:space="preserve">The consequences for quality of life of having multiple disadvantages far exceed the sum of their individual effects. </w:t>
      </w:r>
      <w:r w:rsidRPr="00F543C1">
        <w:rPr>
          <w:i w:val="0"/>
        </w:rPr>
        <w:fldChar w:fldCharType="begin"/>
      </w:r>
      <w:r w:rsidR="009B0EC4">
        <w:rPr>
          <w:i w:val="0"/>
        </w:rPr>
        <w:instrText xml:space="preserve"> ADDIN ZOTERO_ITEM CSL_CITATION {"citationID":"a2400dviabu","properties":{"formattedCitation":"(Stiglitz, Sen, and Fitoussi 2010, 15)","plainCitation":"(Stiglitz, Sen, and Fitoussi 2010, 15)","noteIndex":0},"citationItems":[{"id":13536,"uris":["http://zotero.org/groups/4544915/items/QGHCCXFX"],"itemData":{"id":13536,"type":"book","abstract":"In February of 2008, amid the looming global financial crisis, President Nicolas Sarkozy of France asked Nobel Prize–winning economists Joseph Stiglitz and Amartya Sen, along with the distinguished French economist Jean Paul Fitoussi, to establish a commission of leading economists to study whether Gross Domestic Product (GDP)—the most widely used measure of economic activity—is a reliable indicator of economic and social progress. The Commission was given the further task of laying out an agenda for developing better measures.  Mismeasuring Our Lives is the result of this major intellectual effort, one with pressing relevance for anyone engaged in assessing how and whether our economy is serving the needs of our society. The authors offer a sweeping assessment of the limits of GDP as a measurement of the well-being of societies—considering, for example, how GDP overlooks economic inequality (with the result that most people can be worse off even though average income is increasing); and does not factor environmental impacts into economic decisions. In place of GDP, Mismeasuring Our Lives introduces a bold new array of concepts, from sustainable measures of economic welfare, to measures of savings and wealth, to a “green GDP.” At a time when policymakers worldwide are grappling with unprecedented global financial and environmental issues, here is an essential guide to measuring the things that matter.","event-place":"New York","ISBN":"978-1-59558-519-6","language":"English","number-of-pages":"176","publisher":"The New Press","publisher-place":"New York","source":"Amazon","title":"Mismeasuring Our Lives: Why GDP Doesn't Add Up","title-short":"Mismeasuring Our Lives","author":[{"family":"Stiglitz","given":"Joseph E."},{"family":"Sen","given":"Amartya"},{"family":"Fitoussi","given":"Jean-Paul"}],"issued":{"date-parts":[["2010",5,18]]}},"locator":"15","label":"page"}],"schema":"https://github.com/citation-style-language/schema/raw/master/csl-citation.json"} </w:instrText>
      </w:r>
      <w:r w:rsidRPr="00F543C1">
        <w:rPr>
          <w:i w:val="0"/>
        </w:rPr>
        <w:fldChar w:fldCharType="separate"/>
      </w:r>
      <w:r w:rsidR="006A5DBB" w:rsidRPr="00F543C1">
        <w:rPr>
          <w:rFonts w:cs="Calibri"/>
          <w:i w:val="0"/>
        </w:rPr>
        <w:t>(Stiglitz, Sen, and Fitoussi 2010, 15)</w:t>
      </w:r>
      <w:r w:rsidRPr="00F543C1">
        <w:rPr>
          <w:i w:val="0"/>
        </w:rPr>
        <w:fldChar w:fldCharType="end"/>
      </w:r>
    </w:p>
    <w:p w14:paraId="10A4DEC2" w14:textId="778AB361" w:rsidR="00410791" w:rsidRPr="00F543C1" w:rsidRDefault="004A67D4" w:rsidP="004A67D4">
      <w:pPr>
        <w:ind w:left="851"/>
      </w:pPr>
      <w:r w:rsidRPr="00F543C1">
        <w:t xml:space="preserve">This report is about how the mechanisms and processes of public accountability in Aotearoa </w:t>
      </w:r>
      <w:r w:rsidR="00321360" w:rsidRPr="00F543C1">
        <w:t xml:space="preserve">New Zealand </w:t>
      </w:r>
      <w:r w:rsidRPr="00F543C1">
        <w:t>can increase the productivity</w:t>
      </w:r>
      <w:r w:rsidR="000A4CB3" w:rsidRPr="00F543C1">
        <w:t xml:space="preserve"> and effectiveness</w:t>
      </w:r>
      <w:r w:rsidRPr="00F543C1">
        <w:t xml:space="preserve"> of the social services system</w:t>
      </w:r>
      <w:r w:rsidRPr="009006D7">
        <w:rPr>
          <w:rStyle w:val="FootnoteReference"/>
        </w:rPr>
        <w:footnoteReference w:id="2"/>
      </w:r>
      <w:r w:rsidRPr="00726346">
        <w:t xml:space="preserve"> in </w:t>
      </w:r>
      <w:r w:rsidR="00396DE8" w:rsidRPr="00F543C1">
        <w:t>addressing persistent</w:t>
      </w:r>
      <w:r w:rsidRPr="00F543C1">
        <w:t xml:space="preserve"> disadvantage. It was commissioned by the </w:t>
      </w:r>
      <w:r w:rsidR="00AE637D" w:rsidRPr="00F543C1">
        <w:t xml:space="preserve">New Zealand </w:t>
      </w:r>
      <w:r w:rsidRPr="00F543C1">
        <w:t>Productivity Commission as</w:t>
      </w:r>
      <w:r w:rsidR="006506F7" w:rsidRPr="00F543C1">
        <w:t xml:space="preserve"> part </w:t>
      </w:r>
      <w:r w:rsidRPr="00F543C1">
        <w:t xml:space="preserve">of its </w:t>
      </w:r>
      <w:r w:rsidRPr="00F543C1">
        <w:rPr>
          <w:i/>
          <w:iCs/>
        </w:rPr>
        <w:t>A fair chance for all</w:t>
      </w:r>
      <w:r w:rsidRPr="00F543C1">
        <w:t xml:space="preserve"> inquiry. </w:t>
      </w:r>
    </w:p>
    <w:p w14:paraId="65A49162" w14:textId="3E9F28E4" w:rsidR="004A67D4" w:rsidRPr="00F543C1" w:rsidRDefault="00410791" w:rsidP="006C2502">
      <w:pPr>
        <w:ind w:left="851"/>
      </w:pPr>
      <w:r w:rsidRPr="00F543C1">
        <w:t xml:space="preserve">The Commission wants to better understand how current accountability settings </w:t>
      </w:r>
      <w:r w:rsidR="005A337C" w:rsidRPr="00F543C1">
        <w:t xml:space="preserve">in </w:t>
      </w:r>
      <w:r w:rsidR="003E7971" w:rsidRPr="00F543C1">
        <w:t xml:space="preserve">Aotearoa </w:t>
      </w:r>
      <w:r w:rsidRPr="00F543C1">
        <w:t>influence outcomes</w:t>
      </w:r>
      <w:r w:rsidR="00040AB9" w:rsidRPr="009006D7">
        <w:rPr>
          <w:rStyle w:val="FootnoteReference"/>
        </w:rPr>
        <w:footnoteReference w:id="3"/>
      </w:r>
      <w:r w:rsidRPr="00726346">
        <w:t xml:space="preserve"> f</w:t>
      </w:r>
      <w:r w:rsidRPr="00F543C1">
        <w:t>or people experiencing persistent disadvantage, what might need to change to improve outcomes, and how these changes could be implemented.</w:t>
      </w:r>
    </w:p>
    <w:p w14:paraId="3E084824" w14:textId="212409F1" w:rsidR="00E26BBF" w:rsidRPr="00F543C1" w:rsidRDefault="00E26BBF" w:rsidP="004A67D4">
      <w:pPr>
        <w:ind w:left="851"/>
      </w:pPr>
      <w:r w:rsidRPr="00F543C1">
        <w:t xml:space="preserve">The specific questions that we have been </w:t>
      </w:r>
      <w:r w:rsidR="00410791" w:rsidRPr="00F543C1">
        <w:t>asked</w:t>
      </w:r>
      <w:r w:rsidRPr="00F543C1">
        <w:t xml:space="preserve"> to address are:</w:t>
      </w:r>
    </w:p>
    <w:p w14:paraId="0ED88585" w14:textId="469ACFDA" w:rsidR="00E26BBF" w:rsidRPr="00F543C1" w:rsidRDefault="00E26BBF" w:rsidP="00410791">
      <w:pPr>
        <w:pStyle w:val="USBullet1"/>
      </w:pPr>
      <w:r w:rsidRPr="00F543C1">
        <w:t xml:space="preserve">What </w:t>
      </w:r>
      <w:proofErr w:type="gramStart"/>
      <w:r w:rsidRPr="00F543C1">
        <w:t>are</w:t>
      </w:r>
      <w:proofErr w:type="gramEnd"/>
      <w:r w:rsidRPr="00F543C1">
        <w:t xml:space="preserve"> the relevant macro-level public accountability settings and boundaries for </w:t>
      </w:r>
      <w:r w:rsidR="00410791" w:rsidRPr="00F543C1">
        <w:t>addressing persistent disadvantage</w:t>
      </w:r>
      <w:r w:rsidRPr="00F543C1">
        <w:t>?</w:t>
      </w:r>
    </w:p>
    <w:p w14:paraId="238702C1" w14:textId="54619E59" w:rsidR="00E26BBF" w:rsidRPr="00F543C1" w:rsidRDefault="00E26BBF" w:rsidP="00410791">
      <w:pPr>
        <w:pStyle w:val="USBullet1"/>
      </w:pPr>
      <w:r w:rsidRPr="00F543C1">
        <w:t xml:space="preserve">How do macro-level public accountability settings drive current system outcomes in relation to addressing persistent disadvantage? </w:t>
      </w:r>
    </w:p>
    <w:p w14:paraId="0D816BE0" w14:textId="3F79BE4F" w:rsidR="00E26BBF" w:rsidRPr="00F543C1" w:rsidRDefault="00E26BBF" w:rsidP="00410791">
      <w:pPr>
        <w:pStyle w:val="USBullet1"/>
      </w:pPr>
      <w:r w:rsidRPr="00F543C1">
        <w:t xml:space="preserve">What might a new macro-level accountability framework look like? </w:t>
      </w:r>
    </w:p>
    <w:p w14:paraId="391427F9" w14:textId="58ABB6B3" w:rsidR="00E26BBF" w:rsidRPr="00F543C1" w:rsidRDefault="00E26BBF" w:rsidP="00410791">
      <w:pPr>
        <w:pStyle w:val="USBullet1"/>
      </w:pPr>
      <w:r w:rsidRPr="00F543C1">
        <w:t xml:space="preserve">How might </w:t>
      </w:r>
      <w:proofErr w:type="spellStart"/>
      <w:r w:rsidR="003D0386" w:rsidRPr="00F543C1">
        <w:t>Te</w:t>
      </w:r>
      <w:proofErr w:type="spellEnd"/>
      <w:r w:rsidR="003D0386" w:rsidRPr="00F543C1">
        <w:t xml:space="preserve"> Ao</w:t>
      </w:r>
      <w:r w:rsidRPr="00F543C1">
        <w:t xml:space="preserve"> Māori values produce different macro-level accountability settings and drive better outcomes?</w:t>
      </w:r>
    </w:p>
    <w:p w14:paraId="554E4CC1" w14:textId="30F0F749" w:rsidR="00E26BBF" w:rsidRDefault="00E26BBF" w:rsidP="00410791">
      <w:pPr>
        <w:pStyle w:val="USBullet1"/>
      </w:pPr>
      <w:r w:rsidRPr="00F543C1">
        <w:t xml:space="preserve">What are some of the concrete steps that can be taken to realise the new settings? </w:t>
      </w:r>
    </w:p>
    <w:p w14:paraId="274B7E64" w14:textId="4E7E2FE9" w:rsidR="00996ED7" w:rsidRPr="00F543C1" w:rsidRDefault="0073150F" w:rsidP="00070525">
      <w:pPr>
        <w:pStyle w:val="USBodyText"/>
      </w:pPr>
      <w:r>
        <w:t>The focus on ‘con</w:t>
      </w:r>
      <w:r w:rsidR="00C63CF0">
        <w:t>crete steps’ is important.</w:t>
      </w:r>
      <w:r w:rsidR="001E6EE2">
        <w:t xml:space="preserve"> While it can be (relatively) easy to describe what a new system should look like</w:t>
      </w:r>
      <w:r w:rsidR="00DE5085">
        <w:t xml:space="preserve"> </w:t>
      </w:r>
      <w:r w:rsidR="001E6EE2">
        <w:t xml:space="preserve">at a high level, </w:t>
      </w:r>
      <w:r w:rsidR="00DE5085">
        <w:t xml:space="preserve">working out how to achieve the desired changes </w:t>
      </w:r>
      <w:r w:rsidR="00382A76">
        <w:t xml:space="preserve">is much harder. Given the time we had to prepare this report, we have </w:t>
      </w:r>
      <w:r w:rsidR="00D5268A">
        <w:t xml:space="preserve">set out some </w:t>
      </w:r>
      <w:r w:rsidR="00AC2DE9">
        <w:t xml:space="preserve">of </w:t>
      </w:r>
      <w:r w:rsidR="00D5268A">
        <w:t xml:space="preserve">the practical steps that we suggest should take place. But they are often a sketch, rather than a detailed implementation plan. </w:t>
      </w:r>
    </w:p>
    <w:p w14:paraId="756A4B7E" w14:textId="5352D244" w:rsidR="004A67D4" w:rsidRPr="00F543C1" w:rsidRDefault="001457C9" w:rsidP="00EE4397">
      <w:pPr>
        <w:pStyle w:val="Heading2"/>
      </w:pPr>
      <w:bookmarkStart w:id="8" w:name="_Toc126092072"/>
      <w:bookmarkStart w:id="9" w:name="_Toc126841190"/>
      <w:r w:rsidRPr="00F543C1">
        <w:t>Our approach</w:t>
      </w:r>
      <w:bookmarkEnd w:id="8"/>
      <w:bookmarkEnd w:id="9"/>
    </w:p>
    <w:p w14:paraId="09DF1A63" w14:textId="77777777" w:rsidR="004A67D4" w:rsidRPr="00F543C1" w:rsidRDefault="004A67D4" w:rsidP="004A67D4">
      <w:pPr>
        <w:ind w:left="851"/>
      </w:pPr>
      <w:r w:rsidRPr="00F543C1">
        <w:t xml:space="preserve">Persistent disadvantage, accountability, </w:t>
      </w:r>
      <w:proofErr w:type="gramStart"/>
      <w:r w:rsidRPr="00F543C1">
        <w:t>productivity</w:t>
      </w:r>
      <w:proofErr w:type="gramEnd"/>
      <w:r w:rsidRPr="00F543C1">
        <w:t xml:space="preserve"> and systems of government can all be studied from various perspectives. In preparing this report, we have primarily applied an economic approach. </w:t>
      </w:r>
    </w:p>
    <w:p w14:paraId="4F03F3F2" w14:textId="77777777" w:rsidR="004A67D4" w:rsidRPr="00F543C1" w:rsidRDefault="004A67D4" w:rsidP="00852078">
      <w:pPr>
        <w:keepNext/>
        <w:keepLines/>
        <w:ind w:left="851"/>
      </w:pPr>
      <w:r w:rsidRPr="00F543C1">
        <w:lastRenderedPageBreak/>
        <w:t xml:space="preserve">Economics is concerned with how people and the societies in which they live use the scarce resources available to them: </w:t>
      </w:r>
    </w:p>
    <w:p w14:paraId="65B27CA7" w14:textId="555E5FA9" w:rsidR="004A67D4" w:rsidRPr="00726346" w:rsidRDefault="004A67D4" w:rsidP="00852078">
      <w:pPr>
        <w:keepNext/>
        <w:keepLines/>
        <w:spacing w:before="120"/>
        <w:ind w:left="1276" w:right="425"/>
        <w:rPr>
          <w:i/>
          <w:color w:val="30353F"/>
        </w:rPr>
      </w:pPr>
      <w:r w:rsidRPr="00F543C1">
        <w:rPr>
          <w:i/>
          <w:color w:val="30353F"/>
        </w:rPr>
        <w:t>Economics is the science that studies human behaviour as a relationship between ends and scarce means which have alternative uses.</w:t>
      </w:r>
      <w:r w:rsidR="007D5041" w:rsidRPr="00F543C1">
        <w:rPr>
          <w:i/>
          <w:color w:val="30353F"/>
        </w:rPr>
        <w:t xml:space="preserve"> </w:t>
      </w:r>
      <w:r w:rsidRPr="00F543C1">
        <w:rPr>
          <w:iCs/>
          <w:color w:val="30353F"/>
        </w:rPr>
        <w:fldChar w:fldCharType="begin"/>
      </w:r>
      <w:r w:rsidR="009B0EC4">
        <w:rPr>
          <w:iCs/>
          <w:color w:val="30353F"/>
        </w:rPr>
        <w:instrText xml:space="preserve"> ADDIN ZOTERO_ITEM CSL_CITATION {"citationID":"af1hn0u3i1","properties":{"formattedCitation":"(Robbins 1945, 16)","plainCitation":"(Robbins 1945, 16)","noteIndex":0},"citationItems":[{"id":2785,"uris":["http://zotero.org/users/4659042/items/LCEY5VYR"],"itemData":{"id":2785,"type":"book","edition":"2nd Revised","event-place":"London","publisher":"Macmillan and Co Limited","publisher-place":"London","title":"An Essay on the Nature and Significance of Economic Science","author":[{"family":"Robbins","given":"Lionel"}],"issued":{"date-parts":[["1945"]]}},"locator":"16","label":"page"}],"schema":"https://github.com/citation-style-language/schema/raw/master/csl-citation.json"} </w:instrText>
      </w:r>
      <w:r w:rsidRPr="00F543C1">
        <w:rPr>
          <w:iCs/>
          <w:color w:val="30353F"/>
        </w:rPr>
        <w:fldChar w:fldCharType="separate"/>
      </w:r>
      <w:r w:rsidR="006A5DBB" w:rsidRPr="00F543C1">
        <w:rPr>
          <w:rFonts w:cs="Calibri"/>
          <w:szCs w:val="24"/>
        </w:rPr>
        <w:t>(Robbins 1945, 16)</w:t>
      </w:r>
      <w:r w:rsidRPr="00F543C1">
        <w:rPr>
          <w:iCs/>
          <w:color w:val="30353F"/>
        </w:rPr>
        <w:fldChar w:fldCharType="end"/>
      </w:r>
    </w:p>
    <w:p w14:paraId="0B650889" w14:textId="23758556" w:rsidR="004A67D4" w:rsidRPr="00F543C1" w:rsidRDefault="004A67D4" w:rsidP="004A67D4">
      <w:pPr>
        <w:ind w:left="851"/>
      </w:pPr>
      <w:r w:rsidRPr="00F543C1">
        <w:t>In developing this definition, Lord Robbins suggested that there are four key elements to the “conditions of human existence</w:t>
      </w:r>
      <w:r w:rsidR="00853481" w:rsidRPr="00F543C1">
        <w:t>”:</w:t>
      </w:r>
      <w:r w:rsidRPr="00F543C1">
        <w:t xml:space="preserve"> that ends are various; that the means to achieve those ends are limited; that the means to achieve those ends have alternative uses; and that different ends have different importance (</w:t>
      </w:r>
      <w:r w:rsidR="00070CBD">
        <w:t>ibid</w:t>
      </w:r>
      <w:r w:rsidRPr="00F543C1">
        <w:t>.</w:t>
      </w:r>
      <w:r w:rsidR="00775C1D">
        <w:t>,</w:t>
      </w:r>
      <w:r w:rsidRPr="00F543C1">
        <w:t xml:space="preserve"> 12). Examining persistent disadvantage in terms of these four conditions reminds us that the government, and society, must make choices about how resources are applied.</w:t>
      </w:r>
    </w:p>
    <w:p w14:paraId="7DF55CE8" w14:textId="54DA9C97" w:rsidR="00287799" w:rsidRPr="00F543C1" w:rsidRDefault="00287799" w:rsidP="00287799">
      <w:pPr>
        <w:ind w:left="851"/>
      </w:pPr>
      <w:r w:rsidRPr="00F543C1">
        <w:t xml:space="preserve">Our study </w:t>
      </w:r>
      <w:r w:rsidR="00D761BC" w:rsidRPr="00F543C1">
        <w:t>explores how accountability systems can lead to better choices when the government is</w:t>
      </w:r>
      <w:r w:rsidR="00997437" w:rsidRPr="00F543C1">
        <w:t xml:space="preserve"> seeking to </w:t>
      </w:r>
      <w:r w:rsidR="00040AB9" w:rsidRPr="00F543C1">
        <w:t>address persistent disadvantage in New Zealand</w:t>
      </w:r>
      <w:r w:rsidRPr="00F543C1">
        <w:t>, and, importantly, what ‘better’ means.</w:t>
      </w:r>
    </w:p>
    <w:p w14:paraId="19160627" w14:textId="643C2083" w:rsidR="001E7FE1" w:rsidRPr="00F543C1" w:rsidRDefault="00262897" w:rsidP="001E7FE1">
      <w:pPr>
        <w:pStyle w:val="Heading2"/>
      </w:pPr>
      <w:bookmarkStart w:id="10" w:name="_Ref125489774"/>
      <w:bookmarkStart w:id="11" w:name="_Toc126092073"/>
      <w:bookmarkStart w:id="12" w:name="_Toc126841191"/>
      <w:r w:rsidRPr="00F543C1">
        <w:t>The relationship between a</w:t>
      </w:r>
      <w:r w:rsidR="001E7FE1" w:rsidRPr="00F543C1">
        <w:t>ccountability</w:t>
      </w:r>
      <w:r w:rsidRPr="00F543C1">
        <w:t xml:space="preserve"> and </w:t>
      </w:r>
      <w:r w:rsidR="001E7FE1" w:rsidRPr="00F543C1">
        <w:t>policy</w:t>
      </w:r>
      <w:bookmarkEnd w:id="10"/>
      <w:bookmarkEnd w:id="11"/>
      <w:bookmarkEnd w:id="12"/>
    </w:p>
    <w:p w14:paraId="2C9373DD" w14:textId="24E1B600" w:rsidR="002A373E" w:rsidRPr="00726346" w:rsidRDefault="008A7DFE" w:rsidP="00997437">
      <w:pPr>
        <w:pStyle w:val="USBodyText"/>
      </w:pPr>
      <w:r w:rsidRPr="00F543C1">
        <w:t xml:space="preserve">As we will discuss in </w:t>
      </w:r>
      <w:r w:rsidR="00997437" w:rsidRPr="00F543C1">
        <w:t xml:space="preserve">more </w:t>
      </w:r>
      <w:r w:rsidRPr="00F543C1">
        <w:t xml:space="preserve">detail below, the </w:t>
      </w:r>
      <w:r w:rsidR="00040AB9" w:rsidRPr="00F543C1">
        <w:t xml:space="preserve">concept of </w:t>
      </w:r>
      <w:r w:rsidRPr="00F543C1">
        <w:t xml:space="preserve">accountability is </w:t>
      </w:r>
      <w:r w:rsidR="00040AB9" w:rsidRPr="00F543C1">
        <w:t>only indirectly connected</w:t>
      </w:r>
      <w:r w:rsidRPr="00F543C1">
        <w:t xml:space="preserve"> to </w:t>
      </w:r>
      <w:proofErr w:type="gramStart"/>
      <w:r w:rsidR="00040AB9" w:rsidRPr="00F543C1">
        <w:t xml:space="preserve">particular </w:t>
      </w:r>
      <w:r w:rsidRPr="00F543C1">
        <w:t>policy</w:t>
      </w:r>
      <w:proofErr w:type="gramEnd"/>
      <w:r w:rsidRPr="00F543C1">
        <w:t xml:space="preserve"> </w:t>
      </w:r>
      <w:r w:rsidR="00040AB9" w:rsidRPr="00F543C1">
        <w:t xml:space="preserve">approaches. </w:t>
      </w:r>
      <w:r w:rsidR="00997437" w:rsidRPr="00F543C1">
        <w:t>In a democracy and especially in policy areas where exercising value judgements</w:t>
      </w:r>
      <w:r w:rsidR="00997437" w:rsidRPr="009006D7">
        <w:rPr>
          <w:rStyle w:val="FootnoteReference"/>
        </w:rPr>
        <w:footnoteReference w:id="4"/>
      </w:r>
      <w:r w:rsidR="00997437" w:rsidRPr="00726346">
        <w:t xml:space="preserve"> is necessary to determine what policies to pursue, accountability systems should not be constructed to force a particular policy. </w:t>
      </w:r>
      <w:r w:rsidR="00760FE7" w:rsidRPr="00F543C1">
        <w:t xml:space="preserve">If one government seeks to use the instruments of accountability to bind its successors </w:t>
      </w:r>
      <w:r w:rsidR="0073164B">
        <w:t xml:space="preserve">to follow </w:t>
      </w:r>
      <w:r w:rsidR="00F048C3">
        <w:t>its approach</w:t>
      </w:r>
      <w:r w:rsidR="00976CA3">
        <w:t xml:space="preserve">, rather than </w:t>
      </w:r>
      <w:r w:rsidR="009D6163">
        <w:t>enshrin</w:t>
      </w:r>
      <w:r w:rsidR="00CD79B8">
        <w:t>ing</w:t>
      </w:r>
      <w:r w:rsidR="009D6163">
        <w:t xml:space="preserve"> agreed, flexible policy principles</w:t>
      </w:r>
      <w:r w:rsidR="00760FE7" w:rsidRPr="00F543C1">
        <w:t>, then experience suggests that those accountability systems themselves will not endure.</w:t>
      </w:r>
      <w:r w:rsidR="00760FE7" w:rsidRPr="009006D7">
        <w:rPr>
          <w:rStyle w:val="FootnoteReference"/>
        </w:rPr>
        <w:footnoteReference w:id="5"/>
      </w:r>
    </w:p>
    <w:p w14:paraId="51F79941" w14:textId="7DA0C7F1" w:rsidR="00100EC5" w:rsidRPr="00F543C1" w:rsidRDefault="00D928CE" w:rsidP="001E7FE1">
      <w:pPr>
        <w:pStyle w:val="USBodyText"/>
      </w:pPr>
      <w:r w:rsidRPr="00F543C1">
        <w:t>Accountability</w:t>
      </w:r>
      <w:r w:rsidR="000D3C1B" w:rsidRPr="00F543C1">
        <w:t>, therefore,</w:t>
      </w:r>
      <w:r w:rsidR="006F1CA2" w:rsidRPr="00F543C1">
        <w:t xml:space="preserve"> involve</w:t>
      </w:r>
      <w:r w:rsidR="00B977BA" w:rsidRPr="00F543C1">
        <w:t>s</w:t>
      </w:r>
      <w:r w:rsidR="006F1CA2" w:rsidRPr="00F543C1">
        <w:t xml:space="preserve"> conditioning the exercise of power rather than specifying precise </w:t>
      </w:r>
      <w:r w:rsidR="00011B25" w:rsidRPr="00F543C1">
        <w:t>outcomes</w:t>
      </w:r>
      <w:r w:rsidR="006F1CA2" w:rsidRPr="00F543C1">
        <w:t>. Accountability is needed because</w:t>
      </w:r>
      <w:r w:rsidR="00B977BA" w:rsidRPr="00F543C1">
        <w:t xml:space="preserve"> </w:t>
      </w:r>
      <w:r w:rsidR="009D1385" w:rsidRPr="00F543C1">
        <w:t xml:space="preserve">modern societies </w:t>
      </w:r>
      <w:r w:rsidR="008D42FC" w:rsidRPr="00F543C1">
        <w:t>involve a myriad of examples where people</w:t>
      </w:r>
      <w:r w:rsidR="00E476DC" w:rsidRPr="00F543C1">
        <w:t xml:space="preserve"> in government</w:t>
      </w:r>
      <w:r w:rsidR="008D42FC" w:rsidRPr="00F543C1">
        <w:t xml:space="preserve">, from political leaders to </w:t>
      </w:r>
      <w:r w:rsidR="00E476DC" w:rsidRPr="00F543C1">
        <w:t>front-line staff,</w:t>
      </w:r>
      <w:r w:rsidR="008D42FC" w:rsidRPr="00F543C1">
        <w:t xml:space="preserve"> are involve</w:t>
      </w:r>
      <w:r w:rsidR="00E476DC" w:rsidRPr="00F543C1">
        <w:t>d in undertaking activities on beha</w:t>
      </w:r>
      <w:r w:rsidR="00544757" w:rsidRPr="00F543C1">
        <w:t>lf</w:t>
      </w:r>
      <w:r w:rsidR="00E476DC" w:rsidRPr="00F543C1">
        <w:t xml:space="preserve"> of voters. It </w:t>
      </w:r>
      <w:r w:rsidR="004D7F3D" w:rsidRPr="00F543C1">
        <w:t xml:space="preserve">is often both practical and efficient for voters to delegate the details of what will be done to others. Accountability is about </w:t>
      </w:r>
      <w:r w:rsidR="00672248" w:rsidRPr="00F543C1">
        <w:t xml:space="preserve">ensuring </w:t>
      </w:r>
      <w:r w:rsidR="007369F9" w:rsidRPr="00F543C1">
        <w:t>those delegated activities are performed</w:t>
      </w:r>
      <w:r w:rsidR="00672248" w:rsidRPr="00F543C1">
        <w:t xml:space="preserve"> in a</w:t>
      </w:r>
      <w:r w:rsidR="00752D39" w:rsidRPr="00F543C1">
        <w:t>n acceptable way</w:t>
      </w:r>
      <w:r w:rsidR="007369F9" w:rsidRPr="00F543C1">
        <w:t>.</w:t>
      </w:r>
      <w:r w:rsidR="00E476DC" w:rsidRPr="00F543C1">
        <w:t xml:space="preserve"> </w:t>
      </w:r>
      <w:r w:rsidR="006F1CA2" w:rsidRPr="00F543C1">
        <w:t xml:space="preserve"> </w:t>
      </w:r>
      <w:r w:rsidR="00A20B9D" w:rsidRPr="00F543C1">
        <w:t xml:space="preserve">  </w:t>
      </w:r>
    </w:p>
    <w:p w14:paraId="13AC888B" w14:textId="313FFD99" w:rsidR="0089166D" w:rsidRPr="00F543C1" w:rsidRDefault="0089166D" w:rsidP="0089166D">
      <w:pPr>
        <w:pStyle w:val="Heading2"/>
      </w:pPr>
      <w:bookmarkStart w:id="13" w:name="_Toc126092074"/>
      <w:bookmarkStart w:id="14" w:name="_Toc126841192"/>
      <w:r w:rsidRPr="00F543C1">
        <w:t xml:space="preserve">Better lives are the </w:t>
      </w:r>
      <w:r w:rsidR="00B947EE" w:rsidRPr="00F543C1">
        <w:t xml:space="preserve">ultimate </w:t>
      </w:r>
      <w:proofErr w:type="gramStart"/>
      <w:r w:rsidRPr="00F543C1">
        <w:t>goal</w:t>
      </w:r>
      <w:bookmarkEnd w:id="13"/>
      <w:bookmarkEnd w:id="14"/>
      <w:proofErr w:type="gramEnd"/>
    </w:p>
    <w:p w14:paraId="5CFEECE6" w14:textId="3E250308" w:rsidR="0089166D" w:rsidRPr="00726346" w:rsidRDefault="0089166D" w:rsidP="0089166D">
      <w:pPr>
        <w:ind w:left="851"/>
      </w:pPr>
      <w:r w:rsidRPr="00F543C1">
        <w:t>The</w:t>
      </w:r>
      <w:r w:rsidR="00BB6254" w:rsidRPr="00F543C1">
        <w:t>re is an emerging consensus that the</w:t>
      </w:r>
      <w:r w:rsidRPr="00F543C1">
        <w:t xml:space="preserve"> overarching aim of </w:t>
      </w:r>
      <w:r w:rsidR="00856653" w:rsidRPr="00F543C1">
        <w:t>governmen</w:t>
      </w:r>
      <w:r w:rsidR="00856653">
        <w:t>t</w:t>
      </w:r>
      <w:r w:rsidR="00856653" w:rsidRPr="00F543C1">
        <w:t>s</w:t>
      </w:r>
      <w:r w:rsidR="00004EE1">
        <w:t xml:space="preserve"> </w:t>
      </w:r>
      <w:r w:rsidRPr="00F543C1">
        <w:t xml:space="preserve">should be to maximise the wellbeing of </w:t>
      </w:r>
      <w:r w:rsidR="00856653">
        <w:t>their people</w:t>
      </w:r>
      <w:r w:rsidRPr="00F543C1">
        <w:t xml:space="preserve">, given the resources </w:t>
      </w:r>
      <w:r w:rsidR="00856653">
        <w:t>they</w:t>
      </w:r>
      <w:r w:rsidRPr="00F543C1">
        <w:t xml:space="preserve"> have as a nation</w:t>
      </w:r>
      <w:r w:rsidR="00856653" w:rsidRPr="009006D7">
        <w:rPr>
          <w:rStyle w:val="FootnoteReference"/>
        </w:rPr>
        <w:footnoteReference w:id="6"/>
      </w:r>
      <w:r w:rsidRPr="00F543C1">
        <w:t xml:space="preserve">. </w:t>
      </w:r>
      <w:r w:rsidR="00294E8F" w:rsidRPr="00F543C1">
        <w:t xml:space="preserve">The </w:t>
      </w:r>
      <w:r w:rsidR="00294E8F" w:rsidRPr="00F543C1">
        <w:lastRenderedPageBreak/>
        <w:t>focus should be on the wellbeing of individuals</w:t>
      </w:r>
      <w:r w:rsidR="00117DCD" w:rsidRPr="00F543C1">
        <w:t xml:space="preserve"> </w:t>
      </w:r>
      <w:r w:rsidR="006174EC" w:rsidRPr="00F543C1">
        <w:t xml:space="preserve">and their </w:t>
      </w:r>
      <w:r w:rsidR="0024528A" w:rsidRPr="00F543C1">
        <w:t>families</w:t>
      </w:r>
      <w:r w:rsidR="00926AFB" w:rsidRPr="00F543C1">
        <w:t>,</w:t>
      </w:r>
      <w:r w:rsidR="0024528A" w:rsidRPr="00F543C1">
        <w:t xml:space="preserve"> whānau</w:t>
      </w:r>
      <w:r w:rsidR="00E1618F" w:rsidRPr="00F543C1">
        <w:t>,</w:t>
      </w:r>
      <w:r w:rsidR="00CB4EB5" w:rsidRPr="009006D7">
        <w:rPr>
          <w:rStyle w:val="FootnoteReference"/>
        </w:rPr>
        <w:footnoteReference w:id="7"/>
      </w:r>
      <w:r w:rsidR="0024528A" w:rsidRPr="00726346">
        <w:t xml:space="preserve"> hapū and iwi, and communities</w:t>
      </w:r>
      <w:r w:rsidR="00294E8F" w:rsidRPr="00F543C1">
        <w:t>, as opposed to national averages</w:t>
      </w:r>
      <w:r w:rsidR="001E59B0" w:rsidRPr="00F543C1">
        <w:t>.</w:t>
      </w:r>
      <w:r w:rsidR="0031609A" w:rsidRPr="009006D7">
        <w:rPr>
          <w:rStyle w:val="FootnoteReference"/>
        </w:rPr>
        <w:footnoteReference w:id="8"/>
      </w:r>
    </w:p>
    <w:p w14:paraId="3AD31A6F" w14:textId="319F69F4" w:rsidR="0089166D" w:rsidRPr="00F543C1" w:rsidRDefault="0089166D" w:rsidP="0089166D">
      <w:pPr>
        <w:ind w:left="851"/>
      </w:pPr>
      <w:r w:rsidRPr="00726346">
        <w:t>In this report, we have used Amartya Sen’s capability approach to assess alternative ways to achieve this aim.</w:t>
      </w:r>
      <w:r w:rsidR="003C27C7" w:rsidRPr="009006D7">
        <w:rPr>
          <w:rStyle w:val="FootnoteReference"/>
        </w:rPr>
        <w:footnoteReference w:id="9"/>
      </w:r>
      <w:r w:rsidRPr="00726346">
        <w:t xml:space="preserve"> We have used this approach in other work addressing a range of policy issues, as we find it to be a robust way of</w:t>
      </w:r>
      <w:r w:rsidRPr="00F543C1">
        <w:t xml:space="preserve"> thinking about what constitutes wellbeing.</w:t>
      </w:r>
      <w:r w:rsidRPr="009006D7">
        <w:rPr>
          <w:rStyle w:val="FootnoteReference"/>
        </w:rPr>
        <w:footnoteReference w:id="10"/>
      </w:r>
      <w:r w:rsidRPr="00726346">
        <w:t xml:space="preserve"> The Treasury’s Living Standards Framework draws on Sen’s approach.</w:t>
      </w:r>
      <w:r w:rsidR="00C303DC" w:rsidRPr="009006D7">
        <w:rPr>
          <w:rStyle w:val="FootnoteReference"/>
        </w:rPr>
        <w:footnoteReference w:id="11"/>
      </w:r>
      <w:r w:rsidRPr="00726346">
        <w:t xml:space="preserve"> </w:t>
      </w:r>
    </w:p>
    <w:p w14:paraId="41A49B26" w14:textId="203BDB6E" w:rsidR="0089166D" w:rsidRDefault="0089166D" w:rsidP="0089166D">
      <w:pPr>
        <w:ind w:left="851"/>
      </w:pPr>
      <w:r w:rsidRPr="00F543C1">
        <w:t xml:space="preserve">Under the capability approach, at the level of the individual or whānau, the aim should be to ensure people have the freedom to live a life they value and have reason to value </w:t>
      </w:r>
      <w:r w:rsidRPr="00F543C1">
        <w:fldChar w:fldCharType="begin"/>
      </w:r>
      <w:r w:rsidR="009B0EC4">
        <w:instrText xml:space="preserve"> ADDIN ZOTERO_ITEM CSL_CITATION {"citationID":"YMRzNHAO","properties":{"formattedCitation":"(Sen 2000)","plainCitation":"(Sen 2000)","noteIndex":0},"citationItems":[{"id":4481,"uris":["http://zotero.org/users/4659042/items/9I7NAZGC"],"itemData":{"id":4481,"type":"book","edition":"Anchor Books Edition","event-place":"New York","ISBN":"978-0-385-72027-4","language":"eng","note":"OCLC: 248891288","number-of-pages":"366","publisher":"Anchor Books","publisher-place":"New York","source":"Gemeinsamer Bibliotheksverbund ISBN","title":"Development as freedom","author":[{"family":"Sen","given":"Amartya"}],"issued":{"date-parts":[["2000"]]}}}],"schema":"https://github.com/citation-style-language/schema/raw/master/csl-citation.json"} </w:instrText>
      </w:r>
      <w:r w:rsidRPr="00F543C1">
        <w:fldChar w:fldCharType="separate"/>
      </w:r>
      <w:r w:rsidRPr="00F543C1">
        <w:rPr>
          <w:rFonts w:cs="Calibri"/>
        </w:rPr>
        <w:t>(Sen 2000)</w:t>
      </w:r>
      <w:r w:rsidRPr="00F543C1">
        <w:fldChar w:fldCharType="end"/>
      </w:r>
      <w:r w:rsidRPr="00726346">
        <w:t>.</w:t>
      </w:r>
    </w:p>
    <w:p w14:paraId="7351266B" w14:textId="71650437" w:rsidR="008C1E87" w:rsidRPr="00F543C1" w:rsidRDefault="00C55FEF" w:rsidP="0049311D">
      <w:pPr>
        <w:ind w:left="851"/>
      </w:pPr>
      <w:r w:rsidRPr="00F543C1">
        <w:t>In Sen’s capability approach</w:t>
      </w:r>
      <w:r w:rsidR="0003741B" w:rsidRPr="00F543C1">
        <w:t>,</w:t>
      </w:r>
      <w:r w:rsidRPr="00F543C1">
        <w:t xml:space="preserve"> the success of any policy or programme is measured by whether it increases the freedom that people </w:t>
      </w:r>
      <w:proofErr w:type="gramStart"/>
      <w:r w:rsidRPr="00F543C1">
        <w:t>have to</w:t>
      </w:r>
      <w:proofErr w:type="gramEnd"/>
      <w:r w:rsidRPr="00F543C1">
        <w:t xml:space="preserve"> live a life that they value.</w:t>
      </w:r>
      <w:r w:rsidR="00B7758E" w:rsidRPr="009006D7">
        <w:rPr>
          <w:rStyle w:val="FootnoteReference"/>
        </w:rPr>
        <w:footnoteReference w:id="12"/>
      </w:r>
      <w:r w:rsidRPr="00726346">
        <w:t xml:space="preserve"> </w:t>
      </w:r>
      <w:r w:rsidR="004953BC" w:rsidRPr="00F543C1">
        <w:t>We use the capability approach to structure questions about wellbeing, not as an authoritative statement of what constitutes a valuable life. The lives that different people want to live are not universal: people have different preferences and priorities.</w:t>
      </w:r>
    </w:p>
    <w:p w14:paraId="720D30ED" w14:textId="7BD68AB0" w:rsidR="0013385F" w:rsidRPr="00F543C1" w:rsidRDefault="0013385F" w:rsidP="0013385F">
      <w:pPr>
        <w:pStyle w:val="Heading3"/>
      </w:pPr>
      <w:bookmarkStart w:id="15" w:name="_Toc126092075"/>
      <w:r w:rsidRPr="00F543C1">
        <w:t>The capability approach and indigenous wellbeing</w:t>
      </w:r>
      <w:bookmarkEnd w:id="15"/>
    </w:p>
    <w:p w14:paraId="30A16491" w14:textId="6FC4A35C" w:rsidR="00BE7B01" w:rsidRPr="00F543C1" w:rsidRDefault="009D2207" w:rsidP="00C55FEF">
      <w:pPr>
        <w:ind w:left="851"/>
      </w:pPr>
      <w:r w:rsidRPr="00F543C1">
        <w:t xml:space="preserve">Sen’s </w:t>
      </w:r>
      <w:r w:rsidR="00C55FEF" w:rsidRPr="00F543C1">
        <w:t xml:space="preserve">initial work on developing what became the capability approach </w:t>
      </w:r>
      <w:r w:rsidR="00117DCD" w:rsidRPr="00F543C1">
        <w:t xml:space="preserve">drew </w:t>
      </w:r>
      <w:r w:rsidR="00C55FEF" w:rsidRPr="00F543C1">
        <w:t xml:space="preserve">on </w:t>
      </w:r>
      <w:r w:rsidRPr="00F543C1">
        <w:t xml:space="preserve">aid </w:t>
      </w:r>
      <w:r w:rsidR="00D37918" w:rsidRPr="00F543C1">
        <w:t>programmes in the developing world.</w:t>
      </w:r>
      <w:r w:rsidR="00D37918" w:rsidRPr="009006D7">
        <w:rPr>
          <w:rStyle w:val="FootnoteReference"/>
        </w:rPr>
        <w:footnoteReference w:id="13"/>
      </w:r>
      <w:r w:rsidR="00D37918" w:rsidRPr="00726346">
        <w:t xml:space="preserve"> </w:t>
      </w:r>
      <w:r w:rsidR="00C55FEF" w:rsidRPr="00F543C1">
        <w:t xml:space="preserve">The freedom </w:t>
      </w:r>
      <w:r w:rsidR="006174EC" w:rsidRPr="00F543C1">
        <w:t>of individuals to make d</w:t>
      </w:r>
      <w:r w:rsidR="00C55FEF" w:rsidRPr="00F543C1">
        <w:t>ecisions</w:t>
      </w:r>
      <w:r w:rsidR="006174EC" w:rsidRPr="00F543C1">
        <w:t>,</w:t>
      </w:r>
      <w:r w:rsidR="00C55FEF" w:rsidRPr="00F543C1">
        <w:t xml:space="preserve"> as opposed to group decision-making</w:t>
      </w:r>
      <w:r w:rsidR="006174EC" w:rsidRPr="00F543C1">
        <w:t xml:space="preserve">, was </w:t>
      </w:r>
      <w:r w:rsidR="00117DCD" w:rsidRPr="00F543C1">
        <w:t>the</w:t>
      </w:r>
      <w:r w:rsidR="006174EC" w:rsidRPr="00F543C1">
        <w:t xml:space="preserve"> primary </w:t>
      </w:r>
      <w:r w:rsidR="00117DCD" w:rsidRPr="00F543C1">
        <w:t>focus</w:t>
      </w:r>
      <w:r w:rsidR="00C55FEF" w:rsidRPr="00F543C1">
        <w:t>.</w:t>
      </w:r>
      <w:r w:rsidR="00C55FEF" w:rsidRPr="009006D7">
        <w:rPr>
          <w:rStyle w:val="FootnoteReference"/>
        </w:rPr>
        <w:footnoteReference w:id="14"/>
      </w:r>
      <w:r w:rsidR="00C55FEF" w:rsidRPr="00726346">
        <w:t xml:space="preserve"> </w:t>
      </w:r>
    </w:p>
    <w:p w14:paraId="1B81542E" w14:textId="548D727A" w:rsidR="00C55FEF" w:rsidRPr="00F543C1" w:rsidRDefault="00C55FEF" w:rsidP="00C55FEF">
      <w:pPr>
        <w:ind w:left="851"/>
      </w:pPr>
      <w:r w:rsidRPr="00F543C1">
        <w:t xml:space="preserve">Subsequent developments have demonstrated that </w:t>
      </w:r>
      <w:r w:rsidR="006174EC" w:rsidRPr="00F543C1">
        <w:t>Sen’s</w:t>
      </w:r>
      <w:r w:rsidR="00D32A09" w:rsidRPr="00F543C1">
        <w:t xml:space="preserve"> approach</w:t>
      </w:r>
      <w:r w:rsidRPr="00F543C1">
        <w:t xml:space="preserve"> can be used to assess the wellbeing of groups</w:t>
      </w:r>
      <w:r w:rsidR="00942B53" w:rsidRPr="00F543C1">
        <w:t xml:space="preserve"> of people</w:t>
      </w:r>
      <w:r w:rsidRPr="00F543C1">
        <w:t xml:space="preserve"> in more collective contexts. However, </w:t>
      </w:r>
      <w:r w:rsidR="00D32A09" w:rsidRPr="00F543C1">
        <w:t>it</w:t>
      </w:r>
      <w:r w:rsidRPr="00F543C1">
        <w:t xml:space="preserve"> was not developed by indigenous people and </w:t>
      </w:r>
      <w:r w:rsidR="00E50566" w:rsidRPr="00F543C1">
        <w:t>does</w:t>
      </w:r>
      <w:r w:rsidR="00EC47AF" w:rsidRPr="00F543C1">
        <w:t xml:space="preserve"> </w:t>
      </w:r>
      <w:r w:rsidRPr="00F543C1">
        <w:t>not reflect wider indigenous perspectives of value</w:t>
      </w:r>
      <w:r w:rsidR="00FF1CBC" w:rsidRPr="00F543C1">
        <w:t xml:space="preserve"> </w:t>
      </w:r>
      <w:r w:rsidR="00FF1CBC" w:rsidRPr="00F543C1">
        <w:fldChar w:fldCharType="begin"/>
      </w:r>
      <w:r w:rsidR="009B0EC4">
        <w:instrText xml:space="preserve"> ADDIN ZOTERO_ITEM CSL_CITATION {"citationID":"biom44U1","properties":{"formattedCitation":"(Watene 2016)","plainCitation":"(Watene 2016)","noteIndex":0},"citationItems":[{"id":14125,"uris":["http://zotero.org/groups/4623831/items/F99BMTZ6"],"itemData":{"id":14125,"type":"article-journal","abstract":"Can the capability approach to well-being and development capture the way nature is valued within “Mātauranga Māori” (the philosophies of the indigenous peoples of Aotearoa/New Zealand)? This paper argues that current articulations of the capability approach, despite encouraging and requiring cross-cultural dialogue, are unable to include Māori values as they apply to nature. Māori values express a relationship with nature grounded in the physical and spiritual dimensions of “whakapapa” (genealogy). Such an approach differs markedly from that which values nature in light of human agency (as Amartya Sen’s theory does) or dignity (as Martha Nussbaum’s theory does). For the purposes of this paper, this difference highlights the need to create space for cross-cultural conversations which open up real opportunities for new ways forward. The capability approach helps to create the space needed for these conversations, but is unable to cover the ground required for their full expression. There is not enough breadth to guarantee a Māori voice within current articulations of the capability approach. There is a need for proponents of the capability approach to think beyond its limits in order to fully engage with those values yet to be fully considered within the capability framework.","container-title":"Oxford Development Studies","DOI":"10.1080/13600818.2015.1124077","ISSN":"1360-0818","issue":"3","note":"publisher: Routledge\n_eprint: https://doi.org/10.1080/13600818.2015.1124077","page":"287-296","source":"Taylor and Francis+NEJM","title":"Valuing nature: Māori philosophy and the capability approach","title-short":"Valuing nature","volume":"44","author":[{"family":"Watene","given":"Krushil"}],"issued":{"date-parts":[["2016",7,2]]}}}],"schema":"https://github.com/citation-style-language/schema/raw/master/csl-citation.json"} </w:instrText>
      </w:r>
      <w:r w:rsidR="00FF1CBC" w:rsidRPr="00F543C1">
        <w:fldChar w:fldCharType="separate"/>
      </w:r>
      <w:r w:rsidR="00FF1CBC" w:rsidRPr="00F543C1">
        <w:rPr>
          <w:rFonts w:cs="Calibri"/>
        </w:rPr>
        <w:t>(Watene 2016)</w:t>
      </w:r>
      <w:r w:rsidR="00FF1CBC" w:rsidRPr="00F543C1">
        <w:fldChar w:fldCharType="end"/>
      </w:r>
      <w:r w:rsidRPr="00726346">
        <w:t xml:space="preserve">. </w:t>
      </w:r>
    </w:p>
    <w:p w14:paraId="62E0E9DA" w14:textId="487EC4D3" w:rsidR="0089166D" w:rsidRPr="00F543C1" w:rsidRDefault="0089166D" w:rsidP="0089166D">
      <w:pPr>
        <w:ind w:left="851"/>
      </w:pPr>
      <w:r w:rsidRPr="00F543C1">
        <w:lastRenderedPageBreak/>
        <w:t>There is an ongoing debate in the literature about the suitability of the capability approach for assessing the wellbeing of indigenous peoples and whether its focus on the wellbeing of individuals is appropriate for people who place importance on collective decision-making and the wellbeing of groups.</w:t>
      </w:r>
      <w:r w:rsidR="00FD3A07" w:rsidRPr="009006D7">
        <w:rPr>
          <w:rStyle w:val="FootnoteReference"/>
        </w:rPr>
        <w:footnoteReference w:id="15"/>
      </w:r>
      <w:r w:rsidRPr="00726346">
        <w:t xml:space="preserve"> Th</w:t>
      </w:r>
      <w:r w:rsidR="009F5953" w:rsidRPr="00F543C1">
        <w:t xml:space="preserve">is literature proposes </w:t>
      </w:r>
      <w:r w:rsidRPr="00F543C1">
        <w:t xml:space="preserve">modifications </w:t>
      </w:r>
      <w:r w:rsidR="009F5953" w:rsidRPr="00F543C1">
        <w:t xml:space="preserve">and additions to the capability approach to incorporate </w:t>
      </w:r>
      <w:r w:rsidR="009E0FC8" w:rsidRPr="00F543C1">
        <w:t xml:space="preserve">indigenous world views </w:t>
      </w:r>
      <w:r w:rsidRPr="00F543C1">
        <w:t xml:space="preserve">that enable collective values to be centred, and we view these as helpful. Michael Murphy, for example, while accepting that freedom for indigenous people must be understood to include </w:t>
      </w:r>
      <w:r w:rsidR="00EC47AF" w:rsidRPr="00F543C1">
        <w:t xml:space="preserve">the </w:t>
      </w:r>
      <w:r w:rsidRPr="00F543C1">
        <w:t>collective capability for self-determination, suggest</w:t>
      </w:r>
      <w:r w:rsidR="00D32A09" w:rsidRPr="00F543C1">
        <w:t>s</w:t>
      </w:r>
      <w:r w:rsidRPr="00F543C1">
        <w:t xml:space="preserve"> that this can be incorporated into the traditional capability approach </w:t>
      </w:r>
      <w:r w:rsidRPr="00F543C1">
        <w:fldChar w:fldCharType="begin"/>
      </w:r>
      <w:r w:rsidR="009B0EC4">
        <w:instrText xml:space="preserve"> ADDIN ZOTERO_ITEM CSL_CITATION {"citationID":"aa52i9n5eo","properties":{"formattedCitation":"(Murphy 2014, 325)","plainCitation":"(Murphy 2014, 325)","noteIndex":0},"citationItems":[{"id":14104,"uris":["http://zotero.org/groups/4623831/items/B3EP5P22"],"itemData":{"id":14104,"type":"article-journal","abstract":"The article explores the idea of self-determination as a collective capability that enhances the freedom and well-being of indigenous peoples in colonial settler states. Collective capabilities have not attracted much attention in the literature to date, but the article sets out to demonstrate that the collective capability for self-determination is precisely the sort of freedom Amartya Sen describes as both the primary objective and the principle means of development. Two ideas lie at the core of the argument: the necessary interdependence that exists between the individual and the collective capability for political self-determination; and the intrinsic, instrumental and constructive value of collective political empowerment in the developmental process. To bolster the theoretical argument, the article examines some of the available evidence linking self-determination with concrete improvements in the social and economic welfare and well-being of indigenous peoples in different regions of the globe.","container-title":"Journal of Human Development and Capabilities","DOI":"10.1080/19452829.2013.878320","ISSN":"1945-2829","issue":"4","note":"publisher: Routledge\n_eprint: https://doi.org/10.1080/19452829.2013.878320","page":"320-334","source":"Taylor and Francis+NEJM","title":"Self-determination as a Collective Capability: The Case of Indigenous Peoples","title-short":"Self-determination as a Collective Capability","volume":"15","author":[{"family":"Murphy","given":"Michael"}],"issued":{"date-parts":[["2014",10,2]]}},"locator":"325","label":"page"}],"schema":"https://github.com/citation-style-language/schema/raw/master/csl-citation.json"} </w:instrText>
      </w:r>
      <w:r w:rsidRPr="00F543C1">
        <w:fldChar w:fldCharType="separate"/>
      </w:r>
      <w:r w:rsidRPr="00F543C1">
        <w:rPr>
          <w:rFonts w:cs="Calibri"/>
          <w:szCs w:val="24"/>
        </w:rPr>
        <w:t>(Murphy 2014, 325)</w:t>
      </w:r>
      <w:r w:rsidRPr="00F543C1">
        <w:fldChar w:fldCharType="end"/>
      </w:r>
      <w:r w:rsidRPr="00726346">
        <w:t xml:space="preserve">. </w:t>
      </w:r>
    </w:p>
    <w:p w14:paraId="13A91158" w14:textId="0D89D2B0" w:rsidR="00896E28" w:rsidRPr="00F543C1" w:rsidRDefault="00896E28" w:rsidP="00896E28">
      <w:pPr>
        <w:pStyle w:val="USBodyText"/>
      </w:pPr>
      <w:r w:rsidRPr="00F543C1">
        <w:t xml:space="preserve">As Pākehā economists, it is not for us to co-opt indigenous frameworks nor to expect Māori to do our work for us. We expect those who take this work forward will exercise </w:t>
      </w:r>
      <w:proofErr w:type="spellStart"/>
      <w:r w:rsidRPr="00F543C1">
        <w:t>tino</w:t>
      </w:r>
      <w:proofErr w:type="spellEnd"/>
      <w:r w:rsidRPr="00F543C1">
        <w:t xml:space="preserve"> rangatiratanga</w:t>
      </w:r>
      <w:r w:rsidRPr="00F543C1" w:rsidDel="006506F7">
        <w:t xml:space="preserve"> </w:t>
      </w:r>
      <w:r w:rsidRPr="00F543C1">
        <w:t xml:space="preserve">and mana </w:t>
      </w:r>
      <w:proofErr w:type="spellStart"/>
      <w:r w:rsidRPr="00F543C1">
        <w:t>motuhake</w:t>
      </w:r>
      <w:proofErr w:type="spellEnd"/>
      <w:r w:rsidRPr="00F543C1">
        <w:t xml:space="preserve"> and use their own frameworks. As we continue to develop partnership relationships with Māori, educate ourselves and expand our own capabilities, we are navigating the evolution of how we address these important issues in our own mahi.</w:t>
      </w:r>
    </w:p>
    <w:p w14:paraId="6978435C" w14:textId="7DE768EA" w:rsidR="0089166D" w:rsidRPr="00F543C1" w:rsidRDefault="0089166D" w:rsidP="0089166D">
      <w:pPr>
        <w:ind w:left="851"/>
      </w:pPr>
      <w:r w:rsidRPr="00F543C1">
        <w:t>Having reviewed this debate, we consider that the capability approach is appropriate for this study</w:t>
      </w:r>
      <w:r w:rsidR="000102D5" w:rsidRPr="00F543C1">
        <w:t>,</w:t>
      </w:r>
      <w:r w:rsidRPr="00F543C1">
        <w:t xml:space="preserve"> provided </w:t>
      </w:r>
      <w:r w:rsidR="00AD6440" w:rsidRPr="00F543C1">
        <w:t xml:space="preserve">we and our </w:t>
      </w:r>
      <w:r w:rsidR="006F3DAD" w:rsidRPr="00F543C1">
        <w:t xml:space="preserve">readers </w:t>
      </w:r>
      <w:r w:rsidRPr="00F543C1">
        <w:t xml:space="preserve">acknowledge that our framework is simply a way of organising </w:t>
      </w:r>
      <w:r w:rsidRPr="00F543C1">
        <w:rPr>
          <w:b/>
          <w:bCs/>
        </w:rPr>
        <w:t>questions</w:t>
      </w:r>
      <w:r w:rsidRPr="00F543C1">
        <w:t xml:space="preserve"> about what is important to people. It pointedly </w:t>
      </w:r>
      <w:r w:rsidRPr="00F543C1">
        <w:rPr>
          <w:b/>
          <w:bCs/>
        </w:rPr>
        <w:t>does not provide the answers</w:t>
      </w:r>
      <w:r w:rsidRPr="00F543C1">
        <w:t xml:space="preserve"> to those questions. It is not a statement of the things that make up a good life, at least in Sen’s work.</w:t>
      </w:r>
      <w:r w:rsidRPr="009006D7">
        <w:rPr>
          <w:rStyle w:val="FootnoteReference"/>
        </w:rPr>
        <w:footnoteReference w:id="16"/>
      </w:r>
      <w:r w:rsidRPr="00726346">
        <w:t xml:space="preserve"> Under the capability approach, it is up</w:t>
      </w:r>
      <w:r w:rsidRPr="00F543C1">
        <w:rPr>
          <w:spacing w:val="-2"/>
        </w:rPr>
        <w:t xml:space="preserve"> </w:t>
      </w:r>
      <w:r w:rsidRPr="00F543C1">
        <w:t>to</w:t>
      </w:r>
      <w:r w:rsidRPr="00F543C1">
        <w:rPr>
          <w:spacing w:val="-3"/>
        </w:rPr>
        <w:t xml:space="preserve"> </w:t>
      </w:r>
      <w:r w:rsidRPr="00F543C1">
        <w:t>people</w:t>
      </w:r>
      <w:r w:rsidRPr="00F543C1">
        <w:rPr>
          <w:spacing w:val="-5"/>
        </w:rPr>
        <w:t xml:space="preserve"> (and communities) </w:t>
      </w:r>
      <w:r w:rsidRPr="00F543C1">
        <w:t>to decide</w:t>
      </w:r>
      <w:r w:rsidRPr="00F543C1">
        <w:rPr>
          <w:spacing w:val="-1"/>
        </w:rPr>
        <w:t xml:space="preserve"> </w:t>
      </w:r>
      <w:r w:rsidRPr="00F543C1">
        <w:t>what</w:t>
      </w:r>
      <w:r w:rsidRPr="00F543C1">
        <w:rPr>
          <w:spacing w:val="-5"/>
        </w:rPr>
        <w:t xml:space="preserve"> </w:t>
      </w:r>
      <w:r w:rsidRPr="00F543C1">
        <w:t>they</w:t>
      </w:r>
      <w:r w:rsidRPr="00F543C1">
        <w:rPr>
          <w:spacing w:val="-3"/>
        </w:rPr>
        <w:t xml:space="preserve"> </w:t>
      </w:r>
      <w:r w:rsidRPr="00F543C1">
        <w:t>value</w:t>
      </w:r>
      <w:r w:rsidRPr="00F543C1">
        <w:rPr>
          <w:spacing w:val="-1"/>
        </w:rPr>
        <w:t xml:space="preserve"> </w:t>
      </w:r>
      <w:r w:rsidRPr="00F543C1">
        <w:t>and</w:t>
      </w:r>
      <w:r w:rsidRPr="00F543C1">
        <w:rPr>
          <w:spacing w:val="-2"/>
        </w:rPr>
        <w:t xml:space="preserve"> </w:t>
      </w:r>
      <w:r w:rsidRPr="00F543C1">
        <w:t>have reason</w:t>
      </w:r>
      <w:r w:rsidRPr="00F543C1">
        <w:rPr>
          <w:spacing w:val="-3"/>
        </w:rPr>
        <w:t xml:space="preserve"> </w:t>
      </w:r>
      <w:r w:rsidRPr="00F543C1">
        <w:t>to value.</w:t>
      </w:r>
      <w:r w:rsidRPr="00F543C1">
        <w:rPr>
          <w:spacing w:val="-3"/>
        </w:rPr>
        <w:t xml:space="preserve"> </w:t>
      </w:r>
      <w:r w:rsidRPr="00F543C1">
        <w:t>A</w:t>
      </w:r>
      <w:r w:rsidRPr="00F543C1">
        <w:rPr>
          <w:spacing w:val="-5"/>
        </w:rPr>
        <w:t xml:space="preserve"> </w:t>
      </w:r>
      <w:r w:rsidRPr="00F543C1">
        <w:t>good</w:t>
      </w:r>
      <w:r w:rsidRPr="00F543C1">
        <w:rPr>
          <w:spacing w:val="-2"/>
        </w:rPr>
        <w:t xml:space="preserve"> </w:t>
      </w:r>
      <w:r w:rsidRPr="00F543C1">
        <w:t>life</w:t>
      </w:r>
      <w:r w:rsidRPr="00F543C1">
        <w:rPr>
          <w:spacing w:val="-5"/>
        </w:rPr>
        <w:t xml:space="preserve"> </w:t>
      </w:r>
      <w:r w:rsidRPr="00F543C1">
        <w:t>is</w:t>
      </w:r>
      <w:r w:rsidRPr="00F543C1">
        <w:rPr>
          <w:spacing w:val="-2"/>
        </w:rPr>
        <w:t xml:space="preserve"> </w:t>
      </w:r>
      <w:r w:rsidRPr="00F543C1">
        <w:t>not</w:t>
      </w:r>
      <w:r w:rsidRPr="00F543C1">
        <w:rPr>
          <w:spacing w:val="-4"/>
        </w:rPr>
        <w:t xml:space="preserve"> </w:t>
      </w:r>
      <w:r w:rsidRPr="00F543C1">
        <w:t>something</w:t>
      </w:r>
      <w:r w:rsidRPr="00F543C1">
        <w:rPr>
          <w:spacing w:val="-3"/>
        </w:rPr>
        <w:t xml:space="preserve"> </w:t>
      </w:r>
      <w:r w:rsidRPr="00F543C1">
        <w:t>someone</w:t>
      </w:r>
      <w:r w:rsidRPr="00F543C1">
        <w:rPr>
          <w:spacing w:val="-4"/>
        </w:rPr>
        <w:t xml:space="preserve"> </w:t>
      </w:r>
      <w:r w:rsidRPr="00F543C1">
        <w:t>else</w:t>
      </w:r>
      <w:r w:rsidRPr="00F543C1">
        <w:rPr>
          <w:spacing w:val="-1"/>
        </w:rPr>
        <w:t xml:space="preserve"> </w:t>
      </w:r>
      <w:r w:rsidRPr="00F543C1">
        <w:t>chooses</w:t>
      </w:r>
      <w:r w:rsidRPr="00F543C1">
        <w:rPr>
          <w:spacing w:val="-2"/>
        </w:rPr>
        <w:t xml:space="preserve"> </w:t>
      </w:r>
      <w:r w:rsidRPr="00F543C1">
        <w:t>for</w:t>
      </w:r>
      <w:r w:rsidRPr="00F543C1">
        <w:rPr>
          <w:spacing w:val="-4"/>
        </w:rPr>
        <w:t xml:space="preserve"> </w:t>
      </w:r>
      <w:r w:rsidRPr="00F543C1">
        <w:t>you</w:t>
      </w:r>
      <w:r w:rsidRPr="00F543C1">
        <w:rPr>
          <w:spacing w:val="-3"/>
        </w:rPr>
        <w:t xml:space="preserve"> </w:t>
      </w:r>
      <w:r w:rsidRPr="00F543C1">
        <w:t>because</w:t>
      </w:r>
      <w:r w:rsidRPr="00F543C1">
        <w:rPr>
          <w:spacing w:val="-5"/>
        </w:rPr>
        <w:t xml:space="preserve"> </w:t>
      </w:r>
      <w:r w:rsidRPr="00F543C1">
        <w:t>they</w:t>
      </w:r>
      <w:r w:rsidRPr="00F543C1">
        <w:rPr>
          <w:spacing w:val="-3"/>
        </w:rPr>
        <w:t xml:space="preserve"> </w:t>
      </w:r>
      <w:r w:rsidRPr="00F543C1">
        <w:t>think they know what is good for you.</w:t>
      </w:r>
      <w:r w:rsidRPr="00F543C1">
        <w:rPr>
          <w:spacing w:val="-3"/>
        </w:rPr>
        <w:t xml:space="preserve"> </w:t>
      </w:r>
      <w:r w:rsidR="006174EC" w:rsidRPr="00F543C1">
        <w:rPr>
          <w:spacing w:val="-3"/>
        </w:rPr>
        <w:t xml:space="preserve">As </w:t>
      </w:r>
      <w:r w:rsidRPr="00F543C1">
        <w:t>Sen states:</w:t>
      </w:r>
    </w:p>
    <w:p w14:paraId="16149060" w14:textId="0FE67479" w:rsidR="00942B53" w:rsidRPr="00F543C1" w:rsidRDefault="0089166D" w:rsidP="00942B53">
      <w:pPr>
        <w:spacing w:before="120"/>
        <w:ind w:left="1276" w:right="425"/>
        <w:rPr>
          <w:iCs/>
          <w:color w:val="30353F"/>
        </w:rPr>
      </w:pPr>
      <w:r w:rsidRPr="00F543C1">
        <w:rPr>
          <w:i/>
          <w:color w:val="30353F"/>
        </w:rPr>
        <w:t xml:space="preserve">… people </w:t>
      </w:r>
      <w:proofErr w:type="gramStart"/>
      <w:r w:rsidRPr="00F543C1">
        <w:rPr>
          <w:i/>
          <w:color w:val="30353F"/>
        </w:rPr>
        <w:t>have to</w:t>
      </w:r>
      <w:proofErr w:type="gramEnd"/>
      <w:r w:rsidRPr="00F543C1">
        <w:rPr>
          <w:i/>
          <w:color w:val="30353F"/>
        </w:rPr>
        <w:t xml:space="preserve"> be seen… as being actively involved – given the opportunity – in shaping their own destiny, and not just as passive recipients of the fruits of cunning development plans. </w:t>
      </w:r>
      <w:r w:rsidRPr="00F543C1">
        <w:rPr>
          <w:iCs/>
          <w:color w:val="30353F" w:themeColor="text1"/>
        </w:rPr>
        <w:t>(Sen 1999, 53)</w:t>
      </w:r>
    </w:p>
    <w:p w14:paraId="170F026D" w14:textId="54C291AE" w:rsidR="00942B53" w:rsidRPr="00726346" w:rsidRDefault="00942B53" w:rsidP="00942B53">
      <w:pPr>
        <w:pStyle w:val="USBodyText"/>
      </w:pPr>
      <w:r w:rsidRPr="00F543C1">
        <w:rPr>
          <w:rStyle w:val="cf01"/>
          <w:rFonts w:ascii="Calibri" w:hAnsi="Calibri" w:cstheme="minorBidi"/>
          <w:sz w:val="22"/>
          <w:szCs w:val="22"/>
        </w:rPr>
        <w:t xml:space="preserve">That said, moving forward, further consideration of collective </w:t>
      </w:r>
      <w:r w:rsidR="00C74E89" w:rsidRPr="00F543C1">
        <w:rPr>
          <w:rStyle w:val="cf01"/>
          <w:rFonts w:ascii="Calibri" w:hAnsi="Calibri" w:cstheme="minorBidi"/>
          <w:sz w:val="22"/>
          <w:szCs w:val="22"/>
        </w:rPr>
        <w:t>decision-</w:t>
      </w:r>
      <w:r w:rsidRPr="00F543C1">
        <w:rPr>
          <w:rStyle w:val="cf01"/>
          <w:rFonts w:ascii="Calibri" w:hAnsi="Calibri" w:cstheme="minorBidi"/>
          <w:sz w:val="22"/>
          <w:szCs w:val="22"/>
        </w:rPr>
        <w:t>making within the capability approach would be prudent.</w:t>
      </w:r>
      <w:r w:rsidR="008A304F" w:rsidRPr="009006D7">
        <w:rPr>
          <w:rStyle w:val="FootnoteReference"/>
        </w:rPr>
        <w:footnoteReference w:id="17"/>
      </w:r>
    </w:p>
    <w:p w14:paraId="43702E55" w14:textId="77777777" w:rsidR="005D5D86" w:rsidRPr="00F543C1" w:rsidRDefault="005D5D86" w:rsidP="00942B53">
      <w:pPr>
        <w:pStyle w:val="Heading3"/>
      </w:pPr>
      <w:bookmarkStart w:id="16" w:name="_Toc126092076"/>
      <w:r w:rsidRPr="00F543C1">
        <w:t>Social assistance in the capability approach</w:t>
      </w:r>
      <w:bookmarkEnd w:id="16"/>
    </w:p>
    <w:p w14:paraId="7EE501FB" w14:textId="5DFE7C0F" w:rsidR="0089166D" w:rsidRDefault="0089166D" w:rsidP="0089166D">
      <w:pPr>
        <w:ind w:left="851"/>
        <w:rPr>
          <w:rFonts w:cs="Calibri"/>
        </w:rPr>
      </w:pPr>
      <w:r w:rsidRPr="00F543C1">
        <w:t xml:space="preserve">Assessed through the lens of Sen’s capability approach, the rationale behind social assistance is not just to increase </w:t>
      </w:r>
      <w:r w:rsidR="00430350" w:rsidRPr="00F543C1">
        <w:t>people's resources</w:t>
      </w:r>
      <w:r w:rsidRPr="00F543C1">
        <w:t xml:space="preserve"> but also to influence their ability to convert resources into lives they value and have reason to value. Put another way, providing resources is not the end of social policy itself but rather a means to the end of good lives</w:t>
      </w:r>
      <w:r w:rsidR="00326724">
        <w:t xml:space="preserve"> </w:t>
      </w:r>
      <w:r w:rsidR="00C50615">
        <w:fldChar w:fldCharType="begin"/>
      </w:r>
      <w:r w:rsidR="009B0EC4">
        <w:instrText xml:space="preserve"> ADDIN ZOTERO_ITEM CSL_CITATION {"citationID":"XhWwhKdV","properties":{"formattedCitation":"(Wilson and Fry 2019)","plainCitation":"(Wilson and Fry 2019)","noteIndex":0},"citationItems":[{"id":14101,"uris":["http://zotero.org/groups/4623831/items/38IJYY4G"],"itemData":{"id":14101,"type":"report","event-place":"Wellington","genre":"NZIER public discussion paper","license":"All rights reserved","number":"2019/1","publisher":"New Zealand Institute of Economic Research","publisher-place":"Wellington","title":"Kia māia: Be bold Improving the wellbeing of children living in poverty","author":[{"family":"Wilson","given":"Peter"},{"family":"Fry","given":"Julie"}],"issued":{"date-parts":[["2019"]]}}}],"schema":"https://github.com/citation-style-language/schema/raw/master/csl-citation.json"} </w:instrText>
      </w:r>
      <w:r w:rsidR="00C50615">
        <w:fldChar w:fldCharType="separate"/>
      </w:r>
      <w:r w:rsidR="007363DA" w:rsidRPr="007363DA">
        <w:rPr>
          <w:rFonts w:cs="Calibri"/>
        </w:rPr>
        <w:t>(Wilson and Fry 2019)</w:t>
      </w:r>
      <w:r w:rsidR="00C50615">
        <w:fldChar w:fldCharType="end"/>
      </w:r>
      <w:r w:rsidR="00C50615">
        <w:rPr>
          <w:rFonts w:cs="Calibri"/>
        </w:rPr>
        <w:t>.</w:t>
      </w:r>
      <w:r w:rsidR="0067283B">
        <w:rPr>
          <w:rFonts w:cs="Calibri"/>
        </w:rPr>
        <w:t xml:space="preserve"> As </w:t>
      </w:r>
      <w:proofErr w:type="spellStart"/>
      <w:r w:rsidR="0067283B" w:rsidRPr="0067283B">
        <w:rPr>
          <w:rFonts w:cs="Calibri"/>
        </w:rPr>
        <w:t>Enrica</w:t>
      </w:r>
      <w:proofErr w:type="spellEnd"/>
      <w:r w:rsidR="0067283B" w:rsidRPr="0067283B">
        <w:rPr>
          <w:rFonts w:cs="Calibri"/>
        </w:rPr>
        <w:t xml:space="preserve"> </w:t>
      </w:r>
      <w:proofErr w:type="spellStart"/>
      <w:r w:rsidR="0067283B" w:rsidRPr="0067283B">
        <w:rPr>
          <w:rFonts w:cs="Calibri"/>
        </w:rPr>
        <w:t>Chiappero</w:t>
      </w:r>
      <w:proofErr w:type="spellEnd"/>
      <w:r w:rsidR="0067283B">
        <w:rPr>
          <w:rFonts w:cs="Calibri"/>
        </w:rPr>
        <w:t xml:space="preserve"> Martinetti </w:t>
      </w:r>
      <w:r w:rsidR="009B40C9">
        <w:rPr>
          <w:rFonts w:cs="Calibri"/>
        </w:rPr>
        <w:t>notes:</w:t>
      </w:r>
    </w:p>
    <w:p w14:paraId="57725FAD" w14:textId="179B4B13" w:rsidR="00056B08" w:rsidRDefault="00056B08" w:rsidP="00056B08">
      <w:pPr>
        <w:pStyle w:val="Quotation"/>
      </w:pPr>
      <w:r>
        <w:t xml:space="preserve">Income and consumption are only rough measures of the quality of life because they are not able to fully describe what people can really achieve with these resources, because they can hide strong differences and inequalities among people. </w:t>
      </w:r>
      <w:r w:rsidRPr="00E06C9E">
        <w:rPr>
          <w:i w:val="0"/>
          <w:iCs/>
        </w:rPr>
        <w:fldChar w:fldCharType="begin"/>
      </w:r>
      <w:r w:rsidR="009B0EC4">
        <w:rPr>
          <w:i w:val="0"/>
          <w:iCs/>
        </w:rPr>
        <w:instrText xml:space="preserve"> ADDIN ZOTERO_ITEM CSL_CITATION {"citationID":"bCrpMbbC","properties":{"formattedCitation":"(Chiappero Martinetti 2000, 207)","plainCitation":"(Chiappero Martinetti 2000, 207)","noteIndex":0},"citationItems":[{"id":46,"uris":["http://zotero.org/users/4659042/items/E6PMCIKV"],"itemData":{"id":46,"type":"article-journal","container-title":"Rivista Internazionale di Scienze Sociali","page":"207-239","title":"A Multidimensional Assessment of Well-Being Based on Sen’s Functioning Approach","volume":"2","author":[{"family":"Chiappero Martinetti","given":"Enrica"}],"issued":{"date-parts":[["2000"]]}},"locator":"207","label":"page"}],"schema":"https://github.com/citation-style-language/schema/raw/master/csl-citation.json"} </w:instrText>
      </w:r>
      <w:r w:rsidRPr="00E06C9E">
        <w:rPr>
          <w:i w:val="0"/>
          <w:iCs/>
        </w:rPr>
        <w:fldChar w:fldCharType="separate"/>
      </w:r>
      <w:r w:rsidRPr="00E06C9E">
        <w:rPr>
          <w:rFonts w:cs="Calibri"/>
          <w:i w:val="0"/>
          <w:iCs/>
        </w:rPr>
        <w:t>(Chiappero Martinetti 2000, 207)</w:t>
      </w:r>
      <w:r w:rsidRPr="00E06C9E">
        <w:rPr>
          <w:i w:val="0"/>
          <w:iCs/>
        </w:rPr>
        <w:fldChar w:fldCharType="end"/>
      </w:r>
      <w:r w:rsidRPr="009006D7">
        <w:rPr>
          <w:rStyle w:val="FootnoteReference"/>
        </w:rPr>
        <w:footnoteReference w:id="18"/>
      </w:r>
    </w:p>
    <w:p w14:paraId="23D5EE0C" w14:textId="18E53A95" w:rsidR="00287B2C" w:rsidRPr="00F543C1" w:rsidRDefault="0089166D" w:rsidP="00370CF2">
      <w:pPr>
        <w:pStyle w:val="USBodyText"/>
      </w:pPr>
      <w:r w:rsidRPr="00F543C1">
        <w:lastRenderedPageBreak/>
        <w:t xml:space="preserve">The capability approach therefore distinguishes between things that are </w:t>
      </w:r>
      <w:r w:rsidRPr="00F543C1">
        <w:rPr>
          <w:i/>
          <w:iCs/>
        </w:rPr>
        <w:t>instrumental</w:t>
      </w:r>
      <w:r w:rsidRPr="00F543C1">
        <w:t xml:space="preserve"> to a better life – things that people can use to lead lives</w:t>
      </w:r>
      <w:r w:rsidR="007E64E4" w:rsidRPr="00F543C1">
        <w:t xml:space="preserve"> </w:t>
      </w:r>
      <w:r w:rsidRPr="00F543C1">
        <w:t xml:space="preserve">they value – and things that are </w:t>
      </w:r>
      <w:r w:rsidRPr="00F543C1">
        <w:rPr>
          <w:i/>
          <w:iCs/>
        </w:rPr>
        <w:t>intrinsically</w:t>
      </w:r>
      <w:r w:rsidRPr="00F543C1">
        <w:t xml:space="preserve"> valuable – things that </w:t>
      </w:r>
      <w:proofErr w:type="gramStart"/>
      <w:r w:rsidRPr="00F543C1">
        <w:t>in their own right result</w:t>
      </w:r>
      <w:proofErr w:type="gramEnd"/>
      <w:r w:rsidRPr="00F543C1">
        <w:t xml:space="preserve"> in an improvement in wellbeing. Income is an instrument </w:t>
      </w:r>
      <w:r w:rsidR="00EF68AB" w:rsidRPr="00F543C1">
        <w:t xml:space="preserve">of </w:t>
      </w:r>
      <w:r w:rsidRPr="00F543C1">
        <w:t>wellbeing</w:t>
      </w:r>
      <w:r w:rsidR="00763DA8">
        <w:t>:</w:t>
      </w:r>
      <w:r w:rsidRPr="00F543C1">
        <w:t xml:space="preserve"> </w:t>
      </w:r>
    </w:p>
    <w:p w14:paraId="72A0EBBB" w14:textId="778DAA7B" w:rsidR="00C11E94" w:rsidRPr="00726346" w:rsidRDefault="00287B2C" w:rsidP="00287B2C">
      <w:pPr>
        <w:pStyle w:val="Quotation"/>
      </w:pPr>
      <w:r w:rsidRPr="00F543C1">
        <w:t xml:space="preserve">To be free from mistrust, to be spared from the frustrations and paranoia that corruption induces, to live without the misery of discrimination and arbitrary domination, to enjoy institutional integrity and transparency, to feel like one belongs and has standing in a community – these are all forms of direct value that accrue to people and improve their personal wellbeing. </w:t>
      </w:r>
      <w:r w:rsidR="00C11E94" w:rsidRPr="00347879">
        <w:rPr>
          <w:i w:val="0"/>
          <w:iCs/>
        </w:rPr>
        <w:fldChar w:fldCharType="begin"/>
      </w:r>
      <w:r w:rsidR="009B0EC4">
        <w:rPr>
          <w:i w:val="0"/>
          <w:iCs/>
        </w:rPr>
        <w:instrText xml:space="preserve"> ADDIN ZOTERO_ITEM CSL_CITATION {"citationID":"DZ8lFb49","properties":{"formattedCitation":"(Hall 2019, 42)","plainCitation":"(Hall 2019, 42)","noteIndex":0},"citationItems":[{"id":14146,"uris":["http://zotero.org/groups/4623831/items/G4QG47E3"],"itemData":{"id":14146,"type":"article-journal","container-title":"Policy Quarterly","issue":"1","title":"New Zealand’s Living Standards Framework: what might Amartya Sen say?","volume":"15","author":[{"family":"Hall","given":"David"}],"issued":{"date-parts":[["2019"]]}},"locator":"42","label":"page"}],"schema":"https://github.com/citation-style-language/schema/raw/master/csl-citation.json"} </w:instrText>
      </w:r>
      <w:r w:rsidR="00C11E94" w:rsidRPr="00347879">
        <w:rPr>
          <w:i w:val="0"/>
          <w:iCs/>
        </w:rPr>
        <w:fldChar w:fldCharType="separate"/>
      </w:r>
      <w:r w:rsidR="00C11E94" w:rsidRPr="00347879">
        <w:rPr>
          <w:rFonts w:cs="Calibri"/>
          <w:i w:val="0"/>
          <w:iCs/>
        </w:rPr>
        <w:t>(Hall 2019, 42)</w:t>
      </w:r>
      <w:r w:rsidR="00C11E94" w:rsidRPr="00347879">
        <w:rPr>
          <w:i w:val="0"/>
          <w:iCs/>
        </w:rPr>
        <w:fldChar w:fldCharType="end"/>
      </w:r>
    </w:p>
    <w:p w14:paraId="12E1C0FD" w14:textId="79E8048D" w:rsidR="00287B2C" w:rsidRPr="00F543C1" w:rsidRDefault="0089166D" w:rsidP="0089166D">
      <w:pPr>
        <w:ind w:left="851"/>
      </w:pPr>
      <w:r w:rsidRPr="00F543C1">
        <w:t>Intrinsic value may depend on context: generally speaking, in Anglo-Saxon cultures, individual autonomy and agency are viewed as intrinsically valuable; for Māori, so is</w:t>
      </w:r>
      <w:r w:rsidR="00EF68AB" w:rsidRPr="00F543C1">
        <w:t xml:space="preserve"> </w:t>
      </w:r>
      <w:r w:rsidRPr="00F543C1">
        <w:t>connection to whakapapa.</w:t>
      </w:r>
      <w:r w:rsidRPr="009006D7">
        <w:rPr>
          <w:rStyle w:val="FootnoteReference"/>
        </w:rPr>
        <w:footnoteReference w:id="19"/>
      </w:r>
      <w:r w:rsidRPr="00726346">
        <w:t xml:space="preserve"> </w:t>
      </w:r>
    </w:p>
    <w:p w14:paraId="666298C1" w14:textId="2094068D" w:rsidR="0005693D" w:rsidRPr="00F543C1" w:rsidRDefault="004D694C" w:rsidP="0089166D">
      <w:pPr>
        <w:ind w:left="851"/>
      </w:pPr>
      <w:r w:rsidRPr="00F543C1">
        <w:t>In Sen’s framework, p</w:t>
      </w:r>
      <w:r w:rsidR="0089166D" w:rsidRPr="00F543C1">
        <w:t>ersistent disadvantage can be understood as persistently not having the freedom to lead an intrinsically valued life.</w:t>
      </w:r>
      <w:r w:rsidR="006D260F" w:rsidRPr="009006D7">
        <w:rPr>
          <w:rStyle w:val="FootnoteReference"/>
        </w:rPr>
        <w:footnoteReference w:id="20"/>
      </w:r>
      <w:r w:rsidRPr="00726346">
        <w:t xml:space="preserve"> </w:t>
      </w:r>
      <w:r w:rsidR="00256A00" w:rsidRPr="00F543C1">
        <w:t xml:space="preserve">In more common parlance, we might think of people experiencing disadvantage as facing </w:t>
      </w:r>
      <w:r w:rsidR="00E7311F" w:rsidRPr="00F543C1">
        <w:t xml:space="preserve">persistent </w:t>
      </w:r>
      <w:r w:rsidR="00256A00" w:rsidRPr="00F543C1">
        <w:t xml:space="preserve">constraints. These could </w:t>
      </w:r>
      <w:r w:rsidR="002D2E63" w:rsidRPr="00F543C1">
        <w:t xml:space="preserve">range from </w:t>
      </w:r>
      <w:r w:rsidR="00062531" w:rsidRPr="00F543C1">
        <w:t xml:space="preserve">the effects of </w:t>
      </w:r>
      <w:r w:rsidR="001607C0" w:rsidRPr="00F543C1">
        <w:t xml:space="preserve">abuse and neglect on their aspirations to </w:t>
      </w:r>
      <w:r w:rsidR="00256A00" w:rsidRPr="00F543C1">
        <w:t>lack</w:t>
      </w:r>
      <w:r w:rsidR="00E7311F" w:rsidRPr="00F543C1">
        <w:t xml:space="preserve">ing </w:t>
      </w:r>
      <w:r w:rsidR="00256A00" w:rsidRPr="00F543C1">
        <w:t xml:space="preserve">access to the resources and capabilities needed to build </w:t>
      </w:r>
      <w:r w:rsidR="002723ED" w:rsidRPr="00F543C1">
        <w:t>a live they value</w:t>
      </w:r>
      <w:r w:rsidR="00256A00" w:rsidRPr="00F543C1">
        <w:t>.</w:t>
      </w:r>
    </w:p>
    <w:p w14:paraId="39412B42" w14:textId="1399230E" w:rsidR="00147293" w:rsidRDefault="00147293" w:rsidP="00BC557E">
      <w:pPr>
        <w:pStyle w:val="Heading2"/>
      </w:pPr>
      <w:bookmarkStart w:id="17" w:name="_Toc126092077"/>
      <w:bookmarkStart w:id="18" w:name="_Ref126238773"/>
      <w:bookmarkStart w:id="19" w:name="_Toc126841193"/>
      <w:r>
        <w:t xml:space="preserve">The </w:t>
      </w:r>
      <w:r w:rsidR="0098788E">
        <w:t xml:space="preserve">elusive </w:t>
      </w:r>
      <w:r>
        <w:t xml:space="preserve">quest for </w:t>
      </w:r>
      <w:r w:rsidR="00304F1B">
        <w:t xml:space="preserve">better </w:t>
      </w:r>
      <w:r>
        <w:t>outcomes</w:t>
      </w:r>
      <w:bookmarkEnd w:id="17"/>
      <w:bookmarkEnd w:id="18"/>
      <w:bookmarkEnd w:id="19"/>
    </w:p>
    <w:p w14:paraId="654502C3" w14:textId="128D0A80" w:rsidR="004E0AA0" w:rsidRDefault="00BF2CFF" w:rsidP="00147293">
      <w:pPr>
        <w:pStyle w:val="USBodyText"/>
      </w:pPr>
      <w:bookmarkStart w:id="20" w:name="_Hlk125883061"/>
      <w:r>
        <w:t xml:space="preserve">While </w:t>
      </w:r>
      <w:r w:rsidR="000758E7">
        <w:t>‘</w:t>
      </w:r>
      <w:r>
        <w:t>better outcomes</w:t>
      </w:r>
      <w:r w:rsidR="006213DD">
        <w:t>’</w:t>
      </w:r>
      <w:r>
        <w:t xml:space="preserve"> is often the goal of policy, one </w:t>
      </w:r>
      <w:r w:rsidR="00327A58">
        <w:t>persistent difficulty</w:t>
      </w:r>
      <w:r>
        <w:t xml:space="preserve"> is th</w:t>
      </w:r>
      <w:r w:rsidR="00754B80">
        <w:t xml:space="preserve">e need to </w:t>
      </w:r>
      <w:r w:rsidR="00C55D92">
        <w:t>define</w:t>
      </w:r>
      <w:r w:rsidR="00754B80">
        <w:t xml:space="preserve"> </w:t>
      </w:r>
      <w:r w:rsidR="00215A01">
        <w:t>w</w:t>
      </w:r>
      <w:r w:rsidR="004E5351">
        <w:t xml:space="preserve">hat </w:t>
      </w:r>
      <w:r w:rsidR="0089605F">
        <w:t>‘</w:t>
      </w:r>
      <w:r w:rsidR="007549DF">
        <w:t>outcomes</w:t>
      </w:r>
      <w:r w:rsidR="0089605F">
        <w:t>’</w:t>
      </w:r>
      <w:r w:rsidR="007549DF">
        <w:t xml:space="preserve"> </w:t>
      </w:r>
      <w:r w:rsidR="004E5351">
        <w:t xml:space="preserve">means in practice. </w:t>
      </w:r>
      <w:r w:rsidR="00E778D9">
        <w:t xml:space="preserve">The term </w:t>
      </w:r>
      <w:r w:rsidR="00757A59">
        <w:t>‘outcomes’ has many meanings in the literature</w:t>
      </w:r>
      <w:r w:rsidR="008F5338">
        <w:t xml:space="preserve">. </w:t>
      </w:r>
      <w:r w:rsidR="008A2394">
        <w:t>So</w:t>
      </w:r>
      <w:r w:rsidR="006304CC">
        <w:t>me</w:t>
      </w:r>
      <w:r w:rsidR="008A2394">
        <w:t xml:space="preserve"> authors, </w:t>
      </w:r>
      <w:r w:rsidR="006304CC">
        <w:t xml:space="preserve">for example, </w:t>
      </w:r>
      <w:r w:rsidR="00145F65">
        <w:t>distinguish</w:t>
      </w:r>
      <w:r w:rsidR="006304CC">
        <w:t xml:space="preserve"> between </w:t>
      </w:r>
      <w:r w:rsidR="001E36A8">
        <w:t>‘outcomes’ and ‘impacts’, with outcomes meaning the immediate effect of an activity</w:t>
      </w:r>
      <w:r w:rsidR="00321C47">
        <w:t xml:space="preserve"> or output</w:t>
      </w:r>
      <w:r w:rsidR="001E36A8">
        <w:t>, w</w:t>
      </w:r>
      <w:r w:rsidR="0089605F">
        <w:t>hile</w:t>
      </w:r>
      <w:r w:rsidR="001E36A8">
        <w:t xml:space="preserve"> ‘impacts’ have a wider, often longer-term meaning</w:t>
      </w:r>
      <w:r w:rsidR="004E0AA0">
        <w:t>.</w:t>
      </w:r>
    </w:p>
    <w:p w14:paraId="3CC7CB2A" w14:textId="0ADACBF3" w:rsidR="00BA7DC8" w:rsidRDefault="004E0AA0" w:rsidP="00147293">
      <w:pPr>
        <w:pStyle w:val="USBodyText"/>
      </w:pPr>
      <w:r>
        <w:t>For example, th</w:t>
      </w:r>
      <w:r w:rsidR="00A24D68">
        <w:t xml:space="preserve">e UK Council for </w:t>
      </w:r>
      <w:r w:rsidR="00BA7DC8">
        <w:t>Disabled</w:t>
      </w:r>
      <w:r w:rsidR="00A24D68">
        <w:t xml:space="preserve"> Children </w:t>
      </w:r>
      <w:r w:rsidR="00BA7DC8">
        <w:t>states:</w:t>
      </w:r>
    </w:p>
    <w:p w14:paraId="183A8963" w14:textId="77777777" w:rsidR="00541429" w:rsidRDefault="00BA7DC8" w:rsidP="003839D1">
      <w:pPr>
        <w:pStyle w:val="Quotation"/>
      </w:pPr>
      <w:r>
        <w:t xml:space="preserve">All outcomes answer the question ‘so what?’ What difference have our actions and interventions (outputs) made in the lives of children, young </w:t>
      </w:r>
      <w:proofErr w:type="gramStart"/>
      <w:r>
        <w:t>people</w:t>
      </w:r>
      <w:proofErr w:type="gramEnd"/>
      <w:r>
        <w:t xml:space="preserve"> and families?</w:t>
      </w:r>
    </w:p>
    <w:p w14:paraId="49F06368" w14:textId="42BAED9D" w:rsidR="00BA7DC8" w:rsidRDefault="003839D1" w:rsidP="00FF1034">
      <w:pPr>
        <w:pStyle w:val="Quotation"/>
      </w:pPr>
      <w:r>
        <w:t>...</w:t>
      </w:r>
    </w:p>
    <w:p w14:paraId="1FE5C0F8" w14:textId="5DF66799" w:rsidR="003839D1" w:rsidRDefault="003839D1" w:rsidP="0089605F">
      <w:pPr>
        <w:pStyle w:val="Quotation"/>
      </w:pPr>
      <w:r>
        <w:t>Impact can be thought of as what difference this output (activity or action) has made to professionals or the system, where outcomes are what difference this output (activity or action) has made to children, young people and families.</w:t>
      </w:r>
      <w:r w:rsidR="0089605F" w:rsidRPr="00FF1034">
        <w:rPr>
          <w:i w:val="0"/>
          <w:iCs/>
        </w:rPr>
        <w:t xml:space="preserve"> </w:t>
      </w:r>
      <w:r w:rsidR="00E750EC" w:rsidRPr="00FF1034">
        <w:rPr>
          <w:i w:val="0"/>
          <w:iCs/>
        </w:rPr>
        <w:fldChar w:fldCharType="begin"/>
      </w:r>
      <w:r w:rsidR="009B0EC4">
        <w:rPr>
          <w:i w:val="0"/>
          <w:iCs/>
        </w:rPr>
        <w:instrText xml:space="preserve"> ADDIN ZOTERO_ITEM CSL_CITATION {"citationID":"Sz4QCotp","properties":{"formattedCitation":"(Council for Disabled Children 2021, 2)","plainCitation":"(Council for Disabled Children 2021, 2)","noteIndex":0},"citationItems":[{"id":18668,"uris":["http://zotero.org/groups/4801058/items/6XHJZCB8"],"itemData":{"id":18668,"type":"report","event-place":"London","publisher":"Council for Disabled Children","publisher-place":"London","title":"Outcomes, outputs and impact What is the difference?","author":[{"family":"Council for Disabled Children","given":""}],"issued":{"date-parts":[["2021"]]}},"locator":"2","label":"page"}],"schema":"https://github.com/citation-style-language/schema/raw/master/csl-citation.json"} </w:instrText>
      </w:r>
      <w:r w:rsidR="00E750EC" w:rsidRPr="00FF1034">
        <w:rPr>
          <w:i w:val="0"/>
          <w:iCs/>
        </w:rPr>
        <w:fldChar w:fldCharType="separate"/>
      </w:r>
      <w:r w:rsidR="00114681" w:rsidRPr="00114681">
        <w:rPr>
          <w:rFonts w:cs="Calibri"/>
        </w:rPr>
        <w:t>(Council for Disabled Children 2021, 2)</w:t>
      </w:r>
      <w:r w:rsidR="00E750EC" w:rsidRPr="00FF1034">
        <w:rPr>
          <w:i w:val="0"/>
          <w:iCs/>
        </w:rPr>
        <w:fldChar w:fldCharType="end"/>
      </w:r>
    </w:p>
    <w:p w14:paraId="448FC862" w14:textId="77777777" w:rsidR="00393CD3" w:rsidRDefault="00393CD3" w:rsidP="000B248A">
      <w:pPr>
        <w:pStyle w:val="USBodyText"/>
      </w:pPr>
      <w:r>
        <w:t xml:space="preserve">Outcomes can be both intended and unintended. Intended outcomes are sometimes known as goals. Outcomes are normally measured against a counterfactual: what would have happened without the intervention. Thus, the method of assessment is ‘with and without’, not ‘before and after’. </w:t>
      </w:r>
    </w:p>
    <w:p w14:paraId="4B26D854" w14:textId="020250A6" w:rsidR="000B248A" w:rsidRDefault="000B248A" w:rsidP="000B248A">
      <w:pPr>
        <w:pStyle w:val="USBodyText"/>
      </w:pPr>
      <w:r>
        <w:lastRenderedPageBreak/>
        <w:t xml:space="preserve">Another taxonomy </w:t>
      </w:r>
      <w:r w:rsidR="009C3DE8">
        <w:t xml:space="preserve">in relation to the result of interventions </w:t>
      </w:r>
      <w:r>
        <w:t xml:space="preserve">is to distinguish between an immediate effect, a </w:t>
      </w:r>
      <w:r w:rsidR="00085BEE">
        <w:t>long-term</w:t>
      </w:r>
      <w:r>
        <w:t xml:space="preserve"> change in wellbeing attributed to the intervention and longer- term change</w:t>
      </w:r>
      <w:r w:rsidR="00085BEE">
        <w:t>s</w:t>
      </w:r>
      <w:r>
        <w:t xml:space="preserve"> in a </w:t>
      </w:r>
      <w:r w:rsidR="00810762" w:rsidRPr="00FF1034">
        <w:t>social indicator</w:t>
      </w:r>
      <w:r w:rsidR="009C3DE8" w:rsidRPr="00FF1034">
        <w:t xml:space="preserve"> </w:t>
      </w:r>
      <w:r w:rsidR="00DC4E10" w:rsidRPr="00FF1034">
        <w:t>(like the percentage of people experiencing low incomes)</w:t>
      </w:r>
      <w:r w:rsidR="00972380" w:rsidRPr="00FF1034">
        <w:t>.</w:t>
      </w:r>
      <w:r w:rsidR="00810762" w:rsidRPr="009006D7">
        <w:rPr>
          <w:rStyle w:val="FootnoteReference"/>
        </w:rPr>
        <w:footnoteReference w:id="21"/>
      </w:r>
      <w:r w:rsidR="00666BBA">
        <w:rPr>
          <w:rFonts w:ascii="Arial" w:hAnsi="Arial" w:cs="Arial"/>
          <w:color w:val="000000"/>
          <w:sz w:val="20"/>
          <w:szCs w:val="20"/>
          <w:shd w:val="clear" w:color="auto" w:fill="FFFFFF"/>
        </w:rPr>
        <w:t xml:space="preserve"> </w:t>
      </w:r>
      <w:r w:rsidR="00666BBA">
        <w:t xml:space="preserve">Changes in long-term indicators </w:t>
      </w:r>
      <w:r w:rsidR="00972380">
        <w:t xml:space="preserve">are </w:t>
      </w:r>
      <w:r w:rsidR="00666BBA">
        <w:t xml:space="preserve">the result of many factors – so targets based on </w:t>
      </w:r>
      <w:r w:rsidR="00DC4E10">
        <w:t>such</w:t>
      </w:r>
      <w:r w:rsidR="00666BBA">
        <w:t xml:space="preserve"> indicators are very </w:t>
      </w:r>
      <w:r w:rsidR="00CF1415">
        <w:t>difficult</w:t>
      </w:r>
      <w:r w:rsidR="00DC4E10">
        <w:t xml:space="preserve"> </w:t>
      </w:r>
      <w:r w:rsidR="00972380">
        <w:t xml:space="preserve">to evaluate </w:t>
      </w:r>
      <w:r w:rsidR="00DC4E10">
        <w:t>in practice, e</w:t>
      </w:r>
      <w:r w:rsidR="00CF1415">
        <w:t xml:space="preserve">specially </w:t>
      </w:r>
      <w:r w:rsidR="00666BBA">
        <w:t>if causal mechanism are not well understood or widely contested.</w:t>
      </w:r>
    </w:p>
    <w:p w14:paraId="4231ECB4" w14:textId="5DEC13E9" w:rsidR="00222948" w:rsidRDefault="000758DF" w:rsidP="00147293">
      <w:pPr>
        <w:pStyle w:val="USBodyText"/>
      </w:pPr>
      <w:r>
        <w:t xml:space="preserve">In this paper, we are using ‘outcomes’ to mean the results of government interventions </w:t>
      </w:r>
      <w:r>
        <w:fldChar w:fldCharType="begin"/>
      </w:r>
      <w:r w:rsidR="009B0EC4">
        <w:instrText xml:space="preserve"> ADDIN ZOTERO_ITEM CSL_CITATION {"citationID":"KKLvhwut","properties":{"formattedCitation":"(Ussher and Kibblewhite 2001)","plainCitation":"(Ussher and Kibblewhite 2001)","noteIndex":0},"citationItems":[{"id":18572,"uris":["http://zotero.org/groups/4801058/items/KARNSY7N"],"itemData":{"id":18572,"type":"report","abstract":"This paper outlines the environment for outcomes focussed management in New Zealand and discusses some innovative examples of the use of outcomes in public management.","genre":"Treasury Working Paper","language":"en","number":"01/05","publisher":"The Treasury","title":"Outcomes Focussed Management in New Zealand - A Background Paper","URL":"https://www.treasury.govt.nz/publications/wp/outcomes-focussed-management-new-zealand-background-paper-wp-01-05-html","author":[{"family":"Ussher","given":"Chris"},{"family":"Kibblewhite","given":"Andrew"}],"accessed":{"date-parts":[["2023",1,23]]},"issued":{"date-parts":[["2001"]]}}}],"schema":"https://github.com/citation-style-language/schema/raw/master/csl-citation.json"} </w:instrText>
      </w:r>
      <w:r>
        <w:fldChar w:fldCharType="separate"/>
      </w:r>
      <w:r w:rsidRPr="00712B81">
        <w:rPr>
          <w:rFonts w:cs="Calibri"/>
        </w:rPr>
        <w:t>(Ussher and Kibblewhite 2001)</w:t>
      </w:r>
      <w:r>
        <w:fldChar w:fldCharType="end"/>
      </w:r>
      <w:r>
        <w:t xml:space="preserve">. That is, we are concerned with how society or a part of it has changed </w:t>
      </w:r>
      <w:proofErr w:type="gramStart"/>
      <w:r>
        <w:t>as a result of</w:t>
      </w:r>
      <w:proofErr w:type="gramEnd"/>
      <w:r>
        <w:t xml:space="preserve"> a government activity. </w:t>
      </w:r>
      <w:r w:rsidR="00C7607C">
        <w:t xml:space="preserve">We are interested in both short-term </w:t>
      </w:r>
      <w:r w:rsidR="004D6715">
        <w:t>e</w:t>
      </w:r>
      <w:r w:rsidR="00C7607C">
        <w:t>ffects and longer-term changes to society.</w:t>
      </w:r>
    </w:p>
    <w:p w14:paraId="424892CA" w14:textId="71416740" w:rsidR="00F4358B" w:rsidRDefault="00F4358B" w:rsidP="00147293">
      <w:pPr>
        <w:pStyle w:val="USBodyText"/>
      </w:pPr>
      <w:r>
        <w:t xml:space="preserve">We are specifically </w:t>
      </w:r>
      <w:r w:rsidR="00D831C6">
        <w:t>examining how</w:t>
      </w:r>
      <w:r w:rsidR="00AD02B0">
        <w:t xml:space="preserve"> government interventions can improve</w:t>
      </w:r>
      <w:r w:rsidR="00D831C6">
        <w:t xml:space="preserve"> the lives of people experiencing persistent disadvantage</w:t>
      </w:r>
      <w:r w:rsidR="00AD02B0">
        <w:t xml:space="preserve">. </w:t>
      </w:r>
      <w:r w:rsidR="00223022">
        <w:t>Applying t</w:t>
      </w:r>
      <w:r w:rsidR="00AD02B0">
        <w:t xml:space="preserve">he capability approach gives us </w:t>
      </w:r>
      <w:r w:rsidR="00223022">
        <w:t xml:space="preserve">the information needed to judge whether </w:t>
      </w:r>
      <w:r w:rsidR="00E167CC">
        <w:t>that has happened (have substantive freedoms increased</w:t>
      </w:r>
      <w:r w:rsidR="0007459B">
        <w:t>?</w:t>
      </w:r>
      <w:r w:rsidR="00E167CC">
        <w:t>)</w:t>
      </w:r>
      <w:r w:rsidR="001B1FB0" w:rsidRPr="009006D7">
        <w:rPr>
          <w:rStyle w:val="FootnoteReference"/>
        </w:rPr>
        <w:footnoteReference w:id="22"/>
      </w:r>
    </w:p>
    <w:p w14:paraId="6A80E3D6" w14:textId="150F663F" w:rsidR="001D11C8" w:rsidRDefault="000758DF" w:rsidP="00147293">
      <w:pPr>
        <w:pStyle w:val="USBodyText"/>
      </w:pPr>
      <w:r>
        <w:t>We freely acknowledge that creating specific and measurable policy outcomes is far from an exact science.</w:t>
      </w:r>
    </w:p>
    <w:bookmarkEnd w:id="20"/>
    <w:p w14:paraId="0E93EF53" w14:textId="77777777" w:rsidR="005A3170" w:rsidRPr="00F543C1" w:rsidRDefault="005A3170" w:rsidP="005A3170">
      <w:pPr>
        <w:ind w:left="851"/>
      </w:pPr>
      <w:r w:rsidRPr="00F543C1">
        <w:t>As the Parliamentary Commissioner for the Environment, speaking in a different context, recently said:</w:t>
      </w:r>
    </w:p>
    <w:p w14:paraId="5C50F13B" w14:textId="405F95D0" w:rsidR="005A3170" w:rsidRPr="00F543C1" w:rsidRDefault="005A3170" w:rsidP="005A3170">
      <w:pPr>
        <w:spacing w:before="120"/>
        <w:ind w:left="1276" w:right="425"/>
        <w:rPr>
          <w:iCs/>
          <w:color w:val="30353F"/>
        </w:rPr>
      </w:pPr>
      <w:r w:rsidRPr="00F543C1">
        <w:rPr>
          <w:i/>
          <w:color w:val="30353F"/>
        </w:rPr>
        <w:t>[S]</w:t>
      </w:r>
      <w:proofErr w:type="spellStart"/>
      <w:r w:rsidRPr="00F543C1">
        <w:rPr>
          <w:i/>
          <w:color w:val="30353F"/>
        </w:rPr>
        <w:t>etting</w:t>
      </w:r>
      <w:proofErr w:type="spellEnd"/>
      <w:r w:rsidRPr="00F543C1">
        <w:rPr>
          <w:i/>
          <w:color w:val="30353F"/>
        </w:rPr>
        <w:t xml:space="preserve"> an aspirational goal without knowing how you will get there is risky. We are very good at aspirational goals. Net zero by 2050, predator free by 2050. Getting there is about hard work, consistent evaluation of that work and being as candid about what doesn’t work as the things that do. </w:t>
      </w:r>
      <w:r w:rsidRPr="00F543C1">
        <w:rPr>
          <w:iCs/>
          <w:color w:val="30353F"/>
        </w:rPr>
        <w:fldChar w:fldCharType="begin"/>
      </w:r>
      <w:r w:rsidR="009B0EC4">
        <w:rPr>
          <w:iCs/>
          <w:color w:val="30353F"/>
        </w:rPr>
        <w:instrText xml:space="preserve"> ADDIN ZOTERO_ITEM CSL_CITATION {"citationID":"WvF2SQTJ","properties":{"formattedCitation":"(Upton 2022a, 3)","plainCitation":"(Upton 2022a, 3)","noteIndex":0},"citationItems":[{"id":18445,"uris":["http://zotero.org/groups/4801058/items/EX9FK5F7"],"itemData":{"id":18445,"type":"speech","event-place":"Wellingon","event-title":"Governing for the Future: The Futures of Democracy, Law, and Government Symposium, Banquet Hall, Parliament Buildings, 13 October 2022","publisher-place":"Wellingon","title":"Governing an unimaginable future","URL":"Governing for the Future: The Futures of Democracy, Law, and Government Symposium, Banquet Hall, Parliament Buildings, 13 October 2022","author":[{"family":"Upton","given":"Simon"}],"issued":{"date-parts":[["2022"]]}},"locator":"3","label":"page"}],"schema":"https://github.com/citation-style-language/schema/raw/master/csl-citation.json"} </w:instrText>
      </w:r>
      <w:r w:rsidRPr="00F543C1">
        <w:rPr>
          <w:iCs/>
          <w:color w:val="30353F"/>
        </w:rPr>
        <w:fldChar w:fldCharType="separate"/>
      </w:r>
      <w:r w:rsidRPr="00F543C1">
        <w:rPr>
          <w:rFonts w:cs="Calibri"/>
          <w:iCs/>
          <w:color w:val="30353F"/>
        </w:rPr>
        <w:t>(Upton 2022a, 3)</w:t>
      </w:r>
      <w:r w:rsidRPr="00F543C1">
        <w:rPr>
          <w:iCs/>
          <w:color w:val="30353F"/>
        </w:rPr>
        <w:fldChar w:fldCharType="end"/>
      </w:r>
    </w:p>
    <w:p w14:paraId="369783F0" w14:textId="4C26D0C8" w:rsidR="005A3170" w:rsidRDefault="00BC1C58" w:rsidP="00147293">
      <w:pPr>
        <w:pStyle w:val="USBodyText"/>
      </w:pPr>
      <w:r>
        <w:t xml:space="preserve">Even if it is possible to specify desired outcomes clearly, an </w:t>
      </w:r>
      <w:r w:rsidR="00F456DC" w:rsidRPr="00D07DBF">
        <w:t>e</w:t>
      </w:r>
      <w:r w:rsidRPr="00D07DBF">
        <w:t>nduring challenge</w:t>
      </w:r>
      <w:r>
        <w:t xml:space="preserve"> in developing accountability regimes </w:t>
      </w:r>
      <w:r w:rsidR="00F456DC">
        <w:t xml:space="preserve">to address social </w:t>
      </w:r>
      <w:r w:rsidR="006213DD">
        <w:t xml:space="preserve">assistance </w:t>
      </w:r>
      <w:r w:rsidR="00F456DC">
        <w:t xml:space="preserve">is how to assign responsibility for failing to </w:t>
      </w:r>
      <w:r w:rsidR="00F456DC" w:rsidRPr="00347879">
        <w:rPr>
          <w:b/>
          <w:bCs/>
        </w:rPr>
        <w:t>reach</w:t>
      </w:r>
      <w:r w:rsidR="00F456DC">
        <w:t xml:space="preserve"> a goal. Tak</w:t>
      </w:r>
      <w:r w:rsidR="00BF2830">
        <w:t>e</w:t>
      </w:r>
      <w:r w:rsidR="00F456DC">
        <w:t xml:space="preserve"> the example of education. If the goal is to lift </w:t>
      </w:r>
      <w:r w:rsidR="006548E3">
        <w:t xml:space="preserve">reading performance in a group of students and some students in a </w:t>
      </w:r>
      <w:r w:rsidR="00BF2830">
        <w:t>c</w:t>
      </w:r>
      <w:r w:rsidR="006548E3">
        <w:t xml:space="preserve">lass do not reach the desired improvement in the desired timeframe, </w:t>
      </w:r>
      <w:r w:rsidR="000C32ED">
        <w:t>determining</w:t>
      </w:r>
      <w:r w:rsidR="00BF59FB">
        <w:t xml:space="preserve"> why the goal might not have been reached is a complex task. The immediately obvious </w:t>
      </w:r>
      <w:r w:rsidR="0080258A">
        <w:t xml:space="preserve">response might be to blame the school and the </w:t>
      </w:r>
      <w:r w:rsidR="006548E3">
        <w:t>teacher</w:t>
      </w:r>
      <w:r w:rsidR="00BF59FB">
        <w:t>s</w:t>
      </w:r>
      <w:r w:rsidR="0080258A">
        <w:t>. But there can be many other factors at play:</w:t>
      </w:r>
    </w:p>
    <w:p w14:paraId="10733AAA" w14:textId="68987D59" w:rsidR="0080258A" w:rsidRDefault="0080258A" w:rsidP="0080258A">
      <w:pPr>
        <w:pStyle w:val="USBullet1"/>
      </w:pPr>
      <w:r>
        <w:t xml:space="preserve">The students may have learning difficulties that will </w:t>
      </w:r>
      <w:r w:rsidR="00BF2830">
        <w:t>a</w:t>
      </w:r>
      <w:r w:rsidR="00163CD8">
        <w:t>ffect their ability to lear</w:t>
      </w:r>
      <w:r w:rsidR="00187424">
        <w:t>n</w:t>
      </w:r>
      <w:r w:rsidR="00163CD8">
        <w:t xml:space="preserve"> to </w:t>
      </w:r>
      <w:proofErr w:type="gramStart"/>
      <w:r w:rsidR="00163CD8">
        <w:t>read</w:t>
      </w:r>
      <w:proofErr w:type="gramEnd"/>
    </w:p>
    <w:p w14:paraId="0D8BD8DA" w14:textId="16EE6B17" w:rsidR="00163CD8" w:rsidRDefault="00B75AF1" w:rsidP="0080258A">
      <w:pPr>
        <w:pStyle w:val="USBullet1"/>
      </w:pPr>
      <w:r w:rsidRPr="004907C5">
        <w:t>The students and their wh</w:t>
      </w:r>
      <w:r w:rsidRPr="00347879">
        <w:t>ā</w:t>
      </w:r>
      <w:r w:rsidR="004907C5" w:rsidRPr="00347879">
        <w:t xml:space="preserve">nau may be </w:t>
      </w:r>
      <w:r w:rsidR="004907C5" w:rsidRPr="004907C5">
        <w:t>experiencing</w:t>
      </w:r>
      <w:r w:rsidR="004907C5" w:rsidRPr="00347879">
        <w:t xml:space="preserve"> persistent </w:t>
      </w:r>
      <w:r w:rsidR="004907C5" w:rsidRPr="004907C5">
        <w:t>disadvantage</w:t>
      </w:r>
      <w:r w:rsidR="004907C5">
        <w:t xml:space="preserve">, which impacts on learning </w:t>
      </w:r>
      <w:proofErr w:type="gramStart"/>
      <w:r w:rsidR="004907C5">
        <w:t>abilities</w:t>
      </w:r>
      <w:proofErr w:type="gramEnd"/>
    </w:p>
    <w:p w14:paraId="037730B9" w14:textId="62E58DB1" w:rsidR="000C32ED" w:rsidRDefault="004907C5" w:rsidP="0080258A">
      <w:pPr>
        <w:pStyle w:val="USBullet1"/>
      </w:pPr>
      <w:r>
        <w:t xml:space="preserve">The </w:t>
      </w:r>
      <w:r w:rsidR="000C32ED">
        <w:t xml:space="preserve">goal may have been unachievable </w:t>
      </w:r>
      <w:r w:rsidR="0098788E">
        <w:t>(</w:t>
      </w:r>
      <w:proofErr w:type="gramStart"/>
      <w:r w:rsidR="0098788E">
        <w:t>e.g.</w:t>
      </w:r>
      <w:proofErr w:type="gramEnd"/>
      <w:r w:rsidR="0098788E">
        <w:t xml:space="preserve"> too high advanced for their age) </w:t>
      </w:r>
      <w:r w:rsidR="000C32ED">
        <w:t xml:space="preserve">for any group of </w:t>
      </w:r>
      <w:r w:rsidR="00127D35">
        <w:t>students</w:t>
      </w:r>
      <w:r w:rsidR="000C32ED">
        <w:t>, regardless of ability</w:t>
      </w:r>
    </w:p>
    <w:p w14:paraId="3D9C1914" w14:textId="3984870A" w:rsidR="004907C5" w:rsidRDefault="004C21B2" w:rsidP="0080258A">
      <w:pPr>
        <w:pStyle w:val="USBullet1"/>
      </w:pPr>
      <w:r>
        <w:t xml:space="preserve">The teacher and the school in </w:t>
      </w:r>
      <w:r w:rsidR="003801F5">
        <w:t>question</w:t>
      </w:r>
      <w:r>
        <w:t xml:space="preserve"> </w:t>
      </w:r>
      <w:r w:rsidR="00BF2830">
        <w:t xml:space="preserve">may not </w:t>
      </w:r>
      <w:r w:rsidR="003366DD">
        <w:t>have been</w:t>
      </w:r>
      <w:r>
        <w:t xml:space="preserve"> given the resources need</w:t>
      </w:r>
      <w:r w:rsidR="00BF2830">
        <w:t>ed</w:t>
      </w:r>
      <w:r>
        <w:t xml:space="preserve"> to achieve the goal</w:t>
      </w:r>
      <w:r w:rsidR="003366DD">
        <w:t>.</w:t>
      </w:r>
    </w:p>
    <w:p w14:paraId="7F1EF2D7" w14:textId="02BC7D47" w:rsidR="007C39F5" w:rsidRDefault="004C21B2" w:rsidP="004C21B2">
      <w:pPr>
        <w:pStyle w:val="USBodyText"/>
      </w:pPr>
      <w:r>
        <w:t xml:space="preserve">This inability to assign </w:t>
      </w:r>
      <w:r w:rsidR="004C68E9">
        <w:t>responsibility for achieving</w:t>
      </w:r>
      <w:r w:rsidR="0071604F">
        <w:t>, or especially not achieving,</w:t>
      </w:r>
      <w:r w:rsidR="004C68E9">
        <w:t xml:space="preserve"> outcomes has been one of the major </w:t>
      </w:r>
      <w:r w:rsidR="002054A3">
        <w:t>factors</w:t>
      </w:r>
      <w:r w:rsidR="004C68E9">
        <w:t xml:space="preserve"> that has worked against the use of outcomes-based </w:t>
      </w:r>
      <w:r w:rsidR="004C68E9">
        <w:lastRenderedPageBreak/>
        <w:t>incentives and contracting in the public (and indeed private) sectors</w:t>
      </w:r>
      <w:r w:rsidR="008774B9">
        <w:t xml:space="preserve"> </w:t>
      </w:r>
      <w:r w:rsidR="008774B9">
        <w:fldChar w:fldCharType="begin"/>
      </w:r>
      <w:r w:rsidR="009B0EC4">
        <w:instrText xml:space="preserve"> ADDIN ZOTERO_ITEM CSL_CITATION {"citationID":"rB1ADLUm","properties":{"formattedCitation":"(Government Outcomes Lab 2023)","plainCitation":"(Government Outcomes Lab 2023)","noteIndex":0},"citationItems":[{"id":18626,"uris":["http://zotero.org/groups/4801058/items/XT9BBFKD"],"itemData":{"id":18626,"type":"webpage","abstract":"This guide offers an introduction to outcomes-based contracting, including its place among other methods of contracting out public services, the theoretical pros and cons, and the evidence to date.","container-title":"The Government Outcomes Lab","language":"en","title":"Outcomes-based contracting","URL":"https://golab.bsg.ox.ac.uk/the-basics/outcomes-based-contracting/","author":[{"family":"Government Outcomes Lab","given":""}],"accessed":{"date-parts":[["2023",1,26]]},"issued":{"date-parts":[["2023"]]}}}],"schema":"https://github.com/citation-style-language/schema/raw/master/csl-citation.json"} </w:instrText>
      </w:r>
      <w:r w:rsidR="008774B9">
        <w:fldChar w:fldCharType="separate"/>
      </w:r>
      <w:r w:rsidR="008774B9" w:rsidRPr="008774B9">
        <w:rPr>
          <w:rFonts w:cs="Calibri"/>
        </w:rPr>
        <w:t>(Government Outcomes Lab 2023)</w:t>
      </w:r>
      <w:r w:rsidR="008774B9">
        <w:fldChar w:fldCharType="end"/>
      </w:r>
      <w:r w:rsidR="004C68E9">
        <w:t>.</w:t>
      </w:r>
    </w:p>
    <w:p w14:paraId="59F7126F" w14:textId="335111CE" w:rsidR="00945A00" w:rsidRDefault="003801F5" w:rsidP="004C21B2">
      <w:pPr>
        <w:pStyle w:val="USBodyText"/>
      </w:pPr>
      <w:proofErr w:type="gramStart"/>
      <w:r>
        <w:t>Particular difficulties</w:t>
      </w:r>
      <w:proofErr w:type="gramEnd"/>
      <w:r>
        <w:t xml:space="preserve"> arise when trying to hold collaborating organisation to account for outcomes. </w:t>
      </w:r>
      <w:r w:rsidR="00A05272">
        <w:t xml:space="preserve">Stephen Page </w:t>
      </w:r>
      <w:r>
        <w:t>suggests</w:t>
      </w:r>
      <w:r w:rsidR="00A05272">
        <w:t xml:space="preserve"> five main reasons </w:t>
      </w:r>
      <w:r>
        <w:fldChar w:fldCharType="begin"/>
      </w:r>
      <w:r w:rsidR="009B0EC4">
        <w:instrText xml:space="preserve"> ADDIN ZOTERO_ITEM CSL_CITATION {"citationID":"X0iblOAH","properties":{"formattedCitation":"(Page 2004, 591)","plainCitation":"(Page 2004, 591)","dontUpdate":true,"noteIndex":0},"citationItems":[{"id":16093,"uris":["http://zotero.org/groups/4801058/items/NJXXRDDJ"],"itemData":{"id":16093,"type":"article-journal","abstract":"This article examines the intersection of two types of innovations that are increasingly common in public administration-accountability for results and interagency collaboration. Recent scholarship suggests four approaches that collaborators can use to increase their accountability for results. The article proposes measures of these four approaches to assess a collaborative's capacity for accountability, and uses them to compare the accountability of human services collaboratives in 10 states. The findings indicate that collaboratives tend to use the four approaches together with one another. In combination, the various approaches may help collaborators manage their stake holders' expectations about their actions and accomplishments. Further research is needed to determine whether a collaborative's capacity for accountability for results actually correlates with improvements in outcomes.","container-title":"Public Administration Review","ISSN":"0033-3352","issue":"5","note":"number: 5\npublisher: [American Society for Public Administration, Wiley]","page":"591-606","source":"JSTOR","title":"Measuring Accountability for Results in Interagency Collaboratives","volume":"64","author":[{"family":"Page","given":"Stephen"}],"issued":{"date-parts":[["2004"]]}},"locator":"591","label":"page"}],"schema":"https://github.com/citation-style-language/schema/raw/master/csl-citation.json"} </w:instrText>
      </w:r>
      <w:r>
        <w:fldChar w:fldCharType="separate"/>
      </w:r>
      <w:r w:rsidRPr="003801F5">
        <w:rPr>
          <w:rFonts w:cs="Calibri"/>
        </w:rPr>
        <w:t>(Page 2004, 591)</w:t>
      </w:r>
      <w:r w:rsidR="00945A00">
        <w:t>:</w:t>
      </w:r>
    </w:p>
    <w:p w14:paraId="39721BF9" w14:textId="676D277F" w:rsidR="00C26720" w:rsidRDefault="00E674C2" w:rsidP="00945A00">
      <w:pPr>
        <w:pStyle w:val="USBullet1"/>
      </w:pPr>
      <w:r>
        <w:t>R</w:t>
      </w:r>
      <w:r w:rsidR="00C26720">
        <w:t>easonable people can disagree on what to measure and what data should be used</w:t>
      </w:r>
    </w:p>
    <w:p w14:paraId="233F8DE8" w14:textId="50AE82F7" w:rsidR="00A05272" w:rsidRDefault="003801F5" w:rsidP="00945A00">
      <w:pPr>
        <w:pStyle w:val="USBullet1"/>
      </w:pPr>
      <w:r>
        <w:fldChar w:fldCharType="end"/>
      </w:r>
      <w:r w:rsidR="00E674C2">
        <w:t xml:space="preserve">Providers may either doubt their </w:t>
      </w:r>
      <w:r w:rsidR="00EC2EA7">
        <w:t>abilities</w:t>
      </w:r>
      <w:r w:rsidR="00E674C2">
        <w:t xml:space="preserve"> to perform to the required standard (this is especially when reporting for outcomes is imposed on existing providers, rather than being part of a new arrangement) or because they </w:t>
      </w:r>
      <w:r w:rsidR="00EC2EA7">
        <w:t>fear t</w:t>
      </w:r>
      <w:r w:rsidR="008F7542">
        <w:t>h</w:t>
      </w:r>
      <w:r w:rsidR="00EC2EA7">
        <w:t>at they will be held accountab</w:t>
      </w:r>
      <w:r w:rsidR="00BF2830">
        <w:t>le</w:t>
      </w:r>
      <w:r w:rsidR="00EC2EA7">
        <w:t xml:space="preserve"> for </w:t>
      </w:r>
      <w:r w:rsidR="00E26D17">
        <w:t>matters outside their control that impact o</w:t>
      </w:r>
      <w:r w:rsidR="00BF2830">
        <w:t>n</w:t>
      </w:r>
      <w:r w:rsidR="00E26D17">
        <w:t xml:space="preserve"> </w:t>
      </w:r>
      <w:proofErr w:type="gramStart"/>
      <w:r w:rsidR="00E26D17">
        <w:t>outcomes</w:t>
      </w:r>
      <w:proofErr w:type="gramEnd"/>
    </w:p>
    <w:p w14:paraId="43E170CD" w14:textId="01CD48EF" w:rsidR="00EF7468" w:rsidRDefault="00E26D17" w:rsidP="00945A00">
      <w:pPr>
        <w:pStyle w:val="USBullet1"/>
      </w:pPr>
      <w:r>
        <w:t xml:space="preserve">The focus on measuring specific results may </w:t>
      </w:r>
      <w:r w:rsidR="00C20B03">
        <w:t>misdirect</w:t>
      </w:r>
      <w:r>
        <w:t xml:space="preserve"> efforts</w:t>
      </w:r>
      <w:r w:rsidR="00C20B03">
        <w:t xml:space="preserve"> away from harder to achieve outcomes (this is seen </w:t>
      </w:r>
      <w:r w:rsidR="00EF7468">
        <w:t>when educators ‘teach to the test’ and ignore other educational aims</w:t>
      </w:r>
      <w:r w:rsidR="00BF2830">
        <w:t>)</w:t>
      </w:r>
    </w:p>
    <w:p w14:paraId="7C66DC7A" w14:textId="367FF39B" w:rsidR="00F6196D" w:rsidRDefault="00F6196D" w:rsidP="00945A00">
      <w:pPr>
        <w:pStyle w:val="USBullet1"/>
      </w:pPr>
      <w:r>
        <w:t>Accountability for results requires more than just a new set of rules</w:t>
      </w:r>
      <w:r w:rsidR="00D77D11">
        <w:t xml:space="preserve">, but </w:t>
      </w:r>
      <w:r w:rsidR="00DE4FED">
        <w:t>‘a</w:t>
      </w:r>
      <w:r w:rsidR="00D77D11">
        <w:t xml:space="preserve"> </w:t>
      </w:r>
      <w:r w:rsidR="00DE4FED">
        <w:t>“c</w:t>
      </w:r>
      <w:r w:rsidR="00D77D11" w:rsidRPr="00D77D11">
        <w:t>omplete mental reorientation</w:t>
      </w:r>
      <w:r w:rsidR="00BF2830">
        <w:t>”</w:t>
      </w:r>
      <w:r w:rsidR="00D77D11" w:rsidRPr="00D77D11">
        <w:t xml:space="preserve"> on the part of public managers, their authori</w:t>
      </w:r>
      <w:r w:rsidR="00BF2830">
        <w:t>s</w:t>
      </w:r>
      <w:r w:rsidR="00D77D11" w:rsidRPr="00D77D11">
        <w:t>ers and stakeholders, their staff and collaborators, and citizens themselve</w:t>
      </w:r>
      <w:r w:rsidR="00DE4FED">
        <w:t>s’ (</w:t>
      </w:r>
      <w:r w:rsidR="00070CBD">
        <w:t>i</w:t>
      </w:r>
      <w:r w:rsidR="00DE4FED">
        <w:t>bid.</w:t>
      </w:r>
      <w:r w:rsidR="00775C1D">
        <w:t>,</w:t>
      </w:r>
      <w:r w:rsidR="00DE4FED">
        <w:t xml:space="preserve"> 592)</w:t>
      </w:r>
    </w:p>
    <w:p w14:paraId="37D7933F" w14:textId="5FCE72C6" w:rsidR="00DE4FED" w:rsidRDefault="008F7542" w:rsidP="00945A00">
      <w:pPr>
        <w:pStyle w:val="USBullet1"/>
      </w:pPr>
      <w:r>
        <w:t>Clarity is required on who is to be accountable for what to whom.</w:t>
      </w:r>
    </w:p>
    <w:p w14:paraId="0DFD3620" w14:textId="765D7430" w:rsidR="002A7160" w:rsidRDefault="002A7160" w:rsidP="002A7160">
      <w:pPr>
        <w:pStyle w:val="USBodyText"/>
      </w:pPr>
      <w:r>
        <w:t xml:space="preserve">A common concern with using outcomes-based performance measures is that providers will ‘game’ any system to improve the appearance of their performance. Some common examples </w:t>
      </w:r>
      <w:r w:rsidR="00CB2518">
        <w:t xml:space="preserve">that lead to perverse results </w:t>
      </w:r>
      <w:r>
        <w:t>are:</w:t>
      </w:r>
    </w:p>
    <w:p w14:paraId="46121FB9" w14:textId="7C7F80F2" w:rsidR="002A7160" w:rsidRDefault="002A7160" w:rsidP="002A7160">
      <w:pPr>
        <w:pStyle w:val="USBullet1"/>
      </w:pPr>
      <w:r>
        <w:t xml:space="preserve">‘cherry-picking’, where providers do not accept </w:t>
      </w:r>
      <w:r w:rsidR="00763DA8">
        <w:t xml:space="preserve">people </w:t>
      </w:r>
      <w:r>
        <w:t>into a program</w:t>
      </w:r>
      <w:r w:rsidR="000B2100">
        <w:t>me</w:t>
      </w:r>
      <w:r>
        <w:t xml:space="preserve"> if they are unlikely to achieve the desired </w:t>
      </w:r>
      <w:proofErr w:type="gramStart"/>
      <w:r>
        <w:t>outcomes</w:t>
      </w:r>
      <w:proofErr w:type="gramEnd"/>
    </w:p>
    <w:p w14:paraId="4057DB97" w14:textId="0DDF8828" w:rsidR="002A7160" w:rsidRDefault="002A7160" w:rsidP="002A7160">
      <w:pPr>
        <w:pStyle w:val="USBullet1"/>
      </w:pPr>
      <w:r>
        <w:t>‘creaming’, where they only accept the easiest individuals to assist</w:t>
      </w:r>
      <w:r w:rsidR="00BF2830">
        <w:t xml:space="preserve"> and</w:t>
      </w:r>
    </w:p>
    <w:p w14:paraId="05901277" w14:textId="7103978D" w:rsidR="002A7160" w:rsidRDefault="002A7160" w:rsidP="002A7160">
      <w:pPr>
        <w:pStyle w:val="USBullet1"/>
      </w:pPr>
      <w:r>
        <w:t xml:space="preserve">‘parking’, neglecting to assist difficult cases </w:t>
      </w:r>
      <w:r>
        <w:fldChar w:fldCharType="begin"/>
      </w:r>
      <w:r w:rsidR="009B0EC4">
        <w:instrText xml:space="preserve"> ADDIN ZOTERO_ITEM CSL_CITATION {"citationID":"V037Mi6d","properties":{"formattedCitation":"(Government Outcomes Lab 2023, 6)","plainCitation":"(Government Outcomes Lab 2023, 6)","noteIndex":0},"citationItems":[{"id":18626,"uris":["http://zotero.org/groups/4801058/items/XT9BBFKD"],"itemData":{"id":18626,"type":"webpage","abstract":"This guide offers an introduction to outcomes-based contracting, including its place among other methods of contracting out public services, the theoretical pros and cons, and the evidence to date.","container-title":"The Government Outcomes Lab","language":"en","title":"Outcomes-based contracting","URL":"https://golab.bsg.ox.ac.uk/the-basics/outcomes-based-contracting/","author":[{"family":"Government Outcomes Lab","given":""}],"accessed":{"date-parts":[["2023",1,26]]},"issued":{"date-parts":[["2023"]]}},"locator":"6","label":"page"}],"schema":"https://github.com/citation-style-language/schema/raw/master/csl-citation.json"} </w:instrText>
      </w:r>
      <w:r>
        <w:fldChar w:fldCharType="separate"/>
      </w:r>
      <w:r w:rsidRPr="00DE6784">
        <w:rPr>
          <w:rFonts w:cs="Calibri"/>
        </w:rPr>
        <w:t>(Government Outcomes Lab 2023, 6)</w:t>
      </w:r>
      <w:r>
        <w:fldChar w:fldCharType="end"/>
      </w:r>
      <w:r>
        <w:t>.</w:t>
      </w:r>
    </w:p>
    <w:p w14:paraId="03211435" w14:textId="764AB8B9" w:rsidR="002A7160" w:rsidRDefault="002A7160" w:rsidP="002A7160">
      <w:pPr>
        <w:pStyle w:val="USBodyText"/>
      </w:pPr>
      <w:r>
        <w:t>One reason these opportunities exist is that outcomes-based contracting has</w:t>
      </w:r>
      <w:r w:rsidR="003366DD">
        <w:t xml:space="preserve"> often</w:t>
      </w:r>
      <w:r>
        <w:t xml:space="preserve"> been used as a way of reducing the costs </w:t>
      </w:r>
      <w:r>
        <w:fldChar w:fldCharType="begin"/>
      </w:r>
      <w:r w:rsidR="009B0EC4">
        <w:instrText xml:space="preserve"> ADDIN ZOTERO_ITEM CSL_CITATION {"citationID":"AbklItFo","properties":{"formattedCitation":"(Bohm et al. 2022)","plainCitation":"(Bohm et al. 2022)","noteIndex":0},"citationItems":[{"id":18635,"uris":["http://zotero.org/groups/4801058/items/DCWQKZFI"],"itemData":{"id":18635,"type":"article-journal","abstract":"The aim was to outline the challenges of implementing outcomes-based contracts (OBCs) in Europe.","container-title":"PharmacoEconomics","DOI":"10.1007/s40273-021-01070-1","ISSN":"1179-2027","issue":"1","journalAbbreviation":"PharmacoEconomics","language":"en","page":"13-29","source":"Springer Link","title":"The Challenges of Outcomes-Based Contract Implementation for Medicines in Europe","volume":"40","author":[{"family":"Bohm","given":"Natalie"},{"family":"Bermingham","given":"Sarah"},{"family":"Grimsey Jones","given":"Frank"},{"family":"Gonçalves-Bradley","given":"Daniela C."},{"family":"Diamantopoulos","given":"Alex"},{"family":"Burton","given":"Jessica R."},{"family":"Laing","given":"Hamish"}],"issued":{"date-parts":[["2022",1,1]]}}}],"schema":"https://github.com/citation-style-language/schema/raw/master/csl-citation.json"} </w:instrText>
      </w:r>
      <w:r>
        <w:fldChar w:fldCharType="separate"/>
      </w:r>
      <w:r w:rsidRPr="0098213E">
        <w:rPr>
          <w:rFonts w:cs="Calibri"/>
        </w:rPr>
        <w:t>(Bohm et al. 2022)</w:t>
      </w:r>
      <w:r>
        <w:fldChar w:fldCharType="end"/>
      </w:r>
      <w:r>
        <w:t xml:space="preserve">. Thus, the focus is often on </w:t>
      </w:r>
      <w:r w:rsidR="00C1577A">
        <w:t xml:space="preserve">obtaining the </w:t>
      </w:r>
      <w:r>
        <w:t>lowest-cost bids. A realisation that effective assistance for people experiencing persisten</w:t>
      </w:r>
      <w:r w:rsidR="006F7076">
        <w:t>t disadvantag</w:t>
      </w:r>
      <w:r>
        <w:t>e may, at least in t</w:t>
      </w:r>
      <w:r w:rsidR="00796C8D">
        <w:t>h</w:t>
      </w:r>
      <w:r>
        <w:t xml:space="preserve">e short-term be more expensive is an important culture </w:t>
      </w:r>
      <w:r w:rsidR="00C1577A">
        <w:t xml:space="preserve">shift </w:t>
      </w:r>
      <w:r>
        <w:t>that should underly any use of out</w:t>
      </w:r>
      <w:r w:rsidR="00101F0D">
        <w:t>come</w:t>
      </w:r>
      <w:r>
        <w:t xml:space="preserve">-based contacting. While this should not be licence for excessive costs, and tools like long-term cost benefit analysis have an important role to </w:t>
      </w:r>
      <w:r w:rsidR="007262FF">
        <w:t>p</w:t>
      </w:r>
      <w:r>
        <w:t>lay in selecting individual program</w:t>
      </w:r>
      <w:r w:rsidR="000B2100">
        <w:t>mes</w:t>
      </w:r>
      <w:r>
        <w:t xml:space="preserve"> and approaches, the unintended consequences of OBCs should remain top of mind.</w:t>
      </w:r>
    </w:p>
    <w:p w14:paraId="62BE46F3" w14:textId="3F4A227B" w:rsidR="00796C8D" w:rsidRDefault="00796C8D" w:rsidP="002A7160">
      <w:pPr>
        <w:pStyle w:val="USBodyText"/>
      </w:pPr>
      <w:r>
        <w:t xml:space="preserve">Many of the concerns with a results or outcomes-based </w:t>
      </w:r>
      <w:r w:rsidR="00D86A4C">
        <w:t>management and contracting have been successfully overcome in some places where they have been applied</w:t>
      </w:r>
      <w:r w:rsidR="0004443B">
        <w:t xml:space="preserve"> </w:t>
      </w:r>
      <w:r w:rsidR="0004443B">
        <w:fldChar w:fldCharType="begin"/>
      </w:r>
      <w:r w:rsidR="009B0EC4">
        <w:instrText xml:space="preserve"> ADDIN ZOTERO_ITEM CSL_CITATION {"citationID":"hkYN6fZp","properties":{"formattedCitation":"(Government Outcomes Lab 2023, 8)","plainCitation":"(Government Outcomes Lab 2023, 8)","noteIndex":0},"citationItems":[{"id":18626,"uris":["http://zotero.org/groups/4801058/items/XT9BBFKD"],"itemData":{"id":18626,"type":"webpage","abstract":"This guide offers an introduction to outcomes-based contracting, including its place among other methods of contracting out public services, the theoretical pros and cons, and the evidence to date.","container-title":"The Government Outcomes Lab","language":"en","title":"Outcomes-based contracting","URL":"https://golab.bsg.ox.ac.uk/the-basics/outcomes-based-contracting/","author":[{"family":"Government Outcomes Lab","given":""}],"accessed":{"date-parts":[["2023",1,26]]},"issued":{"date-parts":[["2023"]]}},"locator":"8","label":"page"}],"schema":"https://github.com/citation-style-language/schema/raw/master/csl-citation.json"} </w:instrText>
      </w:r>
      <w:r w:rsidR="0004443B">
        <w:fldChar w:fldCharType="separate"/>
      </w:r>
      <w:r w:rsidR="0004443B" w:rsidRPr="0004443B">
        <w:rPr>
          <w:rFonts w:cs="Calibri"/>
        </w:rPr>
        <w:t>(Government Outcomes Lab 2023, 8)</w:t>
      </w:r>
      <w:r w:rsidR="0004443B">
        <w:fldChar w:fldCharType="end"/>
      </w:r>
      <w:r w:rsidR="00DA516D">
        <w:t>. The keys to success seem to be:</w:t>
      </w:r>
    </w:p>
    <w:p w14:paraId="520FB4A0" w14:textId="681D78D9" w:rsidR="00780BB9" w:rsidRDefault="00DA516D" w:rsidP="00DA516D">
      <w:pPr>
        <w:pStyle w:val="USBullet1"/>
      </w:pPr>
      <w:r>
        <w:t xml:space="preserve">A clear purpose for using </w:t>
      </w:r>
      <w:r w:rsidR="00780BB9" w:rsidRPr="00780BB9">
        <w:t>outcomes-based contract</w:t>
      </w:r>
      <w:r w:rsidR="00780BB9">
        <w:t xml:space="preserve">s, and that purpose is </w:t>
      </w:r>
      <w:r w:rsidR="00BF2830">
        <w:t>understood</w:t>
      </w:r>
      <w:r w:rsidR="00780BB9">
        <w:t xml:space="preserve"> by all parties to the contract and wider </w:t>
      </w:r>
      <w:proofErr w:type="gramStart"/>
      <w:r w:rsidR="00780BB9">
        <w:t>stakeholders</w:t>
      </w:r>
      <w:proofErr w:type="gramEnd"/>
    </w:p>
    <w:p w14:paraId="589E6C3B" w14:textId="67779640" w:rsidR="00DA516D" w:rsidRDefault="00404EA8" w:rsidP="00DA516D">
      <w:pPr>
        <w:pStyle w:val="USBullet1"/>
      </w:pPr>
      <w:r>
        <w:t xml:space="preserve">Contracts are designed carefully, based on the circumstances of the case in question, rather than using generic </w:t>
      </w:r>
      <w:proofErr w:type="gramStart"/>
      <w:r>
        <w:t>templates</w:t>
      </w:r>
      <w:proofErr w:type="gramEnd"/>
    </w:p>
    <w:p w14:paraId="6E4F3011" w14:textId="4DB1F9BE" w:rsidR="00E63B8B" w:rsidRDefault="00E63B8B" w:rsidP="00DA516D">
      <w:pPr>
        <w:pStyle w:val="USBullet1"/>
      </w:pPr>
      <w:r>
        <w:t>Any contract include</w:t>
      </w:r>
      <w:r w:rsidR="00BF2830">
        <w:t>s</w:t>
      </w:r>
      <w:r>
        <w:t xml:space="preserve"> transitional provisions to allow the new approache</w:t>
      </w:r>
      <w:r w:rsidR="006750A4">
        <w:t>s</w:t>
      </w:r>
      <w:r>
        <w:t xml:space="preserve"> to be phased in over an agree timeframe, rather than be seen as a ‘big bang’.</w:t>
      </w:r>
    </w:p>
    <w:p w14:paraId="1AFFAEE8" w14:textId="7F9936FC" w:rsidR="00E63B8B" w:rsidRDefault="002727A7" w:rsidP="006750A4">
      <w:pPr>
        <w:pStyle w:val="USBullet1"/>
      </w:pPr>
      <w:r>
        <w:t>Eva</w:t>
      </w:r>
      <w:r w:rsidR="00BF2830">
        <w:t>l</w:t>
      </w:r>
      <w:r>
        <w:t>uation should be buil</w:t>
      </w:r>
      <w:r w:rsidR="00BF2830">
        <w:t>t</w:t>
      </w:r>
      <w:r>
        <w:t xml:space="preserve"> i</w:t>
      </w:r>
      <w:r w:rsidR="00BF2830">
        <w:t>n</w:t>
      </w:r>
      <w:r>
        <w:t>to any contract and agreed in advance, and the</w:t>
      </w:r>
      <w:r w:rsidR="00BF2830">
        <w:t>n</w:t>
      </w:r>
      <w:r>
        <w:t xml:space="preserve"> conducted transparently with a learning focus in mind (</w:t>
      </w:r>
      <w:r w:rsidR="00070CBD">
        <w:t>i</w:t>
      </w:r>
      <w:r w:rsidR="00BF2830">
        <w:t>bid</w:t>
      </w:r>
      <w:r>
        <w:t>.).</w:t>
      </w:r>
    </w:p>
    <w:p w14:paraId="0B902642" w14:textId="619ABBCC" w:rsidR="0045060B" w:rsidRDefault="007A672A" w:rsidP="00347879">
      <w:pPr>
        <w:pStyle w:val="USBodyText"/>
      </w:pPr>
      <w:r>
        <w:lastRenderedPageBreak/>
        <w:t xml:space="preserve">Realism must be part of any change in the approach to addressing persistent </w:t>
      </w:r>
      <w:r w:rsidR="006021DC">
        <w:t>disadvantage</w:t>
      </w:r>
      <w:r>
        <w:t xml:space="preserve">. But at the same time, </w:t>
      </w:r>
      <w:r w:rsidR="006021DC">
        <w:t>perfection</w:t>
      </w:r>
      <w:r>
        <w:t xml:space="preserve"> should n</w:t>
      </w:r>
      <w:r w:rsidR="006021DC">
        <w:t>o</w:t>
      </w:r>
      <w:r>
        <w:t xml:space="preserve">t be the goal. As we </w:t>
      </w:r>
      <w:r w:rsidR="00BB23B8">
        <w:t xml:space="preserve">will see, the current system for addressing persistent disadvantage has demonstrably failed. The question </w:t>
      </w:r>
      <w:r w:rsidR="00262C3A">
        <w:t>to consider</w:t>
      </w:r>
      <w:r w:rsidR="00BB23B8">
        <w:t xml:space="preserve">, therefore, </w:t>
      </w:r>
      <w:r w:rsidR="00262C3A">
        <w:t xml:space="preserve">is not </w:t>
      </w:r>
      <w:r w:rsidR="00BB23B8">
        <w:t>whe</w:t>
      </w:r>
      <w:r w:rsidR="00262C3A">
        <w:t>ther</w:t>
      </w:r>
      <w:r w:rsidR="00BB23B8">
        <w:t xml:space="preserve"> a new system is perfect, but whether it is better than a system that is failing. Put another way, </w:t>
      </w:r>
      <w:r w:rsidR="00EE1100">
        <w:t xml:space="preserve">should the government </w:t>
      </w:r>
      <w:r w:rsidR="00BB23B8">
        <w:t xml:space="preserve">continue with a system that is not working, or try one that </w:t>
      </w:r>
      <w:r w:rsidR="007F4BBF">
        <w:t>could</w:t>
      </w:r>
      <w:r w:rsidR="00BB23B8">
        <w:t>?</w:t>
      </w:r>
    </w:p>
    <w:p w14:paraId="12F6CA51" w14:textId="06CE20BA" w:rsidR="00BC557E" w:rsidRPr="00F543C1" w:rsidRDefault="00BC557E" w:rsidP="0064443F">
      <w:pPr>
        <w:pStyle w:val="Heading2"/>
      </w:pPr>
      <w:bookmarkStart w:id="21" w:name="_Toc126092078"/>
      <w:bookmarkStart w:id="22" w:name="_Toc126841194"/>
      <w:r w:rsidRPr="00F543C1">
        <w:t>Accountability and persistent disadvantage</w:t>
      </w:r>
      <w:bookmarkEnd w:id="21"/>
      <w:bookmarkEnd w:id="22"/>
    </w:p>
    <w:p w14:paraId="080FF80B" w14:textId="7D1B029E" w:rsidR="00161604" w:rsidRPr="00F543C1" w:rsidRDefault="00263BD8" w:rsidP="00161604">
      <w:pPr>
        <w:ind w:left="851"/>
        <w:rPr>
          <w:color w:val="222222"/>
        </w:rPr>
      </w:pPr>
      <w:r w:rsidRPr="00F543C1">
        <w:rPr>
          <w:color w:val="222222"/>
        </w:rPr>
        <w:t>A key finding from our analysis of the accountability literature is that context is vital in designing accountability systems.</w:t>
      </w:r>
      <w:r w:rsidR="00161604" w:rsidRPr="00F543C1">
        <w:rPr>
          <w:color w:val="222222"/>
        </w:rPr>
        <w:t xml:space="preserve"> So, before </w:t>
      </w:r>
      <w:r w:rsidR="008A14D6" w:rsidRPr="00F543C1">
        <w:rPr>
          <w:color w:val="222222"/>
        </w:rPr>
        <w:t>discussing</w:t>
      </w:r>
      <w:r w:rsidR="00161604" w:rsidRPr="00F543C1">
        <w:rPr>
          <w:color w:val="222222"/>
        </w:rPr>
        <w:t xml:space="preserve"> the accountability systems need</w:t>
      </w:r>
      <w:r w:rsidR="00D61480" w:rsidRPr="00F543C1">
        <w:rPr>
          <w:color w:val="222222"/>
        </w:rPr>
        <w:t>ed</w:t>
      </w:r>
      <w:r w:rsidR="00161604" w:rsidRPr="00F543C1">
        <w:rPr>
          <w:color w:val="222222"/>
        </w:rPr>
        <w:t xml:space="preserve"> to support effective policy, we need to </w:t>
      </w:r>
      <w:r w:rsidR="00170896" w:rsidRPr="00F543C1">
        <w:rPr>
          <w:color w:val="222222"/>
        </w:rPr>
        <w:t>understand</w:t>
      </w:r>
      <w:r w:rsidR="00161604" w:rsidRPr="00F543C1">
        <w:rPr>
          <w:color w:val="222222"/>
        </w:rPr>
        <w:t xml:space="preserve"> the context within which we are working. </w:t>
      </w:r>
    </w:p>
    <w:p w14:paraId="71A33B08" w14:textId="14FE4A98" w:rsidR="005A4A01" w:rsidRPr="00F543C1" w:rsidRDefault="005A4A01" w:rsidP="005A4A01">
      <w:pPr>
        <w:pStyle w:val="USBodyText"/>
      </w:pPr>
      <w:r w:rsidRPr="00F543C1">
        <w:t>The recur</w:t>
      </w:r>
      <w:r w:rsidR="00E05C0C">
        <w:t>r</w:t>
      </w:r>
      <w:r w:rsidRPr="00F543C1">
        <w:t xml:space="preserve">ing themes in this report, which all have direct and fundamental implications for accountability, are: </w:t>
      </w:r>
    </w:p>
    <w:p w14:paraId="1E1C98BF" w14:textId="125C42F4" w:rsidR="005A4A01" w:rsidRPr="00F543C1" w:rsidRDefault="005A4A01" w:rsidP="005A4A01">
      <w:pPr>
        <w:numPr>
          <w:ilvl w:val="0"/>
          <w:numId w:val="1"/>
        </w:numPr>
      </w:pPr>
      <w:r w:rsidRPr="00F543C1">
        <w:t xml:space="preserve">The importance of honouring </w:t>
      </w:r>
      <w:proofErr w:type="spellStart"/>
      <w:r w:rsidRPr="00F543C1">
        <w:t>Te</w:t>
      </w:r>
      <w:proofErr w:type="spellEnd"/>
      <w:r w:rsidRPr="00F543C1">
        <w:t xml:space="preserve"> </w:t>
      </w:r>
      <w:proofErr w:type="spellStart"/>
      <w:r w:rsidRPr="00F543C1">
        <w:t>Tiriti</w:t>
      </w:r>
      <w:proofErr w:type="spellEnd"/>
      <w:r w:rsidRPr="00F543C1">
        <w:t xml:space="preserve"> o Waitangi</w:t>
      </w:r>
      <w:r w:rsidR="00A32B7A" w:rsidRPr="00F543C1">
        <w:t>.</w:t>
      </w:r>
      <w:r w:rsidRPr="00F543C1">
        <w:t xml:space="preserve"> </w:t>
      </w:r>
    </w:p>
    <w:p w14:paraId="4A1C8E29" w14:textId="615BF534" w:rsidR="005A4A01" w:rsidRPr="00F543C1" w:rsidRDefault="005A4A01" w:rsidP="005A4A01">
      <w:pPr>
        <w:numPr>
          <w:ilvl w:val="0"/>
          <w:numId w:val="1"/>
        </w:numPr>
      </w:pPr>
      <w:proofErr w:type="gramStart"/>
      <w:r w:rsidRPr="00F543C1">
        <w:t>How</w:t>
      </w:r>
      <w:proofErr w:type="gramEnd"/>
      <w:r w:rsidRPr="00F543C1">
        <w:t xml:space="preserve"> systemic problems, power imbalances, and underlying societal issues all play a role in perpetuating persistent disadvantage at the individual, whānau and community level</w:t>
      </w:r>
      <w:r w:rsidR="00A32B7A" w:rsidRPr="00F543C1">
        <w:t>.</w:t>
      </w:r>
    </w:p>
    <w:p w14:paraId="44868C44" w14:textId="635CA37F" w:rsidR="005A4A01" w:rsidRPr="00F543C1" w:rsidRDefault="005A4A01" w:rsidP="005A4A01">
      <w:pPr>
        <w:numPr>
          <w:ilvl w:val="0"/>
          <w:numId w:val="1"/>
        </w:numPr>
      </w:pPr>
      <w:r w:rsidRPr="00F543C1">
        <w:t>How people experience disadvantage in ways that are unique to their cultures, histories, and experiences in Aotearoa New Zealand and elsewhere</w:t>
      </w:r>
      <w:r w:rsidR="00A32B7A" w:rsidRPr="00F543C1">
        <w:t>.</w:t>
      </w:r>
    </w:p>
    <w:p w14:paraId="78BFF094" w14:textId="07C7163D" w:rsidR="005A4A01" w:rsidRPr="00F543C1" w:rsidRDefault="005A4A01" w:rsidP="005A4A01">
      <w:pPr>
        <w:numPr>
          <w:ilvl w:val="0"/>
          <w:numId w:val="1"/>
        </w:numPr>
      </w:pPr>
      <w:r w:rsidRPr="00F543C1">
        <w:t xml:space="preserve">The </w:t>
      </w:r>
      <w:r w:rsidR="00C32D03" w:rsidRPr="00F543C1">
        <w:t>need for</w:t>
      </w:r>
      <w:r w:rsidRPr="00F543C1">
        <w:t xml:space="preserve"> all organisations and their workforces to</w:t>
      </w:r>
      <w:r w:rsidR="00C32D03" w:rsidRPr="00F543C1">
        <w:t xml:space="preserve">, with humility, seek to </w:t>
      </w:r>
      <w:r w:rsidRPr="00F543C1">
        <w:t xml:space="preserve">understand and respect the lives of </w:t>
      </w:r>
      <w:r w:rsidR="00BA36BD">
        <w:t>people</w:t>
      </w:r>
      <w:r w:rsidR="00BA36BD" w:rsidRPr="00F543C1">
        <w:t xml:space="preserve"> </w:t>
      </w:r>
      <w:r w:rsidRPr="00F543C1">
        <w:t xml:space="preserve">experiencing persistent disadvantage. People </w:t>
      </w:r>
      <w:proofErr w:type="gramStart"/>
      <w:r w:rsidRPr="00F543C1">
        <w:t>providing assistance</w:t>
      </w:r>
      <w:proofErr w:type="gramEnd"/>
      <w:r w:rsidRPr="00F543C1">
        <w:t xml:space="preserve"> should seek to educate themselves first rather than expecting people already living stressful lives to repeatedly take the time to prove that they are struggling.</w:t>
      </w:r>
    </w:p>
    <w:p w14:paraId="767D62D6" w14:textId="00923E9A" w:rsidR="005A4A01" w:rsidRPr="00F543C1" w:rsidRDefault="005A4A01" w:rsidP="005A4A01">
      <w:pPr>
        <w:numPr>
          <w:ilvl w:val="0"/>
          <w:numId w:val="1"/>
        </w:numPr>
      </w:pPr>
      <w:r w:rsidRPr="00F543C1">
        <w:t>The importance of relationships and trust in addressing persistent disadvantage; why lack of trust can be an important contributor to disadvantage</w:t>
      </w:r>
      <w:r w:rsidR="00445FD4" w:rsidRPr="00F543C1">
        <w:t xml:space="preserve">, </w:t>
      </w:r>
      <w:r w:rsidRPr="00F543C1">
        <w:t>and the need to listen and understand before acting</w:t>
      </w:r>
      <w:r w:rsidR="00A32B7A" w:rsidRPr="00F543C1">
        <w:t>.</w:t>
      </w:r>
      <w:r w:rsidRPr="00F543C1">
        <w:t xml:space="preserve"> </w:t>
      </w:r>
    </w:p>
    <w:p w14:paraId="43459C5C" w14:textId="7D017789" w:rsidR="005A4A01" w:rsidRDefault="005A4A01" w:rsidP="005A4A01">
      <w:pPr>
        <w:numPr>
          <w:ilvl w:val="0"/>
          <w:numId w:val="1"/>
        </w:numPr>
      </w:pPr>
      <w:r w:rsidRPr="00F543C1">
        <w:t xml:space="preserve">Why assisting people </w:t>
      </w:r>
      <w:r w:rsidR="00AD3D41" w:rsidRPr="00F543C1">
        <w:t xml:space="preserve">to make </w:t>
      </w:r>
      <w:r w:rsidRPr="00F543C1">
        <w:t xml:space="preserve">changes in their lives is not simply an issue of delivering </w:t>
      </w:r>
      <w:r w:rsidR="00EC2F7C">
        <w:t xml:space="preserve">more resources via </w:t>
      </w:r>
      <w:r w:rsidR="00926137">
        <w:t xml:space="preserve">more efficient </w:t>
      </w:r>
      <w:r w:rsidRPr="00F543C1">
        <w:t>service</w:t>
      </w:r>
      <w:r w:rsidR="004A0E5E">
        <w:t xml:space="preserve"> provider</w:t>
      </w:r>
      <w:r w:rsidRPr="00F543C1">
        <w:t>s</w:t>
      </w:r>
      <w:r w:rsidR="00A32B7A" w:rsidRPr="00F543C1">
        <w:t>.</w:t>
      </w:r>
      <w:r w:rsidR="0006610C">
        <w:t xml:space="preserve"> Building capabilities to turn resources into a good li</w:t>
      </w:r>
      <w:r w:rsidR="0007459B">
        <w:t>f</w:t>
      </w:r>
      <w:r w:rsidR="0006610C">
        <w:t xml:space="preserve">e must accompany any additional support. </w:t>
      </w:r>
    </w:p>
    <w:p w14:paraId="47550A40" w14:textId="07DDE1C5" w:rsidR="005A4A01" w:rsidRPr="00F543C1" w:rsidRDefault="005A4A01" w:rsidP="004004A3">
      <w:pPr>
        <w:pStyle w:val="USBullet1"/>
        <w:rPr>
          <w:color w:val="222222"/>
        </w:rPr>
      </w:pPr>
      <w:r w:rsidRPr="00F543C1">
        <w:t xml:space="preserve">Why there is no simple ‘cure’ for persistent disadvantage. For many people, assistance will need to be ongoing, but the type of assistance needed may change </w:t>
      </w:r>
      <w:r w:rsidR="00DB2E49" w:rsidRPr="00F543C1">
        <w:t xml:space="preserve">over </w:t>
      </w:r>
      <w:r w:rsidRPr="00F543C1">
        <w:t xml:space="preserve">time. The mantra should be </w:t>
      </w:r>
      <w:r w:rsidR="00D61480" w:rsidRPr="00F543C1">
        <w:t xml:space="preserve">to </w:t>
      </w:r>
      <w:r w:rsidRPr="00F543C1">
        <w:t xml:space="preserve">listen, work together, learn, </w:t>
      </w:r>
      <w:proofErr w:type="gramStart"/>
      <w:r w:rsidRPr="00F543C1">
        <w:t>adapt</w:t>
      </w:r>
      <w:proofErr w:type="gramEnd"/>
      <w:r w:rsidRPr="00F543C1">
        <w:t xml:space="preserve"> and then listen again.</w:t>
      </w:r>
    </w:p>
    <w:p w14:paraId="5B816DA3" w14:textId="7BE174DB" w:rsidR="000E1F8B" w:rsidRPr="00F543C1" w:rsidRDefault="000E1F8B" w:rsidP="00A34E74">
      <w:pPr>
        <w:pStyle w:val="USBodyText"/>
        <w:rPr>
          <w:color w:val="222222"/>
        </w:rPr>
      </w:pPr>
      <w:r w:rsidRPr="00F543C1">
        <w:t xml:space="preserve">In </w:t>
      </w:r>
      <w:r w:rsidR="0015584D" w:rsidRPr="00F543C1">
        <w:t>s</w:t>
      </w:r>
      <w:r w:rsidRPr="00F543C1">
        <w:t xml:space="preserve">ection </w:t>
      </w:r>
      <w:r w:rsidR="00312008">
        <w:fldChar w:fldCharType="begin"/>
      </w:r>
      <w:r w:rsidR="00312008">
        <w:instrText xml:space="preserve"> REF _Ref126305983 \r \h </w:instrText>
      </w:r>
      <w:r w:rsidR="00312008">
        <w:fldChar w:fldCharType="separate"/>
      </w:r>
      <w:r w:rsidR="00E06351">
        <w:t>4</w:t>
      </w:r>
      <w:r w:rsidR="00312008">
        <w:fldChar w:fldCharType="end"/>
      </w:r>
      <w:r w:rsidRPr="00726346">
        <w:t xml:space="preserve"> below, we outline our proposals to change the New Zealand accountability system to directly address each of these points.</w:t>
      </w:r>
    </w:p>
    <w:p w14:paraId="37F391E7" w14:textId="30B6D74B" w:rsidR="00C22046" w:rsidRPr="00F543C1" w:rsidRDefault="31E20857" w:rsidP="00F57D15">
      <w:pPr>
        <w:pStyle w:val="Heading2"/>
      </w:pPr>
      <w:bookmarkStart w:id="23" w:name="_Ref124968750"/>
      <w:bookmarkStart w:id="24" w:name="_Toc126092079"/>
      <w:bookmarkStart w:id="25" w:name="_Toc126841195"/>
      <w:r w:rsidRPr="00F543C1">
        <w:t xml:space="preserve">How better accountability helps to improve peoples’ </w:t>
      </w:r>
      <w:proofErr w:type="gramStart"/>
      <w:r w:rsidRPr="00F543C1">
        <w:t>lives</w:t>
      </w:r>
      <w:bookmarkEnd w:id="23"/>
      <w:bookmarkEnd w:id="24"/>
      <w:bookmarkEnd w:id="25"/>
      <w:proofErr w:type="gramEnd"/>
      <w:r w:rsidR="54D7806A" w:rsidRPr="00F543C1">
        <w:t xml:space="preserve"> </w:t>
      </w:r>
    </w:p>
    <w:p w14:paraId="772E3726" w14:textId="1DC55FFA" w:rsidR="00661323" w:rsidRPr="00F543C1" w:rsidRDefault="00661323" w:rsidP="00BC557E">
      <w:pPr>
        <w:ind w:left="851"/>
      </w:pPr>
      <w:r w:rsidRPr="00F543C1">
        <w:t xml:space="preserve">Accountability </w:t>
      </w:r>
      <w:r w:rsidR="005255E4" w:rsidRPr="00F543C1">
        <w:t xml:space="preserve">can </w:t>
      </w:r>
      <w:r w:rsidRPr="00F543C1">
        <w:t>play a</w:t>
      </w:r>
      <w:r w:rsidR="007B56EA" w:rsidRPr="00F543C1">
        <w:t>n important</w:t>
      </w:r>
      <w:r w:rsidRPr="00F543C1">
        <w:t xml:space="preserve"> role in addressing persistent disadvantage</w:t>
      </w:r>
      <w:r w:rsidR="00E1090E">
        <w:t>. It</w:t>
      </w:r>
      <w:r w:rsidR="003506AD" w:rsidRPr="00F543C1">
        <w:t xml:space="preserve"> can have positive influences on the development and implementation of effective policies</w:t>
      </w:r>
      <w:r w:rsidR="00F32EFA" w:rsidRPr="00F543C1">
        <w:t xml:space="preserve"> and programmes</w:t>
      </w:r>
      <w:r w:rsidR="00BA50DA">
        <w:t xml:space="preserve">, which must be balanced against </w:t>
      </w:r>
      <w:r w:rsidR="00F32EFA" w:rsidRPr="00F543C1">
        <w:t xml:space="preserve">negative effects on risk-taking and </w:t>
      </w:r>
      <w:r w:rsidR="00F32EFA" w:rsidRPr="00F543C1">
        <w:lastRenderedPageBreak/>
        <w:t>innovation.</w:t>
      </w:r>
      <w:r w:rsidR="00D47901" w:rsidRPr="009006D7">
        <w:rPr>
          <w:rStyle w:val="FootnoteReference"/>
        </w:rPr>
        <w:footnoteReference w:id="23"/>
      </w:r>
      <w:r w:rsidR="00F32EFA" w:rsidRPr="00F543C1">
        <w:t xml:space="preserve"> </w:t>
      </w:r>
      <w:r w:rsidR="00EB1767">
        <w:t xml:space="preserve">However, </w:t>
      </w:r>
      <w:r w:rsidR="00EB1767" w:rsidRPr="00F543C1">
        <w:t>the</w:t>
      </w:r>
      <w:r w:rsidR="00440800" w:rsidRPr="00F543C1">
        <w:t xml:space="preserve"> goal is to help people </w:t>
      </w:r>
      <w:r w:rsidR="00E00AD1" w:rsidRPr="00F543C1">
        <w:t xml:space="preserve">lead better </w:t>
      </w:r>
      <w:r w:rsidR="007B56EA" w:rsidRPr="00F543C1">
        <w:t>lives</w:t>
      </w:r>
      <w:r w:rsidR="00E00AD1" w:rsidRPr="00F543C1">
        <w:t>, not have better accountability systems for their own sake.</w:t>
      </w:r>
      <w:r w:rsidR="001D55C1" w:rsidRPr="009006D7">
        <w:rPr>
          <w:rStyle w:val="FootnoteReference"/>
        </w:rPr>
        <w:footnoteReference w:id="24"/>
      </w:r>
      <w:r w:rsidR="00F32EFA" w:rsidRPr="00726346">
        <w:t xml:space="preserve"> </w:t>
      </w:r>
    </w:p>
    <w:p w14:paraId="3E9A1C02" w14:textId="07BCCB5A" w:rsidR="007B620D" w:rsidRPr="00F543C1" w:rsidRDefault="515ADE8C" w:rsidP="00BC557E">
      <w:pPr>
        <w:ind w:left="851"/>
      </w:pPr>
      <w:r w:rsidRPr="00F543C1">
        <w:t xml:space="preserve">As we will discuss in greater detail </w:t>
      </w:r>
      <w:r w:rsidR="5D1DBFCB" w:rsidRPr="00F543C1">
        <w:t xml:space="preserve">in </w:t>
      </w:r>
      <w:r w:rsidR="0015584D" w:rsidRPr="00F543C1">
        <w:t>s</w:t>
      </w:r>
      <w:r w:rsidR="1491F14F" w:rsidRPr="00F543C1">
        <w:t>ection</w:t>
      </w:r>
      <w:r w:rsidR="00852078">
        <w:t xml:space="preserve"> </w:t>
      </w:r>
      <w:r w:rsidR="00852078">
        <w:fldChar w:fldCharType="begin"/>
      </w:r>
      <w:r w:rsidR="00852078">
        <w:instrText xml:space="preserve"> REF _Ref126323388 \r \h </w:instrText>
      </w:r>
      <w:r w:rsidR="00852078">
        <w:fldChar w:fldCharType="separate"/>
      </w:r>
      <w:r w:rsidR="00E06351">
        <w:t>2</w:t>
      </w:r>
      <w:r w:rsidR="00852078">
        <w:fldChar w:fldCharType="end"/>
      </w:r>
      <w:r w:rsidRPr="00726346">
        <w:t>, our current understanding of the nature, causes and appropriate responses to persistent disadvantage is still developing.</w:t>
      </w:r>
      <w:r w:rsidR="1248F753" w:rsidRPr="00F543C1">
        <w:t xml:space="preserve"> This </w:t>
      </w:r>
      <w:r w:rsidR="3188C2B0" w:rsidRPr="00F543C1">
        <w:t xml:space="preserve">has important implications for </w:t>
      </w:r>
      <w:r w:rsidR="1248F753" w:rsidRPr="00F543C1">
        <w:t>what programmes should be put in place</w:t>
      </w:r>
      <w:r w:rsidR="0F080BD3" w:rsidRPr="00F543C1">
        <w:t xml:space="preserve"> and what accountability arrangements should be used to drive effective policy</w:t>
      </w:r>
      <w:r w:rsidR="1248F753" w:rsidRPr="00F543C1">
        <w:t>.</w:t>
      </w:r>
      <w:r w:rsidR="26DA2AC8" w:rsidRPr="00F543C1">
        <w:t xml:space="preserve"> </w:t>
      </w:r>
    </w:p>
    <w:p w14:paraId="20BC3F0C" w14:textId="1FECC36E" w:rsidR="00BC557E" w:rsidRPr="00F543C1" w:rsidRDefault="00BC557E" w:rsidP="00BC557E">
      <w:pPr>
        <w:ind w:left="851"/>
      </w:pPr>
      <w:r w:rsidRPr="00F543C1">
        <w:t xml:space="preserve">What we do know suggests that any accountability system </w:t>
      </w:r>
      <w:r w:rsidR="00D32A09" w:rsidRPr="00F543C1">
        <w:t xml:space="preserve">intended to assist in reducing disadvantage </w:t>
      </w:r>
      <w:r w:rsidRPr="00F543C1">
        <w:t>should include the following specific elements</w:t>
      </w:r>
      <w:r w:rsidR="00FD63FA" w:rsidRPr="00F543C1">
        <w:t xml:space="preserve"> (which</w:t>
      </w:r>
      <w:r w:rsidR="006A0E0F" w:rsidRPr="00F543C1">
        <w:t>,</w:t>
      </w:r>
      <w:r w:rsidR="00FD63FA" w:rsidRPr="00F543C1">
        <w:t xml:space="preserve"> as we note in a series of parenthetical comments, are </w:t>
      </w:r>
      <w:r w:rsidR="002D58B3" w:rsidRPr="00F543C1">
        <w:t xml:space="preserve">yet to be embedded in </w:t>
      </w:r>
      <w:r w:rsidR="00FD63FA" w:rsidRPr="00F543C1">
        <w:t xml:space="preserve">the current </w:t>
      </w:r>
      <w:r w:rsidR="00066CC2" w:rsidRPr="00F543C1">
        <w:t xml:space="preserve">New Zealand </w:t>
      </w:r>
      <w:r w:rsidR="00FD63FA" w:rsidRPr="00F543C1">
        <w:t xml:space="preserve">public accountability </w:t>
      </w:r>
      <w:r w:rsidR="00066CC2" w:rsidRPr="00F543C1">
        <w:t>system</w:t>
      </w:r>
      <w:r w:rsidR="00FD63FA" w:rsidRPr="00F543C1">
        <w:t>)</w:t>
      </w:r>
      <w:r w:rsidRPr="00F543C1">
        <w:t xml:space="preserve">: </w:t>
      </w:r>
    </w:p>
    <w:p w14:paraId="70CB7CFC" w14:textId="014C7EDB" w:rsidR="00BC557E" w:rsidRPr="00F543C1" w:rsidRDefault="31E20857" w:rsidP="00BC557E">
      <w:pPr>
        <w:numPr>
          <w:ilvl w:val="0"/>
          <w:numId w:val="1"/>
        </w:numPr>
      </w:pPr>
      <w:r w:rsidRPr="00F543C1">
        <w:t xml:space="preserve">A </w:t>
      </w:r>
      <w:r w:rsidR="515ADE8C" w:rsidRPr="00F543C1">
        <w:t>focus on accountability to the people experiencing, or at risk of experiencing, persistent disadvantage,</w:t>
      </w:r>
      <w:r w:rsidR="00E514CD" w:rsidRPr="009006D7">
        <w:rPr>
          <w:rStyle w:val="FootnoteReference"/>
        </w:rPr>
        <w:footnoteReference w:id="25"/>
      </w:r>
      <w:r w:rsidR="00E514CD" w:rsidRPr="00726346">
        <w:t xml:space="preserve"> </w:t>
      </w:r>
      <w:r w:rsidR="515ADE8C" w:rsidRPr="00F543C1">
        <w:t>built on a foundation of trusted relationships</w:t>
      </w:r>
      <w:r w:rsidR="7200FD3B" w:rsidRPr="00F543C1">
        <w:t xml:space="preserve"> (the current system is based on vertical </w:t>
      </w:r>
      <w:r w:rsidR="75B56AC1" w:rsidRPr="00F543C1">
        <w:t xml:space="preserve">accountably from front-line staff </w:t>
      </w:r>
      <w:r w:rsidR="00370080" w:rsidRPr="00F543C1">
        <w:t xml:space="preserve">and contracted agencies </w:t>
      </w:r>
      <w:r w:rsidR="75B56AC1" w:rsidRPr="00F543C1">
        <w:t xml:space="preserve">to agencies, </w:t>
      </w:r>
      <w:proofErr w:type="gramStart"/>
      <w:r w:rsidR="001B0966" w:rsidRPr="00F543C1">
        <w:t>M</w:t>
      </w:r>
      <w:r w:rsidR="75B56AC1" w:rsidRPr="00F543C1">
        <w:t>inisters</w:t>
      </w:r>
      <w:proofErr w:type="gramEnd"/>
      <w:r w:rsidR="75B56AC1" w:rsidRPr="00F543C1">
        <w:t xml:space="preserve"> and Parliament. The voices of people being assisted are rarely heard)</w:t>
      </w:r>
      <w:r w:rsidR="515ADE8C" w:rsidRPr="00F543C1">
        <w:t xml:space="preserve"> </w:t>
      </w:r>
    </w:p>
    <w:p w14:paraId="4986B047" w14:textId="21AA6FB0" w:rsidR="00BC557E" w:rsidRPr="00F543C1" w:rsidRDefault="00370080" w:rsidP="00BC557E">
      <w:pPr>
        <w:numPr>
          <w:ilvl w:val="0"/>
          <w:numId w:val="1"/>
        </w:numPr>
      </w:pPr>
      <w:r w:rsidRPr="00F543C1">
        <w:t xml:space="preserve">Greater incentives </w:t>
      </w:r>
      <w:r w:rsidR="515ADE8C" w:rsidRPr="00F543C1">
        <w:t>to assess the effectiveness of policies and programmes</w:t>
      </w:r>
      <w:r w:rsidR="63CF2A38" w:rsidRPr="00F543C1">
        <w:t xml:space="preserve"> (while technically contained within current accountability mechanism</w:t>
      </w:r>
      <w:r w:rsidR="54E63FFE" w:rsidRPr="00F543C1">
        <w:t>s</w:t>
      </w:r>
      <w:r w:rsidR="63CF2A38" w:rsidRPr="00F543C1">
        <w:t xml:space="preserve">, </w:t>
      </w:r>
      <w:r w:rsidR="2356E818" w:rsidRPr="00F543C1">
        <w:t>the effectiveness of policies is seldom subject to independent scrutiny)</w:t>
      </w:r>
    </w:p>
    <w:p w14:paraId="4F2580D0" w14:textId="3501D738" w:rsidR="00BC557E" w:rsidRPr="00F543C1" w:rsidRDefault="006D0398" w:rsidP="00BC557E">
      <w:pPr>
        <w:numPr>
          <w:ilvl w:val="0"/>
          <w:numId w:val="1"/>
        </w:numPr>
      </w:pPr>
      <w:r w:rsidRPr="00F543C1">
        <w:t xml:space="preserve">A </w:t>
      </w:r>
      <w:r w:rsidR="00BC557E" w:rsidRPr="00F543C1">
        <w:t>recognition of the benefits of empowering front-line workers and co-ordinating the operations of a network of different providers</w:t>
      </w:r>
      <w:r w:rsidR="00F110BC" w:rsidRPr="00F543C1">
        <w:t xml:space="preserve"> (front-line staff are often constrained in their ability to be flexible and innovative</w:t>
      </w:r>
      <w:r w:rsidR="006F350A" w:rsidRPr="00F543C1">
        <w:t>,</w:t>
      </w:r>
      <w:r w:rsidR="00F110BC" w:rsidRPr="00F543C1">
        <w:t xml:space="preserve"> and </w:t>
      </w:r>
      <w:r w:rsidR="00555BB5" w:rsidRPr="00F543C1">
        <w:t>many</w:t>
      </w:r>
      <w:r w:rsidR="00FD63FA" w:rsidRPr="00F543C1">
        <w:t xml:space="preserve"> providers are overloaded with compliance obligations that do little to improve performance)</w:t>
      </w:r>
    </w:p>
    <w:p w14:paraId="6CCB906A" w14:textId="43AABFB9" w:rsidR="00BC557E" w:rsidRPr="00F543C1" w:rsidRDefault="006D0398" w:rsidP="00BC557E">
      <w:pPr>
        <w:numPr>
          <w:ilvl w:val="0"/>
          <w:numId w:val="1"/>
        </w:numPr>
      </w:pPr>
      <w:r w:rsidRPr="00F543C1">
        <w:t>Light</w:t>
      </w:r>
      <w:r w:rsidR="00BC557E" w:rsidRPr="00F543C1">
        <w:t xml:space="preserve">-touch methods of promoting honesty and integrity, </w:t>
      </w:r>
      <w:r w:rsidR="008D7CAA" w:rsidRPr="00F543C1">
        <w:t>which</w:t>
      </w:r>
      <w:r w:rsidR="00BC557E" w:rsidRPr="00F543C1">
        <w:t xml:space="preserve"> build on the day-to-day operations of organisations</w:t>
      </w:r>
      <w:r w:rsidR="00FD63FA" w:rsidRPr="00F543C1">
        <w:t xml:space="preserve"> </w:t>
      </w:r>
      <w:r w:rsidR="00CE07BF" w:rsidRPr="00F543C1">
        <w:t>(t</w:t>
      </w:r>
      <w:r w:rsidR="00FD63FA" w:rsidRPr="00F543C1">
        <w:t>he current public accountability system</w:t>
      </w:r>
      <w:r w:rsidR="00CE07BF" w:rsidRPr="00F543C1">
        <w:t xml:space="preserve">, especially when third-party providers are involved, involves </w:t>
      </w:r>
      <w:r w:rsidR="007177B2" w:rsidRPr="00F543C1">
        <w:t xml:space="preserve">a </w:t>
      </w:r>
      <w:r w:rsidR="00CE07BF" w:rsidRPr="00F543C1">
        <w:t xml:space="preserve">high compliance cost approach that </w:t>
      </w:r>
      <w:r w:rsidR="00FD63FA" w:rsidRPr="00F543C1">
        <w:t>produce</w:t>
      </w:r>
      <w:r w:rsidR="007177B2" w:rsidRPr="00F543C1">
        <w:t>s</w:t>
      </w:r>
      <w:r w:rsidR="00FD63FA" w:rsidRPr="00F543C1">
        <w:t xml:space="preserve"> a lot of reports</w:t>
      </w:r>
      <w:r w:rsidR="00CE07BF" w:rsidRPr="00F543C1">
        <w:t xml:space="preserve"> and expose</w:t>
      </w:r>
      <w:r w:rsidR="007177B2" w:rsidRPr="00F543C1">
        <w:t>s</w:t>
      </w:r>
      <w:r w:rsidR="00CE07BF" w:rsidRPr="00F543C1">
        <w:t xml:space="preserve"> the occasional </w:t>
      </w:r>
      <w:r w:rsidR="004F5D4D" w:rsidRPr="00F543C1">
        <w:t>scandal</w:t>
      </w:r>
      <w:r w:rsidR="00CE07BF" w:rsidRPr="00F543C1">
        <w:t>, but do</w:t>
      </w:r>
      <w:r w:rsidR="007177B2" w:rsidRPr="00F543C1">
        <w:t>es</w:t>
      </w:r>
      <w:r w:rsidR="00CE07BF" w:rsidRPr="00F543C1">
        <w:t xml:space="preserve"> not focus on </w:t>
      </w:r>
      <w:r w:rsidR="008B128E">
        <w:t>ongoing</w:t>
      </w:r>
      <w:r w:rsidR="008B128E" w:rsidRPr="00F543C1">
        <w:t xml:space="preserve"> </w:t>
      </w:r>
      <w:r w:rsidR="00CE07BF" w:rsidRPr="00F543C1">
        <w:t>improvement)</w:t>
      </w:r>
      <w:r w:rsidR="00410166" w:rsidRPr="00F543C1">
        <w:t>.</w:t>
      </w:r>
    </w:p>
    <w:p w14:paraId="6CD4632D" w14:textId="75453EEA" w:rsidR="000922E9" w:rsidRPr="00F543C1" w:rsidRDefault="00910A1F" w:rsidP="00B262B0">
      <w:pPr>
        <w:pStyle w:val="USBodyText"/>
      </w:pPr>
      <w:r w:rsidRPr="00F543C1">
        <w:t>W</w:t>
      </w:r>
      <w:r w:rsidR="000922E9" w:rsidRPr="00F543C1">
        <w:t>hen it comes to addressing persistent disadvantage</w:t>
      </w:r>
      <w:r w:rsidRPr="00F543C1">
        <w:t>,</w:t>
      </w:r>
      <w:r w:rsidR="00EE54E0" w:rsidRPr="00F543C1">
        <w:t xml:space="preserve"> governments</w:t>
      </w:r>
      <w:r w:rsidRPr="00F543C1">
        <w:t xml:space="preserve"> need to:</w:t>
      </w:r>
    </w:p>
    <w:p w14:paraId="665880D6" w14:textId="7A38D4C8" w:rsidR="000922E9" w:rsidRPr="00F543C1" w:rsidRDefault="00EE54E0" w:rsidP="000922E9">
      <w:pPr>
        <w:pStyle w:val="USBullet1"/>
      </w:pPr>
      <w:r w:rsidRPr="00F543C1">
        <w:t>c</w:t>
      </w:r>
      <w:r w:rsidR="00CE07BF" w:rsidRPr="00F543C1">
        <w:t>learly articulate</w:t>
      </w:r>
      <w:r w:rsidRPr="00F543C1">
        <w:t xml:space="preserve"> their objectives</w:t>
      </w:r>
      <w:r w:rsidR="00E14551" w:rsidRPr="00F543C1">
        <w:t xml:space="preserve"> across all portfolios</w:t>
      </w:r>
    </w:p>
    <w:p w14:paraId="796FEB13" w14:textId="7432690A" w:rsidR="000922E9" w:rsidRPr="00F543C1" w:rsidRDefault="00EE54E0" w:rsidP="000922E9">
      <w:pPr>
        <w:pStyle w:val="USBullet1"/>
      </w:pPr>
      <w:r w:rsidRPr="00F543C1">
        <w:t>set</w:t>
      </w:r>
      <w:r w:rsidR="004F5D4D" w:rsidRPr="00F543C1">
        <w:t xml:space="preserve"> </w:t>
      </w:r>
      <w:r w:rsidRPr="00F543C1">
        <w:t xml:space="preserve">out the </w:t>
      </w:r>
      <w:r w:rsidR="004F5D4D" w:rsidRPr="00F543C1">
        <w:t xml:space="preserve">policies and </w:t>
      </w:r>
      <w:r w:rsidRPr="00F543C1">
        <w:t xml:space="preserve">programmes </w:t>
      </w:r>
      <w:r w:rsidR="004F5D4D" w:rsidRPr="00F543C1">
        <w:t xml:space="preserve">they propose to achieve those </w:t>
      </w:r>
      <w:proofErr w:type="gramStart"/>
      <w:r w:rsidR="004F5D4D" w:rsidRPr="00F543C1">
        <w:t>objectives</w:t>
      </w:r>
      <w:proofErr w:type="gramEnd"/>
      <w:r w:rsidR="00957A50" w:rsidRPr="00F543C1">
        <w:t xml:space="preserve"> </w:t>
      </w:r>
    </w:p>
    <w:p w14:paraId="7B9BBD22" w14:textId="2233D418" w:rsidR="000922E9" w:rsidRPr="00F543C1" w:rsidRDefault="00957A50" w:rsidP="00182528">
      <w:pPr>
        <w:pStyle w:val="USBullet1"/>
      </w:pPr>
      <w:r w:rsidRPr="00F543C1">
        <w:lastRenderedPageBreak/>
        <w:t>have their actions and outcomes subject to independent scrutiny</w:t>
      </w:r>
      <w:r w:rsidR="00031A13" w:rsidRPr="00F543C1">
        <w:t xml:space="preserve">, including </w:t>
      </w:r>
      <w:r w:rsidR="00701843">
        <w:t>ensuring</w:t>
      </w:r>
      <w:r w:rsidR="00701843" w:rsidRPr="00F543C1">
        <w:t xml:space="preserve"> </w:t>
      </w:r>
      <w:r w:rsidR="00031A13" w:rsidRPr="00F543C1">
        <w:t xml:space="preserve">the voices of </w:t>
      </w:r>
      <w:r w:rsidR="00701843">
        <w:t>people</w:t>
      </w:r>
      <w:r w:rsidR="00031A13" w:rsidRPr="00F543C1">
        <w:t xml:space="preserve"> experiencing persistent disadvantage </w:t>
      </w:r>
      <w:r w:rsidR="00BA36BD">
        <w:t>are</w:t>
      </w:r>
      <w:r w:rsidR="00031A13" w:rsidRPr="00F543C1">
        <w:t xml:space="preserve"> </w:t>
      </w:r>
      <w:r w:rsidR="000922E9" w:rsidRPr="00F543C1">
        <w:t xml:space="preserve">heard, and </w:t>
      </w:r>
    </w:p>
    <w:p w14:paraId="7A9C7308" w14:textId="6FD85FC0" w:rsidR="000922E9" w:rsidRPr="00F543C1" w:rsidRDefault="00031A13" w:rsidP="000922E9">
      <w:pPr>
        <w:pStyle w:val="USBullet1"/>
      </w:pPr>
      <w:r w:rsidRPr="00F543C1">
        <w:t>commit to mak</w:t>
      </w:r>
      <w:r w:rsidR="007177B2" w:rsidRPr="00F543C1">
        <w:t>ing</w:t>
      </w:r>
      <w:r w:rsidRPr="00F543C1">
        <w:t xml:space="preserve"> changes if policies and programme</w:t>
      </w:r>
      <w:r w:rsidR="006F350A" w:rsidRPr="00F543C1">
        <w:t>s</w:t>
      </w:r>
      <w:r w:rsidRPr="00F543C1">
        <w:t xml:space="preserve"> are not effective.</w:t>
      </w:r>
    </w:p>
    <w:p w14:paraId="2C9FABD3" w14:textId="5BCEFA5D" w:rsidR="00881536" w:rsidRPr="00F543C1" w:rsidRDefault="00B718AD" w:rsidP="00182528">
      <w:pPr>
        <w:pStyle w:val="USBodyText"/>
        <w:rPr>
          <w:color w:val="222222"/>
        </w:rPr>
      </w:pPr>
      <w:r w:rsidRPr="00F543C1">
        <w:rPr>
          <w:color w:val="222222"/>
        </w:rPr>
        <w:t xml:space="preserve">Getting such a commitment from our political leaders, and holding them to it, is </w:t>
      </w:r>
      <w:r w:rsidR="00E14551" w:rsidRPr="00F543C1">
        <w:rPr>
          <w:color w:val="222222"/>
        </w:rPr>
        <w:t>a necessary condition for change.</w:t>
      </w:r>
      <w:r w:rsidRPr="00F543C1">
        <w:rPr>
          <w:color w:val="222222"/>
        </w:rPr>
        <w:t xml:space="preserve"> Doing so would represent a fundamental shift in </w:t>
      </w:r>
      <w:r w:rsidR="006B3E8D" w:rsidRPr="00F543C1">
        <w:rPr>
          <w:color w:val="222222"/>
        </w:rPr>
        <w:t>our system of government</w:t>
      </w:r>
      <w:r w:rsidRPr="00F543C1">
        <w:rPr>
          <w:color w:val="222222"/>
        </w:rPr>
        <w:t>.</w:t>
      </w:r>
      <w:r w:rsidRPr="009006D7">
        <w:rPr>
          <w:rStyle w:val="FootnoteReference"/>
        </w:rPr>
        <w:footnoteReference w:id="26"/>
      </w:r>
      <w:r w:rsidR="00502540" w:rsidRPr="00726346">
        <w:rPr>
          <w:color w:val="222222"/>
        </w:rPr>
        <w:t xml:space="preserve"> </w:t>
      </w:r>
    </w:p>
    <w:p w14:paraId="11B3D21A" w14:textId="1F00CD10" w:rsidR="000A3703" w:rsidRPr="00F543C1" w:rsidRDefault="000A3703" w:rsidP="0081572F">
      <w:pPr>
        <w:pStyle w:val="Heading2"/>
      </w:pPr>
      <w:bookmarkStart w:id="26" w:name="_Toc126092080"/>
      <w:bookmarkStart w:id="27" w:name="_Toc126841196"/>
      <w:r w:rsidRPr="00F543C1">
        <w:t xml:space="preserve">An </w:t>
      </w:r>
      <w:r w:rsidR="00A2392D" w:rsidRPr="00F543C1">
        <w:t>enduring challenge</w:t>
      </w:r>
      <w:bookmarkEnd w:id="26"/>
      <w:bookmarkEnd w:id="27"/>
    </w:p>
    <w:p w14:paraId="4C736583" w14:textId="7756BB81" w:rsidR="00881536" w:rsidRPr="00F543C1" w:rsidRDefault="00AC0C37" w:rsidP="007B4FA7">
      <w:pPr>
        <w:pStyle w:val="USBodyText"/>
        <w:keepNext/>
        <w:keepLines/>
      </w:pPr>
      <w:r w:rsidRPr="00F543C1">
        <w:t xml:space="preserve">Addressing </w:t>
      </w:r>
      <w:r w:rsidR="007A5114" w:rsidRPr="00F543C1">
        <w:t xml:space="preserve">disadvantage has been a policy goal for decades. </w:t>
      </w:r>
      <w:r w:rsidR="00881536" w:rsidRPr="00F543C1">
        <w:t xml:space="preserve">In its 2015 </w:t>
      </w:r>
      <w:r w:rsidR="008A5BC7" w:rsidRPr="00F543C1">
        <w:t>r</w:t>
      </w:r>
      <w:r w:rsidR="00881536" w:rsidRPr="00F543C1">
        <w:t xml:space="preserve">eport on </w:t>
      </w:r>
      <w:r w:rsidR="00881536" w:rsidRPr="00F543C1">
        <w:rPr>
          <w:i/>
          <w:iCs/>
        </w:rPr>
        <w:t xml:space="preserve">More </w:t>
      </w:r>
      <w:r w:rsidR="008247D2">
        <w:rPr>
          <w:i/>
          <w:iCs/>
        </w:rPr>
        <w:t>e</w:t>
      </w:r>
      <w:r w:rsidR="00881536" w:rsidRPr="00F543C1">
        <w:rPr>
          <w:i/>
          <w:iCs/>
        </w:rPr>
        <w:t xml:space="preserve">ffective </w:t>
      </w:r>
      <w:r w:rsidR="008247D2">
        <w:rPr>
          <w:i/>
          <w:iCs/>
        </w:rPr>
        <w:t>s</w:t>
      </w:r>
      <w:r w:rsidR="00881536" w:rsidRPr="00F543C1">
        <w:rPr>
          <w:i/>
          <w:iCs/>
        </w:rPr>
        <w:t xml:space="preserve">ocial </w:t>
      </w:r>
      <w:r w:rsidR="008247D2">
        <w:rPr>
          <w:i/>
          <w:iCs/>
        </w:rPr>
        <w:t>s</w:t>
      </w:r>
      <w:r w:rsidR="00881536" w:rsidRPr="00F543C1">
        <w:rPr>
          <w:i/>
          <w:iCs/>
        </w:rPr>
        <w:t>ervices</w:t>
      </w:r>
      <w:r w:rsidR="00881536" w:rsidRPr="00F543C1">
        <w:t xml:space="preserve">, the Productivity Commission concluded that a new approach, requiring a major shift in thinking and structures, was required to make a real difference for the most disadvantaged New Zealanders </w:t>
      </w:r>
      <w:r w:rsidR="00881536" w:rsidRPr="00F543C1">
        <w:fldChar w:fldCharType="begin"/>
      </w:r>
      <w:r w:rsidR="009B0EC4">
        <w:instrText xml:space="preserve"> ADDIN ZOTERO_ITEM CSL_CITATION {"citationID":"akl7icc99f","properties":{"formattedCitation":"(New Zealand Productivity Commission 2015, iii)","plainCitation":"(New Zealand Productivity Commission 2015, iii)","noteIndex":0},"citationItems":[{"id":14096,"uris":["http://zotero.org/groups/4623831/items/XXV9BK5F"],"itemData":{"id":14096,"type":"report","event-place":"Wellington","language":"English","note":"OCLC: 921943108","publisher":"New Zealand Productivity Commission","publisher-place":"Wellington","source":"Open WorldCat","title":"More effective social services","URL":"http://www.productivity.govt.nz/sites/default/files/social-services-final-report-main.pdf","author":[{"literal":"New Zealand Productivity Commission"}],"accessed":{"date-parts":[["2022",4,4]]},"issued":{"date-parts":[["2015"]]}},"locator":"iii","label":"page"}],"schema":"https://github.com/citation-style-language/schema/raw/master/csl-citation.json"} </w:instrText>
      </w:r>
      <w:r w:rsidR="00881536" w:rsidRPr="00F543C1">
        <w:fldChar w:fldCharType="separate"/>
      </w:r>
      <w:r w:rsidR="00881536" w:rsidRPr="00F543C1">
        <w:rPr>
          <w:rFonts w:cs="Calibri"/>
          <w:szCs w:val="24"/>
        </w:rPr>
        <w:t>(New Zealand Productivity Commission 2015, iii)</w:t>
      </w:r>
      <w:r w:rsidR="00881536" w:rsidRPr="00F543C1">
        <w:fldChar w:fldCharType="end"/>
      </w:r>
      <w:r w:rsidR="00881536" w:rsidRPr="00726346">
        <w:t>. Tellingly, the Commission said:</w:t>
      </w:r>
    </w:p>
    <w:p w14:paraId="020A2816" w14:textId="27B55D7F" w:rsidR="00881536" w:rsidRPr="00F543C1" w:rsidRDefault="00881536" w:rsidP="007B4FA7">
      <w:pPr>
        <w:pStyle w:val="Quotation"/>
        <w:keepNext/>
        <w:keepLines/>
        <w:rPr>
          <w:i w:val="0"/>
          <w:iCs/>
        </w:rPr>
      </w:pPr>
      <w:r w:rsidRPr="00F543C1">
        <w:t xml:space="preserve">The weaknesses identified by the Commission are not new. Many have been noted for decades and remain despite attempts to address them. Numerous government reviews over the past 20 years have identified remarkably consistent lists of </w:t>
      </w:r>
      <w:proofErr w:type="gramStart"/>
      <w:r w:rsidRPr="00F543C1">
        <w:t>issues, and</w:t>
      </w:r>
      <w:proofErr w:type="gramEnd"/>
      <w:r w:rsidRPr="00F543C1">
        <w:t xml:space="preserve"> proposed similarly consistent solutions</w:t>
      </w:r>
      <w:r w:rsidRPr="00F543C1">
        <w:rPr>
          <w:color w:val="30353F" w:themeColor="text1"/>
        </w:rPr>
        <w:t xml:space="preserve">. </w:t>
      </w:r>
      <w:r w:rsidRPr="00F543C1">
        <w:rPr>
          <w:i w:val="0"/>
          <w:iCs/>
          <w:color w:val="30353F" w:themeColor="text1"/>
        </w:rPr>
        <w:t>(</w:t>
      </w:r>
      <w:r w:rsidR="00070CBD">
        <w:rPr>
          <w:i w:val="0"/>
          <w:iCs/>
          <w:color w:val="30353F" w:themeColor="text1"/>
        </w:rPr>
        <w:t>ibid</w:t>
      </w:r>
      <w:r w:rsidR="00625A2F">
        <w:rPr>
          <w:i w:val="0"/>
          <w:iCs/>
          <w:color w:val="30353F" w:themeColor="text1"/>
        </w:rPr>
        <w:t>.</w:t>
      </w:r>
      <w:r w:rsidRPr="00F543C1">
        <w:rPr>
          <w:i w:val="0"/>
          <w:iCs/>
          <w:color w:val="30353F" w:themeColor="text1"/>
        </w:rPr>
        <w:t>, 65)</w:t>
      </w:r>
    </w:p>
    <w:p w14:paraId="5C1EB88F" w14:textId="02364926" w:rsidR="00C454AC" w:rsidRPr="00F543C1" w:rsidRDefault="00881536" w:rsidP="00881536">
      <w:pPr>
        <w:pStyle w:val="USBodyText"/>
      </w:pPr>
      <w:r w:rsidRPr="00F543C1">
        <w:t>And yet, here we are seven years later</w:t>
      </w:r>
      <w:r w:rsidR="00ED11FE" w:rsidRPr="00F543C1">
        <w:t>,</w:t>
      </w:r>
      <w:r w:rsidRPr="00F543C1">
        <w:t xml:space="preserve"> writing a report on what accountability changes are needed to address persistent disadvantage.</w:t>
      </w:r>
    </w:p>
    <w:p w14:paraId="7190D74B" w14:textId="2616DF77" w:rsidR="00EB6558" w:rsidRPr="00F543C1" w:rsidRDefault="00876364" w:rsidP="00881536">
      <w:pPr>
        <w:pStyle w:val="USBodyText"/>
      </w:pPr>
      <w:r w:rsidRPr="00F543C1">
        <w:t xml:space="preserve">The key </w:t>
      </w:r>
      <w:r w:rsidR="00D82775" w:rsidRPr="00F543C1">
        <w:t xml:space="preserve">question </w:t>
      </w:r>
      <w:r w:rsidRPr="00F543C1">
        <w:t xml:space="preserve">we have identified in our research leading up to this report is how, in a democracy, </w:t>
      </w:r>
      <w:r w:rsidR="00963CCE" w:rsidRPr="00F543C1">
        <w:t xml:space="preserve">the </w:t>
      </w:r>
      <w:r w:rsidRPr="00F543C1">
        <w:t xml:space="preserve">elected representatives </w:t>
      </w:r>
      <w:r w:rsidR="00CC6503" w:rsidRPr="00F543C1">
        <w:t>who</w:t>
      </w:r>
      <w:r w:rsidR="00963CCE" w:rsidRPr="00F543C1">
        <w:t xml:space="preserve"> have the power to set accountabili</w:t>
      </w:r>
      <w:r w:rsidR="00341AD4" w:rsidRPr="00F543C1">
        <w:t>ty</w:t>
      </w:r>
      <w:r w:rsidR="00963CCE" w:rsidRPr="00F543C1">
        <w:t xml:space="preserve"> rules </w:t>
      </w:r>
      <w:r w:rsidR="00D82775" w:rsidRPr="00F543C1">
        <w:t xml:space="preserve">can </w:t>
      </w:r>
      <w:r w:rsidR="00963CCE" w:rsidRPr="00F543C1">
        <w:t xml:space="preserve">be made </w:t>
      </w:r>
      <w:r w:rsidR="00E878BE" w:rsidRPr="00F543C1">
        <w:t xml:space="preserve">to agree to be </w:t>
      </w:r>
      <w:r w:rsidR="00963CCE" w:rsidRPr="00F543C1">
        <w:t>more accountable for addressing persistent disadvantage</w:t>
      </w:r>
      <w:r w:rsidR="00D82775" w:rsidRPr="00F543C1">
        <w:t>.</w:t>
      </w:r>
      <w:r w:rsidR="00E337FC" w:rsidRPr="00F543C1">
        <w:t xml:space="preserve"> </w:t>
      </w:r>
      <w:r w:rsidR="006B3E8D" w:rsidRPr="00F543C1">
        <w:t>We answer this question in the rest of this report.</w:t>
      </w:r>
    </w:p>
    <w:p w14:paraId="4A1B43A7" w14:textId="5D0170D8" w:rsidR="00964BBF" w:rsidRPr="00F543C1" w:rsidRDefault="00964BBF" w:rsidP="00964BBF">
      <w:pPr>
        <w:pStyle w:val="Heading2"/>
      </w:pPr>
      <w:bookmarkStart w:id="28" w:name="_Toc124849581"/>
      <w:bookmarkStart w:id="29" w:name="_Toc124849915"/>
      <w:bookmarkStart w:id="30" w:name="_Toc124849582"/>
      <w:bookmarkStart w:id="31" w:name="_Toc124849916"/>
      <w:bookmarkStart w:id="32" w:name="_Toc124849583"/>
      <w:bookmarkStart w:id="33" w:name="_Toc124849917"/>
      <w:bookmarkStart w:id="34" w:name="_Toc124849584"/>
      <w:bookmarkStart w:id="35" w:name="_Toc124849918"/>
      <w:bookmarkStart w:id="36" w:name="_Toc124849585"/>
      <w:bookmarkStart w:id="37" w:name="_Toc124849919"/>
      <w:bookmarkStart w:id="38" w:name="_Toc124849586"/>
      <w:bookmarkStart w:id="39" w:name="_Toc124849920"/>
      <w:bookmarkStart w:id="40" w:name="_Toc126092081"/>
      <w:bookmarkStart w:id="41" w:name="_Toc126841197"/>
      <w:bookmarkEnd w:id="28"/>
      <w:bookmarkEnd w:id="29"/>
      <w:bookmarkEnd w:id="30"/>
      <w:bookmarkEnd w:id="31"/>
      <w:bookmarkEnd w:id="32"/>
      <w:bookmarkEnd w:id="33"/>
      <w:bookmarkEnd w:id="34"/>
      <w:bookmarkEnd w:id="35"/>
      <w:bookmarkEnd w:id="36"/>
      <w:bookmarkEnd w:id="37"/>
      <w:bookmarkEnd w:id="38"/>
      <w:bookmarkEnd w:id="39"/>
      <w:r w:rsidRPr="00F543C1">
        <w:t>Outline</w:t>
      </w:r>
      <w:bookmarkEnd w:id="40"/>
      <w:bookmarkEnd w:id="41"/>
    </w:p>
    <w:p w14:paraId="03554621" w14:textId="6A98C809" w:rsidR="00D042B9" w:rsidRPr="00F543C1" w:rsidRDefault="00D042B9" w:rsidP="00D042B9">
      <w:pPr>
        <w:pStyle w:val="USBodyText"/>
        <w:keepNext/>
        <w:keepLines/>
      </w:pPr>
      <w:r w:rsidRPr="00F543C1">
        <w:t xml:space="preserve">In the following sections of this </w:t>
      </w:r>
      <w:r w:rsidR="004D2422" w:rsidRPr="00F543C1">
        <w:t>report,</w:t>
      </w:r>
      <w:r w:rsidRPr="00F543C1">
        <w:t xml:space="preserve"> we</w:t>
      </w:r>
      <w:r w:rsidR="006B368A" w:rsidRPr="00F543C1">
        <w:t xml:space="preserve"> discuss</w:t>
      </w:r>
      <w:r w:rsidRPr="00F543C1">
        <w:t>:</w:t>
      </w:r>
      <w:r w:rsidR="00067ED7" w:rsidRPr="00F543C1">
        <w:t xml:space="preserve"> </w:t>
      </w:r>
    </w:p>
    <w:p w14:paraId="340A924D" w14:textId="77777777" w:rsidR="00D81906" w:rsidRPr="00F543C1" w:rsidRDefault="00D81906" w:rsidP="006B368A">
      <w:pPr>
        <w:pStyle w:val="USBullet1"/>
      </w:pPr>
      <w:r w:rsidRPr="00F543C1">
        <w:t xml:space="preserve">Persistent disadvantage: what it is, what the policy objectives should be and what we know about the system changes needed to make </w:t>
      </w:r>
      <w:proofErr w:type="gramStart"/>
      <w:r w:rsidRPr="00F543C1">
        <w:t>improvements</w:t>
      </w:r>
      <w:proofErr w:type="gramEnd"/>
    </w:p>
    <w:p w14:paraId="149B57A3" w14:textId="6C1C4E0A" w:rsidR="00D81906" w:rsidRPr="00F543C1" w:rsidRDefault="00D81906" w:rsidP="006B368A">
      <w:pPr>
        <w:pStyle w:val="USBullet1"/>
      </w:pPr>
      <w:r w:rsidRPr="00F543C1">
        <w:t xml:space="preserve">Accountability: theory, mechanisms, how to incorporate </w:t>
      </w:r>
      <w:proofErr w:type="spellStart"/>
      <w:r w:rsidR="00FD5869" w:rsidRPr="00F543C1">
        <w:t>T</w:t>
      </w:r>
      <w:r w:rsidRPr="00F543C1">
        <w:t>e</w:t>
      </w:r>
      <w:proofErr w:type="spellEnd"/>
      <w:r w:rsidRPr="00F543C1">
        <w:t xml:space="preserve"> Ao Māori and other world views, </w:t>
      </w:r>
      <w:r w:rsidR="00FD5869" w:rsidRPr="00F543C1">
        <w:t xml:space="preserve">and </w:t>
      </w:r>
      <w:r w:rsidRPr="00F543C1">
        <w:t>current practice in Aotearoa New Zealand</w:t>
      </w:r>
    </w:p>
    <w:p w14:paraId="267DBC84" w14:textId="57E1B390" w:rsidR="00D81906" w:rsidRPr="00F543C1" w:rsidRDefault="00D81906" w:rsidP="006B368A">
      <w:pPr>
        <w:pStyle w:val="USBullet1"/>
      </w:pPr>
      <w:r w:rsidRPr="00F543C1">
        <w:t>Making better use of accountability to address persistent disadvantage</w:t>
      </w:r>
      <w:r w:rsidR="00FB0D1F" w:rsidRPr="00F543C1">
        <w:t xml:space="preserve"> and</w:t>
      </w:r>
    </w:p>
    <w:p w14:paraId="40B5E58D" w14:textId="77777777" w:rsidR="00D81906" w:rsidRPr="00F543C1" w:rsidRDefault="00D81906" w:rsidP="006B368A">
      <w:pPr>
        <w:pStyle w:val="USBullet1"/>
      </w:pPr>
      <w:r w:rsidRPr="00F543C1">
        <w:t>The challenge to policy makers to accept more accountability.</w:t>
      </w:r>
    </w:p>
    <w:p w14:paraId="67A802F5" w14:textId="155FB4C2" w:rsidR="00D042B9" w:rsidRPr="00F543C1" w:rsidRDefault="0094365D" w:rsidP="004D694C">
      <w:pPr>
        <w:pStyle w:val="USBodyText"/>
      </w:pPr>
      <w:r w:rsidRPr="00F543C1">
        <w:t>The literature we have reviewed comes from countries</w:t>
      </w:r>
      <w:r w:rsidR="000B4312">
        <w:t xml:space="preserve"> with a variety of </w:t>
      </w:r>
      <w:r w:rsidRPr="00F543C1">
        <w:t xml:space="preserve">constitutional </w:t>
      </w:r>
      <w:r w:rsidR="000B4312">
        <w:t>and</w:t>
      </w:r>
      <w:r w:rsidRPr="00F543C1">
        <w:t xml:space="preserve"> social structures.</w:t>
      </w:r>
      <w:r w:rsidRPr="009006D7">
        <w:rPr>
          <w:rStyle w:val="FootnoteReference"/>
        </w:rPr>
        <w:footnoteReference w:id="27"/>
      </w:r>
      <w:r w:rsidRPr="00726346">
        <w:t xml:space="preserve"> We have, therefore, needed to extract relevant principles and adapt them to the context of Aotearoa New Zealand today.</w:t>
      </w:r>
    </w:p>
    <w:p w14:paraId="1A1DE40D" w14:textId="2966D619" w:rsidR="001E29AB" w:rsidRPr="00F543C1" w:rsidRDefault="001E29AB" w:rsidP="001E29AB">
      <w:pPr>
        <w:pStyle w:val="Heading1"/>
      </w:pPr>
      <w:bookmarkStart w:id="42" w:name="_Ref124760599"/>
      <w:bookmarkStart w:id="43" w:name="_Toc126092082"/>
      <w:bookmarkStart w:id="44" w:name="_Ref126323353"/>
      <w:bookmarkStart w:id="45" w:name="_Ref126323388"/>
      <w:bookmarkStart w:id="46" w:name="_Toc126841198"/>
      <w:r w:rsidRPr="00F543C1">
        <w:lastRenderedPageBreak/>
        <w:t>Persistent disadvantage</w:t>
      </w:r>
      <w:bookmarkEnd w:id="42"/>
      <w:bookmarkEnd w:id="43"/>
      <w:bookmarkEnd w:id="44"/>
      <w:bookmarkEnd w:id="45"/>
      <w:bookmarkEnd w:id="46"/>
    </w:p>
    <w:p w14:paraId="07C2787B" w14:textId="06C877C4" w:rsidR="001E29AB" w:rsidRPr="00F543C1" w:rsidRDefault="77ABB062" w:rsidP="001E29AB">
      <w:pPr>
        <w:pStyle w:val="USBodyText"/>
      </w:pPr>
      <w:r w:rsidRPr="00F543C1">
        <w:t xml:space="preserve">In determining how to respond to persistent disadvantage, it is important to understand </w:t>
      </w:r>
      <w:r w:rsidR="00AD3D41" w:rsidRPr="00F543C1">
        <w:t xml:space="preserve">both </w:t>
      </w:r>
      <w:r w:rsidRPr="00F543C1">
        <w:t xml:space="preserve">its causes and impacts. As the Productivity Commission notes in </w:t>
      </w:r>
      <w:r w:rsidR="00011B25" w:rsidRPr="00F543C1">
        <w:t xml:space="preserve">Chapter </w:t>
      </w:r>
      <w:r w:rsidRPr="00F543C1">
        <w:t xml:space="preserve">4 of its interim report for the </w:t>
      </w:r>
      <w:r w:rsidRPr="00F543C1">
        <w:rPr>
          <w:i/>
          <w:iCs/>
        </w:rPr>
        <w:t xml:space="preserve">A fair chance for all </w:t>
      </w:r>
      <w:r w:rsidRPr="00F543C1">
        <w:t xml:space="preserve">inquiry </w:t>
      </w:r>
      <w:r w:rsidR="001E29AB" w:rsidRPr="00F543C1">
        <w:fldChar w:fldCharType="begin"/>
      </w:r>
      <w:r w:rsidR="009B0EC4">
        <w:instrText xml:space="preserve"> ADDIN ZOTERO_ITEM CSL_CITATION {"citationID":"h6JyYn4j","properties":{"formattedCitation":"(New Zealand Productivity Commission 2022a)","plainCitation":"(New Zealand Productivity Commission 2022a)","noteIndex":0},"citationItems":[{"id":16621,"uris":["http://zotero.org/groups/4801058/items/WYNPCXJD"],"itemData":{"id":16621,"type":"report","event-place":"Wellington","publisher":"New Zealand Productivity Commission","publisher-place":"Wellington","title":"Fair Chance for All Interim Report - Breaking the Cycle of Persistent Disadvantage","author":[{"family":"New Zealand Productivity Commission","given":""}],"issued":{"date-parts":[["2022"]]}}}],"schema":"https://github.com/citation-style-language/schema/raw/master/csl-citation.json"} </w:instrText>
      </w:r>
      <w:r w:rsidR="001E29AB" w:rsidRPr="00F543C1">
        <w:fldChar w:fldCharType="separate"/>
      </w:r>
      <w:r w:rsidRPr="00F543C1">
        <w:rPr>
          <w:rFonts w:cs="Calibri"/>
        </w:rPr>
        <w:t>(New Zealand Productivity Commission 2022a)</w:t>
      </w:r>
      <w:r w:rsidR="001E29AB" w:rsidRPr="00F543C1">
        <w:fldChar w:fldCharType="end"/>
      </w:r>
      <w:r w:rsidRPr="00726346">
        <w:t xml:space="preserve">, </w:t>
      </w:r>
      <w:r w:rsidR="00CB0012" w:rsidRPr="00F543C1">
        <w:t xml:space="preserve">an </w:t>
      </w:r>
      <w:r w:rsidRPr="00F543C1">
        <w:t xml:space="preserve">understanding of effects is more developed than </w:t>
      </w:r>
      <w:r w:rsidR="00CB0012" w:rsidRPr="00F543C1">
        <w:t xml:space="preserve">an </w:t>
      </w:r>
      <w:r w:rsidRPr="00F543C1">
        <w:t>understanding of causes.</w:t>
      </w:r>
      <w:r w:rsidR="001E29AB" w:rsidRPr="009006D7">
        <w:rPr>
          <w:rStyle w:val="FootnoteReference"/>
        </w:rPr>
        <w:footnoteReference w:id="28"/>
      </w:r>
      <w:r w:rsidRPr="00726346">
        <w:t xml:space="preserve"> </w:t>
      </w:r>
    </w:p>
    <w:p w14:paraId="3A1E1F8C" w14:textId="49066BD0" w:rsidR="00F628CE" w:rsidRPr="00F543C1" w:rsidRDefault="004C0861" w:rsidP="001E29AB">
      <w:pPr>
        <w:pStyle w:val="USBodyText"/>
      </w:pPr>
      <w:r w:rsidRPr="00F543C1">
        <w:t xml:space="preserve">In this section, we examine </w:t>
      </w:r>
      <w:r w:rsidR="00F628CE" w:rsidRPr="00F543C1">
        <w:t xml:space="preserve">what </w:t>
      </w:r>
      <w:r w:rsidR="00171CB7">
        <w:t>is</w:t>
      </w:r>
      <w:r w:rsidR="00171CB7" w:rsidRPr="00F543C1">
        <w:t xml:space="preserve"> </w:t>
      </w:r>
      <w:r w:rsidR="00F628CE" w:rsidRPr="00F543C1">
        <w:t>currently underst</w:t>
      </w:r>
      <w:r w:rsidR="00171CB7">
        <w:t>ood</w:t>
      </w:r>
      <w:r w:rsidR="00F628CE" w:rsidRPr="00F543C1">
        <w:t xml:space="preserve"> about the causes and consequences of persistent disadvantage and what that </w:t>
      </w:r>
      <w:r w:rsidR="006B3E8D" w:rsidRPr="00F543C1">
        <w:t>implies</w:t>
      </w:r>
      <w:r w:rsidR="00F628CE" w:rsidRPr="00F543C1">
        <w:t xml:space="preserve"> for developing suitable accountability regimes.</w:t>
      </w:r>
    </w:p>
    <w:p w14:paraId="2BA81039" w14:textId="02A6341F" w:rsidR="00CB04F1" w:rsidRPr="00F543C1" w:rsidRDefault="00CB04F1" w:rsidP="00CB04F1">
      <w:pPr>
        <w:pStyle w:val="Heading2"/>
      </w:pPr>
      <w:bookmarkStart w:id="47" w:name="_Toc126092083"/>
      <w:bookmarkStart w:id="48" w:name="_Toc126841199"/>
      <w:r w:rsidRPr="00F543C1">
        <w:t>A diverse population</w:t>
      </w:r>
      <w:bookmarkEnd w:id="47"/>
      <w:bookmarkEnd w:id="48"/>
    </w:p>
    <w:p w14:paraId="69832EED" w14:textId="5C722368" w:rsidR="00CB04F1" w:rsidRPr="00726346" w:rsidRDefault="00CB04F1" w:rsidP="00CB04F1">
      <w:pPr>
        <w:ind w:left="851"/>
      </w:pPr>
      <w:r w:rsidRPr="00F543C1">
        <w:t xml:space="preserve">While understanding of who is experiencing persistent disadvantage at the individual and whānau level is still developing, the Productivity Commission’s interim report shows that proportionately greater numbers of sole parents, Māori and Pacific and disabled people are more likely to face choices that are so constrained that they limit their ability to live better lives </w:t>
      </w:r>
      <w:r w:rsidRPr="00F543C1">
        <w:fldChar w:fldCharType="begin"/>
      </w:r>
      <w:r w:rsidR="009B0EC4">
        <w:instrText xml:space="preserve"> ADDIN ZOTERO_ITEM CSL_CITATION {"citationID":"leZZWBqs","properties":{"formattedCitation":"(New Zealand Productivity Commission 2022a, 37 ff)","plainCitation":"(New Zealand Productivity Commission 2022a, 37 ff)","noteIndex":0},"citationItems":[{"id":16621,"uris":["http://zotero.org/groups/4801058/items/WYNPCXJD"],"itemData":{"id":16621,"type":"report","event-place":"Wellington","publisher":"New Zealand Productivity Commission","publisher-place":"Wellington","title":"Fair Chance for All Interim Report - Breaking the Cycle of Persistent Disadvantage","author":[{"family":"New Zealand Productivity Commission","given":""}],"issued":{"date-parts":[["2022"]]}},"locator":"37 ff","label":"page"}],"schema":"https://github.com/citation-style-language/schema/raw/master/csl-citation.json"} </w:instrText>
      </w:r>
      <w:r w:rsidRPr="00F543C1">
        <w:fldChar w:fldCharType="separate"/>
      </w:r>
      <w:r w:rsidRPr="00F543C1">
        <w:rPr>
          <w:rFonts w:cs="Calibri"/>
        </w:rPr>
        <w:t>(New Zealand Productivity Commission 2022a, 37 ff)</w:t>
      </w:r>
      <w:r w:rsidRPr="00F543C1">
        <w:fldChar w:fldCharType="end"/>
      </w:r>
      <w:r w:rsidRPr="00726346">
        <w:t>. Although robust data on recent</w:t>
      </w:r>
      <w:r w:rsidRPr="00F543C1">
        <w:t xml:space="preserve"> migrants, particularly refugees, is harder to come by, there is also evidence that people migrating from certain places or arriving under certain conditions are also more likely to experience persistent disadvantage </w:t>
      </w:r>
      <w:r w:rsidRPr="00F543C1">
        <w:fldChar w:fldCharType="begin"/>
      </w:r>
      <w:r w:rsidR="009B0EC4">
        <w:instrText xml:space="preserve"> ADDIN ZOTERO_ITEM CSL_CITATION {"citationID":"Y3s2UFk1","properties":{"formattedCitation":"(New Zealand Productivity Commission 2022c, 91)","plainCitation":"(New Zealand Productivity Commission 2022c, 91)","noteIndex":0},"citationItems":[{"id":16861,"uris":["http://zotero.org/groups/4801058/items/VS3KZH84"],"itemData":{"id":16861,"type":"book","event-place":"Wellington, New Zealand","ISBN":"978-1-988519-80-7","language":"eng","note":"OCLC: 1333208879","publisher":"New Zealand Productivity Commission = Te Kōmihana Whai Hua o Aotearoa","publisher-place":"Wellington, New Zealand","source":"Open WorldCat","title":"Immigration by the numbers","author":[{"family":"New Zealand Productivity Commission","given":""}],"issued":{"date-parts":[["2022"]]}},"locator":"91","label":"page"}],"schema":"https://github.com/citation-style-language/schema/raw/master/csl-citation.json"} </w:instrText>
      </w:r>
      <w:r w:rsidRPr="00F543C1">
        <w:fldChar w:fldCharType="separate"/>
      </w:r>
      <w:r w:rsidRPr="00F543C1">
        <w:rPr>
          <w:rFonts w:cs="Calibri"/>
        </w:rPr>
        <w:t>(New Zealand Productivity Commission 2022c, 91)</w:t>
      </w:r>
      <w:r w:rsidRPr="00F543C1">
        <w:fldChar w:fldCharType="end"/>
      </w:r>
      <w:r w:rsidRPr="00726346">
        <w:t>.</w:t>
      </w:r>
      <w:r w:rsidRPr="009006D7">
        <w:rPr>
          <w:rStyle w:val="FootnoteReference"/>
        </w:rPr>
        <w:footnoteReference w:id="29"/>
      </w:r>
    </w:p>
    <w:p w14:paraId="68AC1A3A" w14:textId="77777777" w:rsidR="00CB04F1" w:rsidRPr="00F543C1" w:rsidRDefault="00CB04F1" w:rsidP="00CB04F1">
      <w:pPr>
        <w:ind w:left="851"/>
      </w:pPr>
      <w:r w:rsidRPr="00F543C1">
        <w:t xml:space="preserve">But as the Commission noted: </w:t>
      </w:r>
    </w:p>
    <w:p w14:paraId="2D7724FF" w14:textId="63B9D52D" w:rsidR="00CB04F1" w:rsidRPr="00726346" w:rsidRDefault="00CB04F1" w:rsidP="00CB04F1">
      <w:pPr>
        <w:spacing w:before="120"/>
        <w:ind w:left="1276" w:right="425"/>
        <w:rPr>
          <w:i/>
          <w:color w:val="30353F"/>
        </w:rPr>
      </w:pPr>
      <w:r w:rsidRPr="00F543C1">
        <w:rPr>
          <w:i/>
          <w:color w:val="30353F"/>
        </w:rPr>
        <w:t>While some population groups were more likely to be in persistent disadvantage, compared to the average New Zealand population, being part of the group does not mean they are experiencing persistent disadvantage. Approximately two-thirds of sole parents and nearly three-quarters of Māori or Pacific peoples did not experience persistent income poverty or persistent exclusion in 2013 and 2018</w:t>
      </w:r>
      <w:r w:rsidRPr="00F543C1">
        <w:rPr>
          <w:i/>
        </w:rPr>
        <w:t>.</w:t>
      </w:r>
      <w:r w:rsidRPr="00F543C1">
        <w:rPr>
          <w:i/>
          <w:color w:val="30353F" w:themeColor="text1"/>
        </w:rPr>
        <w:t xml:space="preserve"> </w:t>
      </w:r>
      <w:r w:rsidRPr="00F543C1">
        <w:rPr>
          <w:iCs/>
          <w:color w:val="30353F" w:themeColor="text1"/>
        </w:rPr>
        <w:fldChar w:fldCharType="begin"/>
      </w:r>
      <w:r w:rsidR="009B0EC4">
        <w:rPr>
          <w:iCs/>
          <w:color w:val="30353F" w:themeColor="text1"/>
        </w:rPr>
        <w:instrText xml:space="preserve"> ADDIN ZOTERO_ITEM CSL_CITATION {"citationID":"a17q2urksg7","properties":{"formattedCitation":"(New Zealand Productivity Commission 2022a, 38)","plainCitation":"(New Zealand Productivity Commission 2022a, 38)","noteIndex":0},"citationItems":[{"id":16621,"uris":["http://zotero.org/groups/4801058/items/WYNPCXJD"],"itemData":{"id":16621,"type":"report","event-place":"Wellington","publisher":"New Zealand Productivity Commission","publisher-place":"Wellington","title":"Fair Chance for All Interim Report - Breaking the Cycle of Persistent Disadvantage","author":[{"family":"New Zealand Productivity Commission","given":""}],"issued":{"date-parts":[["2022"]]}},"locator":"38","label":"page"}],"schema":"https://github.com/citation-style-language/schema/raw/master/csl-citation.json"} </w:instrText>
      </w:r>
      <w:r w:rsidRPr="00F543C1">
        <w:rPr>
          <w:iCs/>
          <w:color w:val="30353F" w:themeColor="text1"/>
        </w:rPr>
        <w:fldChar w:fldCharType="separate"/>
      </w:r>
      <w:r w:rsidRPr="00F543C1">
        <w:rPr>
          <w:rFonts w:cs="Calibri"/>
          <w:iCs/>
          <w:color w:val="30353F" w:themeColor="text1"/>
          <w:szCs w:val="24"/>
        </w:rPr>
        <w:t>(New Zealand Productivity Commission 2022a, 38)</w:t>
      </w:r>
      <w:r w:rsidRPr="00F543C1">
        <w:rPr>
          <w:iCs/>
          <w:color w:val="30353F" w:themeColor="text1"/>
        </w:rPr>
        <w:fldChar w:fldCharType="end"/>
      </w:r>
    </w:p>
    <w:p w14:paraId="088F370F" w14:textId="77777777" w:rsidR="00E01F57" w:rsidRDefault="00E01F57">
      <w:pPr>
        <w:spacing w:after="160" w:line="259" w:lineRule="auto"/>
      </w:pPr>
      <w:r>
        <w:br w:type="page"/>
      </w:r>
    </w:p>
    <w:p w14:paraId="4ED32320" w14:textId="71E56637" w:rsidR="00CB04F1" w:rsidRPr="00F543C1" w:rsidRDefault="00CB04F1" w:rsidP="00CB04F1">
      <w:pPr>
        <w:ind w:left="851"/>
      </w:pPr>
      <w:r w:rsidRPr="00F543C1">
        <w:lastRenderedPageBreak/>
        <w:t>Responding to multiple cultural perspectives will be an important and ongoing element of social policy development in Aotearoa, as we move to greater acceptance of the benefits of diversity and the limits of assimilationist thinking.</w:t>
      </w:r>
      <w:r w:rsidR="00942031" w:rsidRPr="009006D7">
        <w:rPr>
          <w:rStyle w:val="FootnoteReference"/>
        </w:rPr>
        <w:footnoteReference w:id="30"/>
      </w:r>
      <w:r w:rsidRPr="00726346">
        <w:t xml:space="preserve"> </w:t>
      </w:r>
    </w:p>
    <w:p w14:paraId="61FC9E55" w14:textId="0B7600C7" w:rsidR="00CB04F1" w:rsidRPr="00F543C1" w:rsidRDefault="00CB04F1" w:rsidP="00CB04F1">
      <w:pPr>
        <w:ind w:left="851"/>
      </w:pPr>
      <w:r w:rsidRPr="00F543C1">
        <w:t xml:space="preserve">High levels of emigration of New Zealand citizens and immigration of people from the rest of the world </w:t>
      </w:r>
      <w:r w:rsidR="0074026F" w:rsidRPr="00F543C1">
        <w:t xml:space="preserve">have </w:t>
      </w:r>
      <w:r w:rsidRPr="00F543C1">
        <w:t>resulted in Aotearoa having a large foreign-born population, which has added to the ethnic diversity of the country.</w:t>
      </w:r>
      <w:r w:rsidRPr="009006D7">
        <w:rPr>
          <w:rStyle w:val="FootnoteReference"/>
        </w:rPr>
        <w:footnoteReference w:id="31"/>
      </w:r>
      <w:r w:rsidRPr="00726346">
        <w:t xml:space="preserve"> </w:t>
      </w:r>
    </w:p>
    <w:p w14:paraId="335307CF" w14:textId="421D0F7A" w:rsidR="00CB04F1" w:rsidRPr="00F543C1" w:rsidRDefault="00CB04F1" w:rsidP="00CB04F1">
      <w:pPr>
        <w:ind w:left="851"/>
      </w:pPr>
      <w:r w:rsidRPr="00F543C1">
        <w:t xml:space="preserve">We have limited data on how many immigrants are experiencing persistent disadvantage and whether there is an ethnic dimension involved. Data published by the Productivity Commission suggest that Pacific peoples are over-represented in statistics on persistent disadvantage, but that does not record if they are more recent immigrants or New Zealand-born people </w:t>
      </w:r>
      <w:r w:rsidRPr="00F543C1">
        <w:fldChar w:fldCharType="begin"/>
      </w:r>
      <w:r w:rsidR="009B0EC4">
        <w:instrText xml:space="preserve"> ADDIN ZOTERO_ITEM CSL_CITATION {"citationID":"Mz3nlAsS","properties":{"formattedCitation":"(New Zealand Productivity Commission 2022a, 37 ff)","plainCitation":"(New Zealand Productivity Commission 2022a, 37 ff)","noteIndex":0},"citationItems":[{"id":16621,"uris":["http://zotero.org/groups/4801058/items/WYNPCXJD"],"itemData":{"id":16621,"type":"report","event-place":"Wellington","publisher":"New Zealand Productivity Commission","publisher-place":"Wellington","title":"Fair Chance for All Interim Report - Breaking the Cycle of Persistent Disadvantage","author":[{"family":"New Zealand Productivity Commission","given":""}],"issued":{"date-parts":[["2022"]]}},"locator":"37 ff","label":"page"}],"schema":"https://github.com/citation-style-language/schema/raw/master/csl-citation.json"} </w:instrText>
      </w:r>
      <w:r w:rsidRPr="00F543C1">
        <w:fldChar w:fldCharType="separate"/>
      </w:r>
      <w:r w:rsidRPr="00F543C1">
        <w:rPr>
          <w:rFonts w:cs="Calibri"/>
        </w:rPr>
        <w:t>(New Zealand Productivity Commission 2022a, 37 ff)</w:t>
      </w:r>
      <w:r w:rsidRPr="00F543C1">
        <w:fldChar w:fldCharType="end"/>
      </w:r>
      <w:r w:rsidRPr="00726346">
        <w:t>.</w:t>
      </w:r>
      <w:r w:rsidRPr="009006D7">
        <w:rPr>
          <w:rStyle w:val="FootnoteReference"/>
        </w:rPr>
        <w:footnoteReference w:id="32"/>
      </w:r>
      <w:r w:rsidRPr="00726346">
        <w:t xml:space="preserve"> Submissions pro</w:t>
      </w:r>
      <w:r w:rsidRPr="00F543C1">
        <w:t xml:space="preserve">vided to the Commission by Asian Family Services </w:t>
      </w:r>
      <w:r w:rsidR="00223BD3" w:rsidRPr="00F543C1">
        <w:t xml:space="preserve">have </w:t>
      </w:r>
      <w:r w:rsidRPr="00F543C1">
        <w:t xml:space="preserve">also identified a dearth of data, research and policy regarding persistent disadvantage in Asian and migrant communities </w:t>
      </w:r>
      <w:r w:rsidRPr="00F543C1">
        <w:fldChar w:fldCharType="begin"/>
      </w:r>
      <w:r w:rsidR="009B0EC4">
        <w:instrText xml:space="preserve"> ADDIN ZOTERO_ITEM CSL_CITATION {"citationID":"a1q162tqj69","properties":{"formattedCitation":"(Asian Family Services 2022a; 2022b)","plainCitation":"(Asian Family Services 2022a; 2022b)","noteIndex":0},"citationItems":[{"id":16937,"uris":["http://zotero.org/groups/4801058/items/WSYV5AYU"],"itemData":{"id":16937,"type":"webpage","title":"A fair chance for all - Breaking the disadvantage cycle submission","URL":"https://www.productivity.govt.nz/assets/Submission-Documents/a-fair-chance-for-all/Sub-026-Asian-Family-Services.pdf","author":[{"family":"Asian Family Services","given":""}],"accessed":{"date-parts":[["2022",11,3]]},"issued":{"date-parts":[["2022"]]}},"label":"page"},{"id":17039,"uris":["http://zotero.org/groups/4801058/items/CBAP2KJD"],"itemData":{"id":17039,"type":"webpage","title":"Submission on: Interim Report on A Fair Chance for All","URL":"https://www.asianfamilyservices.nz/media/1mjbyxmm/feedback-on-a-fair-chance-for-all-interim-report.pdf","author":[{"family":"Asian Family Services","given":""}],"accessed":{"date-parts":[["2022",11,16]]},"issued":{"date-parts":[["2022"]]}},"label":"page"}],"schema":"https://github.com/citation-style-language/schema/raw/master/csl-citation.json"} </w:instrText>
      </w:r>
      <w:r w:rsidRPr="00F543C1">
        <w:fldChar w:fldCharType="separate"/>
      </w:r>
      <w:r w:rsidRPr="00F543C1">
        <w:rPr>
          <w:rFonts w:cs="Calibri"/>
        </w:rPr>
        <w:t>(Asian Family Services 2022a; 2022b)</w:t>
      </w:r>
      <w:r w:rsidRPr="00F543C1">
        <w:fldChar w:fldCharType="end"/>
      </w:r>
      <w:r w:rsidRPr="00726346">
        <w:t xml:space="preserve">. </w:t>
      </w:r>
    </w:p>
    <w:p w14:paraId="79552E9F" w14:textId="7F15B753" w:rsidR="00551621" w:rsidRPr="00F543C1" w:rsidRDefault="00551621" w:rsidP="00CB04F1">
      <w:pPr>
        <w:ind w:left="851"/>
      </w:pPr>
      <w:r w:rsidRPr="00F543C1">
        <w:t>The changing face of Aotearoa</w:t>
      </w:r>
      <w:r w:rsidR="00041E30" w:rsidRPr="00F543C1">
        <w:t xml:space="preserve"> </w:t>
      </w:r>
      <w:r w:rsidR="00CE374A" w:rsidRPr="00F543C1">
        <w:t xml:space="preserve">is an important context for developing policy to address persistent disadvantage. </w:t>
      </w:r>
      <w:r w:rsidR="003D4BA6" w:rsidRPr="00F543C1">
        <w:t>The evidence suggests that some members of most groups in New Zealand experience persistent disadvantage</w:t>
      </w:r>
      <w:r w:rsidR="00482ABB" w:rsidRPr="00F543C1">
        <w:t xml:space="preserve">. </w:t>
      </w:r>
      <w:r w:rsidR="00560621" w:rsidRPr="00F543C1">
        <w:t>These groups have different world views</w:t>
      </w:r>
      <w:r w:rsidR="00995BFC" w:rsidRPr="00F543C1">
        <w:t xml:space="preserve">. </w:t>
      </w:r>
      <w:r w:rsidR="007517EB" w:rsidRPr="00F543C1">
        <w:t>Accountability setting</w:t>
      </w:r>
      <w:r w:rsidR="00D04248" w:rsidRPr="00F543C1">
        <w:t>s</w:t>
      </w:r>
      <w:r w:rsidR="00F1760E" w:rsidRPr="00F543C1">
        <w:t>, therefore,</w:t>
      </w:r>
      <w:r w:rsidR="007517EB" w:rsidRPr="00F543C1">
        <w:t xml:space="preserve"> need to accommodate </w:t>
      </w:r>
      <w:r w:rsidR="009276B2" w:rsidRPr="00F543C1">
        <w:t>a growing number of voices without any being diluted.</w:t>
      </w:r>
    </w:p>
    <w:p w14:paraId="24DDC2E8" w14:textId="105EB117" w:rsidR="00414FBA" w:rsidRPr="00F543C1" w:rsidRDefault="00414FBA" w:rsidP="007B551E">
      <w:pPr>
        <w:pStyle w:val="Heading2"/>
      </w:pPr>
      <w:bookmarkStart w:id="49" w:name="_Toc126092084"/>
      <w:bookmarkStart w:id="50" w:name="_Toc126841200"/>
      <w:r w:rsidRPr="00F543C1">
        <w:t xml:space="preserve">Most people in Aotearoa are doing </w:t>
      </w:r>
      <w:proofErr w:type="gramStart"/>
      <w:r w:rsidRPr="00F543C1">
        <w:t>well</w:t>
      </w:r>
      <w:bookmarkEnd w:id="49"/>
      <w:bookmarkEnd w:id="50"/>
      <w:proofErr w:type="gramEnd"/>
    </w:p>
    <w:p w14:paraId="6A8B077C" w14:textId="5D2F1517" w:rsidR="00414FBA" w:rsidRPr="00F543C1" w:rsidRDefault="284E5B83" w:rsidP="00414FBA">
      <w:pPr>
        <w:ind w:left="851"/>
      </w:pPr>
      <w:r w:rsidRPr="00F543C1">
        <w:t xml:space="preserve">One very important piece of context to this report is that a significant majority of people in Aotearoa New Zealand are </w:t>
      </w:r>
      <w:r w:rsidR="0DA9E814" w:rsidRPr="00F543C1">
        <w:t xml:space="preserve">satisfied with their lives. </w:t>
      </w:r>
    </w:p>
    <w:p w14:paraId="72AB0BA4" w14:textId="77777777" w:rsidR="00414FBA" w:rsidRPr="00F543C1" w:rsidRDefault="284E5B83" w:rsidP="00414FBA">
      <w:pPr>
        <w:ind w:left="851"/>
      </w:pPr>
      <w:r w:rsidRPr="00F543C1">
        <w:t>The Treasury has developed a ‘net wellbeing’ score across the eight domains of wellbeing in Stats NZ’s General Social Survey that allows it to examine the distribution of self-reported wellbeing.</w:t>
      </w:r>
      <w:r w:rsidR="00414FBA" w:rsidRPr="009006D7" w:rsidDel="00C87A88">
        <w:rPr>
          <w:rStyle w:val="FootnoteReference"/>
        </w:rPr>
        <w:footnoteReference w:id="33"/>
      </w:r>
      <w:r w:rsidRPr="00726346">
        <w:t xml:space="preserve"> </w:t>
      </w:r>
    </w:p>
    <w:p w14:paraId="26EA8C7D" w14:textId="63EF3B49" w:rsidR="00414FBA" w:rsidRPr="00F543C1" w:rsidRDefault="00414FBA" w:rsidP="00414FBA">
      <w:pPr>
        <w:ind w:left="851"/>
      </w:pPr>
      <w:r w:rsidRPr="00F543C1">
        <w:lastRenderedPageBreak/>
        <w:t xml:space="preserve">As </w:t>
      </w:r>
      <w:r w:rsidR="00011B25" w:rsidRPr="00F543C1">
        <w:fldChar w:fldCharType="begin"/>
      </w:r>
      <w:r w:rsidR="00011B25" w:rsidRPr="00F543C1">
        <w:instrText xml:space="preserve"> REF _Ref125532587 \h </w:instrText>
      </w:r>
      <w:r w:rsidR="00011B25" w:rsidRPr="00F543C1">
        <w:fldChar w:fldCharType="separate"/>
      </w:r>
      <w:r w:rsidR="00E06351" w:rsidRPr="00F543C1">
        <w:t>Figure </w:t>
      </w:r>
      <w:r w:rsidR="00E06351">
        <w:rPr>
          <w:noProof/>
        </w:rPr>
        <w:t>1</w:t>
      </w:r>
      <w:r w:rsidR="00011B25" w:rsidRPr="00F543C1">
        <w:fldChar w:fldCharType="end"/>
      </w:r>
      <w:r w:rsidR="00683463" w:rsidRPr="00726346">
        <w:t xml:space="preserve"> </w:t>
      </w:r>
      <w:r w:rsidRPr="00F543C1">
        <w:t>illustrates, most people (73 percent of the population) had a score of zero (</w:t>
      </w:r>
      <w:r w:rsidR="00683463" w:rsidRPr="00F543C1">
        <w:t>representing</w:t>
      </w:r>
      <w:r w:rsidRPr="00F543C1">
        <w:t xml:space="preserve"> a middling rather than neutral position) or more. The most common score was positive two. </w:t>
      </w:r>
    </w:p>
    <w:p w14:paraId="0F1C5F45" w14:textId="11073511" w:rsidR="00414FBA" w:rsidRPr="00F543C1" w:rsidRDefault="00414FBA" w:rsidP="00414FBA">
      <w:pPr>
        <w:pStyle w:val="FigureCaption"/>
      </w:pPr>
      <w:bookmarkStart w:id="51" w:name="_Ref125532587"/>
      <w:bookmarkStart w:id="52" w:name="_Toc126841232"/>
      <w:r w:rsidRPr="00F543C1">
        <w:t>Figure </w:t>
      </w:r>
      <w:r w:rsidRPr="00F543C1">
        <w:fldChar w:fldCharType="begin"/>
      </w:r>
      <w:r w:rsidRPr="00F543C1">
        <w:instrText>SEQ Figure \* ARABIC</w:instrText>
      </w:r>
      <w:r w:rsidRPr="00F543C1">
        <w:fldChar w:fldCharType="separate"/>
      </w:r>
      <w:r w:rsidR="00E06351">
        <w:rPr>
          <w:noProof/>
        </w:rPr>
        <w:t>1</w:t>
      </w:r>
      <w:r w:rsidRPr="00F543C1">
        <w:fldChar w:fldCharType="end"/>
      </w:r>
      <w:bookmarkEnd w:id="51"/>
      <w:r w:rsidRPr="00726346">
        <w:t xml:space="preserve"> Many people </w:t>
      </w:r>
      <w:r w:rsidRPr="00F543C1">
        <w:t xml:space="preserve">are doing </w:t>
      </w:r>
      <w:proofErr w:type="gramStart"/>
      <w:r w:rsidRPr="00F543C1">
        <w:t>well</w:t>
      </w:r>
      <w:bookmarkEnd w:id="52"/>
      <w:proofErr w:type="gramEnd"/>
    </w:p>
    <w:p w14:paraId="4E7F94F6" w14:textId="77777777" w:rsidR="00414FBA" w:rsidRPr="00F543C1" w:rsidRDefault="00414FBA" w:rsidP="00414FBA">
      <w:pPr>
        <w:pStyle w:val="CaptionSubheading"/>
      </w:pPr>
      <w:r w:rsidRPr="00F543C1">
        <w:t>Net wellbeing distribution, combined 2014/2016 data, percentage of people aged 15+</w:t>
      </w:r>
    </w:p>
    <w:p w14:paraId="0F82725E" w14:textId="77777777" w:rsidR="00414FBA" w:rsidRPr="00726346" w:rsidRDefault="00414FBA" w:rsidP="00414FBA">
      <w:pPr>
        <w:keepNext/>
        <w:keepLines/>
        <w:spacing w:after="0" w:line="240" w:lineRule="auto"/>
        <w:ind w:left="851"/>
      </w:pPr>
      <w:r w:rsidRPr="002349E2">
        <w:rPr>
          <w:noProof/>
        </w:rPr>
        <w:drawing>
          <wp:inline distT="0" distB="0" distL="0" distR="0" wp14:anchorId="133161FB" wp14:editId="68888F3B">
            <wp:extent cx="4572000" cy="2743200"/>
            <wp:effectExtent l="0" t="0" r="0" b="0"/>
            <wp:docPr id="39" name="Chart 39">
              <a:extLst xmlns:a="http://schemas.openxmlformats.org/drawingml/2006/main">
                <a:ext uri="{FF2B5EF4-FFF2-40B4-BE49-F238E27FC236}">
                  <a16:creationId xmlns:a16="http://schemas.microsoft.com/office/drawing/2014/main" id="{90426F6D-89DE-33D6-40BC-9E50E9D4F0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6A4130" w14:textId="0F84270B" w:rsidR="00414FBA" w:rsidRPr="00726346" w:rsidRDefault="00414FBA" w:rsidP="00414FBA">
      <w:pPr>
        <w:keepNext/>
        <w:keepLines/>
        <w:spacing w:before="120" w:after="360" w:line="220" w:lineRule="atLeast"/>
        <w:ind w:left="851"/>
        <w:rPr>
          <w:sz w:val="18"/>
        </w:rPr>
      </w:pPr>
      <w:r w:rsidRPr="00F543C1">
        <w:rPr>
          <w:sz w:val="18"/>
        </w:rPr>
        <w:t xml:space="preserve">Source: The Treasury </w:t>
      </w:r>
      <w:r w:rsidRPr="00F543C1">
        <w:rPr>
          <w:sz w:val="18"/>
        </w:rPr>
        <w:fldChar w:fldCharType="begin"/>
      </w:r>
      <w:r w:rsidR="009B0EC4">
        <w:rPr>
          <w:sz w:val="18"/>
        </w:rPr>
        <w:instrText xml:space="preserve"> ADDIN ZOTERO_ITEM CSL_CITATION {"citationID":"afh8psc4m2","properties":{"formattedCitation":"(2022b, 48)","plainCitation":"(2022b, 48)","noteIndex":0},"citationItems":[{"id":17129,"uris":["http://zotero.org/groups/4801058/items/MNHHYARU"],"itemData":{"id":17129,"type":"report","event-place":"Wellington","publisher":"The Treasury","publisher-place":"Wellington","title":"Te Tai Waiora: Wellbeing in Aotearoa New Zealand 2022","author":[{"family":"The Treasury","given":""}],"issued":{"date-parts":[["2022"]]}},"locator":"48","label":"page","suppress-author":true}],"schema":"https://github.com/citation-style-language/schema/raw/master/csl-citation.json"} </w:instrText>
      </w:r>
      <w:r w:rsidRPr="00F543C1">
        <w:rPr>
          <w:sz w:val="18"/>
        </w:rPr>
        <w:fldChar w:fldCharType="separate"/>
      </w:r>
      <w:r w:rsidR="001F3F21" w:rsidRPr="001F3F21">
        <w:rPr>
          <w:rFonts w:cs="Calibri"/>
          <w:sz w:val="18"/>
        </w:rPr>
        <w:t>(2022b, 48)</w:t>
      </w:r>
      <w:r w:rsidRPr="00F543C1">
        <w:rPr>
          <w:sz w:val="18"/>
        </w:rPr>
        <w:fldChar w:fldCharType="end"/>
      </w:r>
    </w:p>
    <w:p w14:paraId="79539B63" w14:textId="23ED165F" w:rsidR="00414FBA" w:rsidRPr="00F543C1" w:rsidRDefault="00414FBA" w:rsidP="00414FBA">
      <w:pPr>
        <w:ind w:left="851"/>
      </w:pPr>
      <w:r w:rsidRPr="00F543C1">
        <w:t xml:space="preserve">In its recent Wellbeing Report, </w:t>
      </w:r>
      <w:r w:rsidR="00AD3D41" w:rsidRPr="00F543C1">
        <w:t>T</w:t>
      </w:r>
      <w:r w:rsidRPr="00F543C1">
        <w:t>he Treasury said:</w:t>
      </w:r>
    </w:p>
    <w:p w14:paraId="177D13B6" w14:textId="52187713" w:rsidR="00414FBA" w:rsidRPr="00726346" w:rsidRDefault="00414FBA" w:rsidP="00414FBA">
      <w:pPr>
        <w:spacing w:before="120"/>
        <w:ind w:left="1276" w:right="425"/>
        <w:rPr>
          <w:i/>
          <w:color w:val="30353F"/>
        </w:rPr>
      </w:pPr>
      <w:r w:rsidRPr="00F543C1">
        <w:rPr>
          <w:i/>
          <w:color w:val="30353F"/>
        </w:rPr>
        <w:t xml:space="preserve">About 5% to 10% of the population are experiencing low wellbeing in at least four areas. Disabled people, sole parents, Māori and Pacific Peoples are overrepresented in groups of people that experience low wellbeing in multiple areas. </w:t>
      </w:r>
      <w:r w:rsidRPr="00F543C1">
        <w:rPr>
          <w:iCs/>
          <w:color w:val="30353F"/>
        </w:rPr>
        <w:fldChar w:fldCharType="begin"/>
      </w:r>
      <w:r w:rsidR="009B0EC4">
        <w:rPr>
          <w:iCs/>
        </w:rPr>
        <w:instrText xml:space="preserve"> ADDIN ZOTERO_ITEM CSL_CITATION {"citationID":"a2ael3qtbfi","properties":{"formattedCitation":"(The Treasury 2022b, 6)","plainCitation":"(The Treasury 2022b, 6)","noteIndex":0},"citationItems":[{"id":17129,"uris":["http://zotero.org/groups/4801058/items/MNHHYARU"],"itemData":{"id":17129,"type":"report","event-place":"Wellington","publisher":"The Treasury","publisher-place":"Wellington","title":"Te Tai Waiora: Wellbeing in Aotearoa New Zealand 2022","author":[{"family":"The Treasury","given":""}],"issued":{"date-parts":[["2022"]]}},"locator":"6","label":"page"}],"schema":"https://github.com/citation-style-language/schema/raw/master/csl-citation.json"} </w:instrText>
      </w:r>
      <w:r w:rsidRPr="00F543C1">
        <w:rPr>
          <w:iCs/>
          <w:color w:val="30353F"/>
        </w:rPr>
        <w:fldChar w:fldCharType="separate"/>
      </w:r>
      <w:r w:rsidR="001F3F21" w:rsidRPr="001F3F21">
        <w:rPr>
          <w:rFonts w:cs="Calibri"/>
        </w:rPr>
        <w:t>(The Treasury 2022b, 6)</w:t>
      </w:r>
      <w:r w:rsidRPr="00F543C1">
        <w:rPr>
          <w:iCs/>
          <w:color w:val="30353F"/>
        </w:rPr>
        <w:fldChar w:fldCharType="end"/>
      </w:r>
      <w:r w:rsidRPr="00726346">
        <w:rPr>
          <w:iCs/>
          <w:color w:val="30353F"/>
          <w:vertAlign w:val="superscript"/>
        </w:rPr>
        <w:t xml:space="preserve"> </w:t>
      </w:r>
      <w:r w:rsidRPr="009006D7">
        <w:rPr>
          <w:rStyle w:val="FootnoteReference"/>
        </w:rPr>
        <w:footnoteReference w:id="34"/>
      </w:r>
    </w:p>
    <w:p w14:paraId="2637FA6A" w14:textId="4D308A00" w:rsidR="00520CBF" w:rsidRPr="00F543C1" w:rsidRDefault="00411D12" w:rsidP="00414FBA">
      <w:pPr>
        <w:ind w:left="851"/>
      </w:pPr>
      <w:r w:rsidRPr="00F543C1">
        <w:t>In a companion report</w:t>
      </w:r>
      <w:r w:rsidR="004916B6" w:rsidRPr="00F543C1">
        <w:t xml:space="preserve"> </w:t>
      </w:r>
      <w:r w:rsidR="004916B6" w:rsidRPr="00F543C1">
        <w:fldChar w:fldCharType="begin"/>
      </w:r>
      <w:r w:rsidR="009B0EC4">
        <w:instrText xml:space="preserve"> ADDIN ZOTERO_ITEM CSL_CITATION {"citationID":"nQI0NBhw","properties":{"formattedCitation":"(Reid and Evans 2022)","plainCitation":"(Reid and Evans 2022)","noteIndex":0},"citationItems":[{"id":18502,"uris":["http://zotero.org/groups/4801058/items/4G3S7STG"],"itemData":{"id":18502,"type":"report","event-place":"Wellingon","genre":"Treasury Analytical Paper","number":"22/02","publisher":"The Treasury","publisher-place":"Wellingon","title":"Trends in Māori wellbeing","author":[{"family":"Reid","given":"Chelsey"},{"family":"Evans","given":"Paul"}],"issued":{"date-parts":[["2022"]]}}}],"schema":"https://github.com/citation-style-language/schema/raw/master/csl-citation.json"} </w:instrText>
      </w:r>
      <w:r w:rsidR="004916B6" w:rsidRPr="00F543C1">
        <w:fldChar w:fldCharType="separate"/>
      </w:r>
      <w:r w:rsidR="004916B6" w:rsidRPr="00F543C1">
        <w:rPr>
          <w:rFonts w:cs="Calibri"/>
        </w:rPr>
        <w:t>(Reid and Evans 2022)</w:t>
      </w:r>
      <w:r w:rsidR="004916B6" w:rsidRPr="00F543C1">
        <w:fldChar w:fldCharType="end"/>
      </w:r>
      <w:r w:rsidRPr="00726346">
        <w:t xml:space="preserve">, the </w:t>
      </w:r>
      <w:r w:rsidR="006C5459" w:rsidRPr="00F543C1">
        <w:t xml:space="preserve">Treasury used its He Ara </w:t>
      </w:r>
      <w:proofErr w:type="spellStart"/>
      <w:r w:rsidR="006C5459" w:rsidRPr="00F543C1">
        <w:t>Waiora</w:t>
      </w:r>
      <w:proofErr w:type="spellEnd"/>
      <w:r w:rsidR="006C5459" w:rsidRPr="00F543C1">
        <w:t xml:space="preserve"> wellbeing framework</w:t>
      </w:r>
      <w:r w:rsidR="004D3647" w:rsidRPr="00F543C1">
        <w:t xml:space="preserve"> to develop a broad overview of Māori wellbeing.</w:t>
      </w:r>
      <w:r w:rsidR="00483A68" w:rsidRPr="009006D7">
        <w:rPr>
          <w:rStyle w:val="FootnoteReference"/>
        </w:rPr>
        <w:footnoteReference w:id="35"/>
      </w:r>
      <w:r w:rsidR="00512C0A" w:rsidRPr="00726346">
        <w:t xml:space="preserve"> While there is evidence that </w:t>
      </w:r>
      <w:proofErr w:type="spellStart"/>
      <w:r w:rsidR="006312C7" w:rsidRPr="00726346">
        <w:t>waiora</w:t>
      </w:r>
      <w:proofErr w:type="spellEnd"/>
      <w:r w:rsidR="006312C7" w:rsidRPr="00726346">
        <w:t xml:space="preserve"> </w:t>
      </w:r>
      <w:r w:rsidR="00F27047" w:rsidRPr="00F543C1">
        <w:t>is improving, there are also persistent gaps with the rest of the population.</w:t>
      </w:r>
    </w:p>
    <w:p w14:paraId="31672C3F" w14:textId="6FBFE527" w:rsidR="004C7C33" w:rsidRPr="00F543C1" w:rsidRDefault="004C7C33" w:rsidP="004C7C33">
      <w:pPr>
        <w:pStyle w:val="Quotation"/>
      </w:pPr>
      <w:r w:rsidRPr="00F543C1">
        <w:t xml:space="preserve">Māori experience lower wellbeing on average than other groups of people across many areas, including income, material hardship, </w:t>
      </w:r>
      <w:proofErr w:type="gramStart"/>
      <w:r w:rsidRPr="00F543C1">
        <w:t>health</w:t>
      </w:r>
      <w:proofErr w:type="gramEnd"/>
      <w:r w:rsidRPr="00F543C1">
        <w:t xml:space="preserve"> and housing. Most of these gaps are closing slowly at best. </w:t>
      </w:r>
      <w:proofErr w:type="gramStart"/>
      <w:r w:rsidRPr="00F543C1">
        <w:t>In particular, Māori</w:t>
      </w:r>
      <w:proofErr w:type="gramEnd"/>
      <w:r w:rsidRPr="00F543C1">
        <w:t xml:space="preserve"> experience </w:t>
      </w:r>
      <w:r w:rsidRPr="00F543C1">
        <w:lastRenderedPageBreak/>
        <w:t xml:space="preserve">increasing rates of psychological distress, high levels of discrimination and low trust in government institutions. </w:t>
      </w:r>
      <w:r w:rsidRPr="00F543C1">
        <w:rPr>
          <w:i w:val="0"/>
          <w:iCs/>
        </w:rPr>
        <w:t>(</w:t>
      </w:r>
      <w:r w:rsidR="00070CBD">
        <w:rPr>
          <w:i w:val="0"/>
          <w:iCs/>
        </w:rPr>
        <w:t>i</w:t>
      </w:r>
      <w:r w:rsidRPr="00F543C1">
        <w:rPr>
          <w:i w:val="0"/>
          <w:iCs/>
        </w:rPr>
        <w:t>bid.</w:t>
      </w:r>
      <w:r w:rsidR="00775C1D">
        <w:rPr>
          <w:i w:val="0"/>
          <w:iCs/>
        </w:rPr>
        <w:t>,</w:t>
      </w:r>
      <w:r w:rsidRPr="00F543C1">
        <w:rPr>
          <w:i w:val="0"/>
          <w:iCs/>
        </w:rPr>
        <w:t xml:space="preserve"> 61)</w:t>
      </w:r>
    </w:p>
    <w:p w14:paraId="05BEACE5" w14:textId="4245070E" w:rsidR="004559E9" w:rsidRPr="00F543C1" w:rsidRDefault="009063B7" w:rsidP="009063B7">
      <w:pPr>
        <w:pStyle w:val="USBodyText"/>
      </w:pPr>
      <w:r w:rsidRPr="00F543C1">
        <w:t xml:space="preserve">The ‘on average’ point is important: some Māori do well, </w:t>
      </w:r>
      <w:r w:rsidR="00F64D47" w:rsidRPr="00F543C1">
        <w:t xml:space="preserve">but </w:t>
      </w:r>
      <w:r w:rsidRPr="00F543C1">
        <w:t xml:space="preserve">many do not. </w:t>
      </w:r>
      <w:r w:rsidR="004559E9" w:rsidRPr="00F543C1">
        <w:t>As Simon Chapple has noted:</w:t>
      </w:r>
    </w:p>
    <w:p w14:paraId="1CD112C5" w14:textId="72CA3696" w:rsidR="009063B7" w:rsidRPr="00F543C1" w:rsidRDefault="004559E9" w:rsidP="00234758">
      <w:pPr>
        <w:pStyle w:val="Quotation"/>
        <w:rPr>
          <w:i w:val="0"/>
          <w:iCs/>
        </w:rPr>
      </w:pPr>
      <w:r w:rsidRPr="00F543C1">
        <w:t xml:space="preserve">Popular rhetoric to the contrary, Māori </w:t>
      </w:r>
      <w:proofErr w:type="gramStart"/>
      <w:r w:rsidRPr="00F543C1">
        <w:t>do</w:t>
      </w:r>
      <w:proofErr w:type="gramEnd"/>
      <w:r w:rsidRPr="00F543C1">
        <w:t xml:space="preserve"> not share a common experience of socioeconomic disadvantage. The Māori ethnic group is not a group whose boundaries are well defined by socio-economic failure. Socio-economic differences amongst </w:t>
      </w:r>
      <w:r w:rsidR="00F11963" w:rsidRPr="00F543C1">
        <w:t>Māori</w:t>
      </w:r>
      <w:r w:rsidRPr="00F543C1">
        <w:t xml:space="preserve"> as a group overwhelm socio-economic differences between Māori and other groups. Māori ethnicity is not socio-economic destiny.</w:t>
      </w:r>
      <w:r w:rsidR="00234758" w:rsidRPr="00F543C1">
        <w:t xml:space="preserve"> </w:t>
      </w:r>
      <w:r w:rsidRPr="00F543C1">
        <w:rPr>
          <w:i w:val="0"/>
          <w:iCs/>
        </w:rPr>
        <w:fldChar w:fldCharType="begin"/>
      </w:r>
      <w:r w:rsidR="009B0EC4">
        <w:rPr>
          <w:i w:val="0"/>
          <w:iCs/>
        </w:rPr>
        <w:instrText xml:space="preserve"> ADDIN ZOTERO_ITEM CSL_CITATION {"citationID":"pMQzWXp3","properties":{"formattedCitation":"(Chapple 2000, 11)","plainCitation":"(Chapple 2000, 11)","noteIndex":0},"citationItems":[{"id":15011,"uris":["http://zotero.org/groups/4623831/items/GV4K4V6L"],"itemData":{"id":15011,"type":"report","event-place":"Wellington","publisher":"Ministry of Social Policy","publisher-place":"Wellington","title":"Maori socio-economic disparity","author":[{"family":"Chapple","given":"Simon"}],"issued":{"date-parts":[["2000"]]}},"locator":"11","label":"page"}],"schema":"https://github.com/citation-style-language/schema/raw/master/csl-citation.json"} </w:instrText>
      </w:r>
      <w:r w:rsidRPr="00F543C1">
        <w:rPr>
          <w:i w:val="0"/>
          <w:iCs/>
        </w:rPr>
        <w:fldChar w:fldCharType="separate"/>
      </w:r>
      <w:r w:rsidRPr="00F543C1">
        <w:rPr>
          <w:rFonts w:cs="Calibri"/>
          <w:i w:val="0"/>
          <w:iCs/>
        </w:rPr>
        <w:t>(Chapple 2000, 11)</w:t>
      </w:r>
      <w:r w:rsidRPr="00F543C1">
        <w:rPr>
          <w:i w:val="0"/>
          <w:iCs/>
        </w:rPr>
        <w:fldChar w:fldCharType="end"/>
      </w:r>
      <w:r w:rsidR="009063B7" w:rsidRPr="00726346">
        <w:rPr>
          <w:i w:val="0"/>
          <w:iCs/>
        </w:rPr>
        <w:t xml:space="preserve"> </w:t>
      </w:r>
    </w:p>
    <w:p w14:paraId="402A065E" w14:textId="4A03642F" w:rsidR="008B61D1" w:rsidRPr="00726346" w:rsidRDefault="00414FBA" w:rsidP="00414FBA">
      <w:pPr>
        <w:ind w:left="851"/>
      </w:pPr>
      <w:r w:rsidRPr="00F543C1">
        <w:t>The available evidence in New Zealand shows that most people never experience persistent disadvantage. This does not mean that it is not an important issue. But what it does mean is that policy needs to be able to identify those people who are experiencing persistent disadvantage, and people at risk of doing so, out of the much larger group of people doing well.</w:t>
      </w:r>
      <w:r w:rsidR="00E06C8A" w:rsidRPr="009006D7">
        <w:rPr>
          <w:rStyle w:val="FootnoteReference"/>
        </w:rPr>
        <w:footnoteReference w:id="36"/>
      </w:r>
    </w:p>
    <w:p w14:paraId="68A0599C" w14:textId="6A84639E" w:rsidR="00C36E4C" w:rsidRPr="00F543C1" w:rsidRDefault="00A05507" w:rsidP="00C36E4C">
      <w:pPr>
        <w:pStyle w:val="Heading2"/>
      </w:pPr>
      <w:bookmarkStart w:id="53" w:name="_Toc126092085"/>
      <w:bookmarkStart w:id="54" w:name="_Toc126841201"/>
      <w:r w:rsidRPr="00F543C1">
        <w:t>T</w:t>
      </w:r>
      <w:r w:rsidR="00C36E4C" w:rsidRPr="00F543C1">
        <w:t xml:space="preserve">he current system is not addressing persistent </w:t>
      </w:r>
      <w:proofErr w:type="gramStart"/>
      <w:r w:rsidR="00C36E4C" w:rsidRPr="00F543C1">
        <w:t>disadvantage</w:t>
      </w:r>
      <w:bookmarkEnd w:id="53"/>
      <w:bookmarkEnd w:id="54"/>
      <w:proofErr w:type="gramEnd"/>
    </w:p>
    <w:p w14:paraId="6A9AA5C4" w14:textId="5BB71DD7" w:rsidR="00C36E4C" w:rsidRPr="00F543C1" w:rsidRDefault="00C36E4C" w:rsidP="00C36E4C">
      <w:pPr>
        <w:ind w:left="851"/>
      </w:pPr>
      <w:r w:rsidRPr="00F543C1">
        <w:t>While</w:t>
      </w:r>
      <w:r w:rsidRPr="00F543C1">
        <w:rPr>
          <w:spacing w:val="-6"/>
        </w:rPr>
        <w:t xml:space="preserve"> </w:t>
      </w:r>
      <w:r w:rsidRPr="00F543C1">
        <w:t>different</w:t>
      </w:r>
      <w:r w:rsidRPr="00F543C1">
        <w:rPr>
          <w:spacing w:val="-4"/>
        </w:rPr>
        <w:t xml:space="preserve"> </w:t>
      </w:r>
      <w:r w:rsidRPr="00F543C1">
        <w:t>governments</w:t>
      </w:r>
      <w:r w:rsidRPr="00F543C1">
        <w:rPr>
          <w:spacing w:val="-2"/>
        </w:rPr>
        <w:t xml:space="preserve"> </w:t>
      </w:r>
      <w:r w:rsidRPr="00F543C1">
        <w:t>in</w:t>
      </w:r>
      <w:r w:rsidRPr="00F543C1">
        <w:rPr>
          <w:spacing w:val="-4"/>
        </w:rPr>
        <w:t xml:space="preserve"> </w:t>
      </w:r>
      <w:r w:rsidRPr="00F543C1">
        <w:t>Aotearoa</w:t>
      </w:r>
      <w:r w:rsidRPr="00F543C1">
        <w:rPr>
          <w:spacing w:val="-5"/>
        </w:rPr>
        <w:t xml:space="preserve"> </w:t>
      </w:r>
      <w:r w:rsidRPr="00F543C1">
        <w:t>New</w:t>
      </w:r>
      <w:r w:rsidRPr="00F543C1">
        <w:rPr>
          <w:spacing w:val="-6"/>
        </w:rPr>
        <w:t xml:space="preserve"> </w:t>
      </w:r>
      <w:r w:rsidRPr="00F543C1">
        <w:t>Zealand</w:t>
      </w:r>
      <w:r w:rsidRPr="00F543C1">
        <w:rPr>
          <w:spacing w:val="-1"/>
        </w:rPr>
        <w:t xml:space="preserve"> </w:t>
      </w:r>
      <w:r w:rsidRPr="00F543C1">
        <w:t>can</w:t>
      </w:r>
      <w:r w:rsidRPr="00F543C1">
        <w:rPr>
          <w:spacing w:val="-1"/>
        </w:rPr>
        <w:t xml:space="preserve"> </w:t>
      </w:r>
      <w:r w:rsidRPr="00F543C1">
        <w:t>and</w:t>
      </w:r>
      <w:r w:rsidRPr="00F543C1">
        <w:rPr>
          <w:spacing w:val="-4"/>
        </w:rPr>
        <w:t xml:space="preserve"> </w:t>
      </w:r>
      <w:r w:rsidRPr="00F543C1">
        <w:t>do</w:t>
      </w:r>
      <w:r w:rsidRPr="00F543C1">
        <w:rPr>
          <w:spacing w:val="-4"/>
        </w:rPr>
        <w:t xml:space="preserve"> </w:t>
      </w:r>
      <w:r w:rsidRPr="00F543C1">
        <w:t>differ</w:t>
      </w:r>
      <w:r w:rsidRPr="00F543C1">
        <w:rPr>
          <w:spacing w:val="-5"/>
        </w:rPr>
        <w:t xml:space="preserve"> </w:t>
      </w:r>
      <w:r w:rsidRPr="00F543C1">
        <w:t>sharply</w:t>
      </w:r>
      <w:r w:rsidRPr="00F543C1">
        <w:rPr>
          <w:spacing w:val="-4"/>
        </w:rPr>
        <w:t xml:space="preserve"> </w:t>
      </w:r>
      <w:r w:rsidRPr="00F543C1">
        <w:t>on</w:t>
      </w:r>
      <w:r w:rsidRPr="00F543C1">
        <w:rPr>
          <w:spacing w:val="-1"/>
        </w:rPr>
        <w:t xml:space="preserve"> </w:t>
      </w:r>
      <w:r w:rsidRPr="00F543C1">
        <w:t>their views of the causes of and cures for poor social outcomes, they share a common aim of avoiding them</w:t>
      </w:r>
      <w:r w:rsidR="00581046">
        <w:t xml:space="preserve"> and have </w:t>
      </w:r>
      <w:r w:rsidR="00DB75E1">
        <w:t>committed</w:t>
      </w:r>
      <w:r w:rsidR="008378FB">
        <w:t xml:space="preserve"> considerable policy effort, and resulting expenditure, to addressing it.</w:t>
      </w:r>
    </w:p>
    <w:p w14:paraId="3A03438E" w14:textId="48FAE0E7" w:rsidR="00C36E4C" w:rsidRPr="00726346" w:rsidRDefault="00C36E4C" w:rsidP="00C36E4C">
      <w:pPr>
        <w:pStyle w:val="FigureCaption"/>
        <w:rPr>
          <w:spacing w:val="-2"/>
          <w:vertAlign w:val="superscript"/>
        </w:rPr>
      </w:pPr>
      <w:bookmarkStart w:id="55" w:name="_Ref125532771"/>
      <w:bookmarkStart w:id="56" w:name="_Toc126841233"/>
      <w:r w:rsidRPr="00F543C1">
        <w:t>Figure </w:t>
      </w:r>
      <w:r w:rsidRPr="00F543C1">
        <w:fldChar w:fldCharType="begin"/>
      </w:r>
      <w:r w:rsidRPr="00F543C1">
        <w:instrText>SEQ Figure \* ARABIC</w:instrText>
      </w:r>
      <w:r w:rsidRPr="00F543C1">
        <w:fldChar w:fldCharType="separate"/>
      </w:r>
      <w:r w:rsidR="00E06351">
        <w:rPr>
          <w:noProof/>
        </w:rPr>
        <w:t>2</w:t>
      </w:r>
      <w:r w:rsidRPr="00F543C1">
        <w:fldChar w:fldCharType="end"/>
      </w:r>
      <w:bookmarkEnd w:id="55"/>
      <w:r w:rsidRPr="00726346">
        <w:t xml:space="preserve"> Total</w:t>
      </w:r>
      <w:r w:rsidRPr="00F543C1">
        <w:rPr>
          <w:spacing w:val="-1"/>
        </w:rPr>
        <w:t xml:space="preserve"> spending on </w:t>
      </w:r>
      <w:r w:rsidRPr="00F543C1">
        <w:t>social</w:t>
      </w:r>
      <w:r w:rsidRPr="00F543C1">
        <w:rPr>
          <w:spacing w:val="-4"/>
        </w:rPr>
        <w:t xml:space="preserve"> </w:t>
      </w:r>
      <w:r w:rsidRPr="00F543C1">
        <w:t>assistance</w:t>
      </w:r>
      <w:r w:rsidRPr="009006D7">
        <w:rPr>
          <w:rStyle w:val="FootnoteReference"/>
        </w:rPr>
        <w:footnoteReference w:id="37"/>
      </w:r>
      <w:bookmarkEnd w:id="56"/>
    </w:p>
    <w:p w14:paraId="2A4369D1" w14:textId="77777777" w:rsidR="00C36E4C" w:rsidRPr="00726346" w:rsidRDefault="00C36E4C" w:rsidP="00C36E4C">
      <w:pPr>
        <w:keepNext/>
        <w:spacing w:line="220" w:lineRule="atLeast"/>
        <w:ind w:left="851"/>
        <w:rPr>
          <w:sz w:val="18"/>
          <w:szCs w:val="18"/>
        </w:rPr>
      </w:pPr>
      <w:r w:rsidRPr="002349E2">
        <w:rPr>
          <w:noProof/>
          <w:sz w:val="18"/>
          <w:szCs w:val="18"/>
        </w:rPr>
        <w:drawing>
          <wp:inline distT="0" distB="0" distL="0" distR="0" wp14:anchorId="3A49A657" wp14:editId="367F2D79">
            <wp:extent cx="45720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773F387C" w14:textId="29F1419D" w:rsidR="00C36E4C" w:rsidRDefault="00C36E4C" w:rsidP="00C36E4C">
      <w:pPr>
        <w:spacing w:before="120" w:after="360" w:line="220" w:lineRule="atLeast"/>
        <w:ind w:left="851"/>
        <w:rPr>
          <w:sz w:val="18"/>
        </w:rPr>
      </w:pPr>
      <w:r w:rsidRPr="00F543C1">
        <w:rPr>
          <w:sz w:val="18"/>
        </w:rPr>
        <w:t xml:space="preserve">Source: </w:t>
      </w:r>
      <w:r w:rsidR="00D07DBF" w:rsidRPr="00D07DBF">
        <w:rPr>
          <w:sz w:val="18"/>
        </w:rPr>
        <w:t>The OECD Social Expenditure Database (SOCX)</w:t>
      </w:r>
    </w:p>
    <w:p w14:paraId="4EE6A6F7" w14:textId="46E51B6C" w:rsidR="00581046" w:rsidRPr="00F543C1" w:rsidRDefault="00581046" w:rsidP="00581046">
      <w:pPr>
        <w:pStyle w:val="USBodyText"/>
        <w:rPr>
          <w:sz w:val="29"/>
          <w:szCs w:val="29"/>
        </w:rPr>
      </w:pPr>
      <w:r w:rsidRPr="00F543C1">
        <w:lastRenderedPageBreak/>
        <w:t>Reflecting</w:t>
      </w:r>
      <w:r w:rsidRPr="00F543C1">
        <w:rPr>
          <w:spacing w:val="-4"/>
        </w:rPr>
        <w:t xml:space="preserve"> </w:t>
      </w:r>
      <w:r w:rsidRPr="00F543C1">
        <w:t>this,</w:t>
      </w:r>
      <w:r w:rsidRPr="00F543C1">
        <w:rPr>
          <w:spacing w:val="-3"/>
        </w:rPr>
        <w:t xml:space="preserve"> </w:t>
      </w:r>
      <w:r w:rsidRPr="00F543C1">
        <w:t>total</w:t>
      </w:r>
      <w:r w:rsidRPr="00F543C1">
        <w:rPr>
          <w:spacing w:val="-3"/>
        </w:rPr>
        <w:t xml:space="preserve"> </w:t>
      </w:r>
      <w:r w:rsidRPr="00F543C1">
        <w:t>spending</w:t>
      </w:r>
      <w:r w:rsidRPr="00F543C1">
        <w:rPr>
          <w:spacing w:val="-4"/>
        </w:rPr>
        <w:t xml:space="preserve"> </w:t>
      </w:r>
      <w:r w:rsidRPr="00F543C1">
        <w:t>on</w:t>
      </w:r>
      <w:r w:rsidRPr="00F543C1">
        <w:rPr>
          <w:spacing w:val="-4"/>
        </w:rPr>
        <w:t xml:space="preserve"> </w:t>
      </w:r>
      <w:r w:rsidRPr="00F543C1">
        <w:t>social</w:t>
      </w:r>
      <w:r w:rsidRPr="00F543C1">
        <w:rPr>
          <w:spacing w:val="-3"/>
        </w:rPr>
        <w:t xml:space="preserve"> </w:t>
      </w:r>
      <w:r w:rsidRPr="00F543C1">
        <w:t>assistance</w:t>
      </w:r>
      <w:r w:rsidRPr="00F543C1">
        <w:rPr>
          <w:spacing w:val="-7"/>
        </w:rPr>
        <w:t xml:space="preserve"> </w:t>
      </w:r>
      <w:r w:rsidRPr="00F543C1">
        <w:t>has</w:t>
      </w:r>
      <w:r w:rsidRPr="00F543C1">
        <w:rPr>
          <w:spacing w:val="-3"/>
        </w:rPr>
        <w:t xml:space="preserve"> </w:t>
      </w:r>
      <w:r w:rsidRPr="00F543C1">
        <w:t>increased</w:t>
      </w:r>
      <w:r>
        <w:t xml:space="preserve"> significantly</w:t>
      </w:r>
      <w:r w:rsidRPr="00F543C1">
        <w:rPr>
          <w:spacing w:val="-4"/>
        </w:rPr>
        <w:t xml:space="preserve"> </w:t>
      </w:r>
      <w:r w:rsidRPr="00F543C1">
        <w:t>since</w:t>
      </w:r>
      <w:r w:rsidRPr="00F543C1">
        <w:rPr>
          <w:spacing w:val="-7"/>
        </w:rPr>
        <w:t xml:space="preserve"> </w:t>
      </w:r>
      <w:r w:rsidRPr="00F543C1">
        <w:t>1980.</w:t>
      </w:r>
      <w:r w:rsidRPr="00F543C1">
        <w:rPr>
          <w:spacing w:val="-4"/>
        </w:rPr>
        <w:t xml:space="preserve"> </w:t>
      </w:r>
      <w:r w:rsidRPr="00F543C1">
        <w:rPr>
          <w:spacing w:val="-4"/>
        </w:rPr>
        <w:fldChar w:fldCharType="begin"/>
      </w:r>
      <w:r w:rsidRPr="00F543C1">
        <w:rPr>
          <w:spacing w:val="-4"/>
        </w:rPr>
        <w:instrText xml:space="preserve"> REF _Ref125532771 \h </w:instrText>
      </w:r>
      <w:r w:rsidRPr="00F543C1">
        <w:rPr>
          <w:spacing w:val="-4"/>
        </w:rPr>
      </w:r>
      <w:r w:rsidRPr="00F543C1">
        <w:rPr>
          <w:spacing w:val="-4"/>
        </w:rPr>
        <w:fldChar w:fldCharType="separate"/>
      </w:r>
      <w:r w:rsidR="00E06351" w:rsidRPr="00F543C1">
        <w:t>Figure </w:t>
      </w:r>
      <w:r w:rsidR="00E06351">
        <w:rPr>
          <w:noProof/>
        </w:rPr>
        <w:t>2</w:t>
      </w:r>
      <w:r w:rsidRPr="00F543C1">
        <w:rPr>
          <w:spacing w:val="-4"/>
        </w:rPr>
        <w:fldChar w:fldCharType="end"/>
      </w:r>
      <w:r w:rsidRPr="00726346">
        <w:rPr>
          <w:spacing w:val="-4"/>
        </w:rPr>
        <w:t xml:space="preserve"> </w:t>
      </w:r>
      <w:r w:rsidRPr="00F543C1">
        <w:t>shows public spending on social assistance, adjusted for both the increase in population and inflation.</w:t>
      </w:r>
      <w:r w:rsidRPr="009006D7">
        <w:rPr>
          <w:rStyle w:val="FootnoteReference"/>
        </w:rPr>
        <w:footnoteReference w:id="38"/>
      </w:r>
      <w:r w:rsidRPr="00726346">
        <w:t xml:space="preserve"> Of note </w:t>
      </w:r>
      <w:r w:rsidRPr="00F543C1">
        <w:t>are the increases in real per capita non-cash in-kind spending, which is now greater than cash payments.</w:t>
      </w:r>
      <w:r w:rsidRPr="009006D7">
        <w:rPr>
          <w:rStyle w:val="FootnoteReference"/>
        </w:rPr>
        <w:footnoteReference w:id="39"/>
      </w:r>
      <w:r w:rsidRPr="00726346">
        <w:t xml:space="preserve"> </w:t>
      </w:r>
      <w:r w:rsidRPr="00F543C1">
        <w:t xml:space="preserve">This sort of spending, which generally involves the provision of services directly to people, can be more easily be devolved to third-party providers than the payment of cash benefits. </w:t>
      </w:r>
    </w:p>
    <w:p w14:paraId="5E6EF51C" w14:textId="2CB08206" w:rsidR="001E29AB" w:rsidRPr="00F543C1" w:rsidRDefault="77ABB062" w:rsidP="001E29AB">
      <w:pPr>
        <w:pStyle w:val="Heading2"/>
      </w:pPr>
      <w:bookmarkStart w:id="57" w:name="_Toc126092086"/>
      <w:bookmarkStart w:id="58" w:name="_Toc126841202"/>
      <w:r w:rsidRPr="00F543C1">
        <w:t>Underlying drivers and impacts</w:t>
      </w:r>
      <w:bookmarkEnd w:id="57"/>
      <w:bookmarkEnd w:id="58"/>
      <w:r w:rsidRPr="00F543C1">
        <w:t xml:space="preserve"> </w:t>
      </w:r>
    </w:p>
    <w:p w14:paraId="61BE2609" w14:textId="2B656784" w:rsidR="001E29AB" w:rsidRPr="00F543C1" w:rsidRDefault="001E29AB" w:rsidP="001E29AB">
      <w:pPr>
        <w:pStyle w:val="USBodyText"/>
      </w:pPr>
      <w:r w:rsidRPr="00F543C1">
        <w:t xml:space="preserve">Disadvantage is not evenly distributed across the population of Aotearoa </w:t>
      </w:r>
      <w:r w:rsidRPr="00F543C1">
        <w:fldChar w:fldCharType="begin"/>
      </w:r>
      <w:r w:rsidR="009B0EC4">
        <w:instrText xml:space="preserve"> ADDIN ZOTERO_ITEM CSL_CITATION {"citationID":"GhwvptSW","properties":{"formattedCitation":"(New Zealand Productivity Commission 2022a, 41)","plainCitation":"(New Zealand Productivity Commission 2022a, 41)","noteIndex":0},"citationItems":[{"id":16621,"uris":["http://zotero.org/groups/4801058/items/WYNPCXJD"],"itemData":{"id":16621,"type":"report","event-place":"Wellington","publisher":"New Zealand Productivity Commission","publisher-place":"Wellington","title":"Fair Chance for All Interim Report - Breaking the Cycle of Persistent Disadvantage","author":[{"family":"New Zealand Productivity Commission","given":""}],"issued":{"date-parts":[["2022"]]}},"locator":"41","label":"page"}],"schema":"https://github.com/citation-style-language/schema/raw/master/csl-citation.json"} </w:instrText>
      </w:r>
      <w:r w:rsidRPr="00F543C1">
        <w:fldChar w:fldCharType="separate"/>
      </w:r>
      <w:r w:rsidRPr="00F543C1">
        <w:rPr>
          <w:rFonts w:cs="Calibri"/>
        </w:rPr>
        <w:t>(New Zealand Productivity Commission 2022a, 41)</w:t>
      </w:r>
      <w:r w:rsidRPr="00F543C1">
        <w:fldChar w:fldCharType="end"/>
      </w:r>
      <w:r w:rsidRPr="00726346">
        <w:t>.</w:t>
      </w:r>
      <w:r w:rsidR="00447014" w:rsidRPr="009006D7">
        <w:rPr>
          <w:rStyle w:val="FootnoteReference"/>
        </w:rPr>
        <w:footnoteReference w:id="40"/>
      </w:r>
      <w:r w:rsidRPr="00726346">
        <w:t xml:space="preserve"> Nor is it simply the result of random forces that can impact on anyone at any time. </w:t>
      </w:r>
    </w:p>
    <w:p w14:paraId="56C61291" w14:textId="00458D33" w:rsidR="001E29AB" w:rsidRPr="00F543C1" w:rsidRDefault="001E29AB" w:rsidP="001E29AB">
      <w:pPr>
        <w:pStyle w:val="USBodyText"/>
      </w:pPr>
      <w:r w:rsidRPr="00F543C1">
        <w:t>As the Commission notes, a large volume of research concludes that insufficient resources can create toxic stress and negatively impact child development</w:t>
      </w:r>
      <w:r w:rsidR="003240E8" w:rsidRPr="00F543C1">
        <w:t xml:space="preserve"> (</w:t>
      </w:r>
      <w:r w:rsidR="00070CBD">
        <w:t>ibid</w:t>
      </w:r>
      <w:r w:rsidR="003240E8" w:rsidRPr="00F543C1">
        <w:t>., 53).</w:t>
      </w:r>
      <w:r w:rsidRPr="00F543C1">
        <w:t xml:space="preserve"> In a background paper prepared for the Commission’s interim report, Kate Prickett and her colleagues find that over the first eight years of life,</w:t>
      </w:r>
      <w:r w:rsidR="00741344" w:rsidRPr="00741344">
        <w:t xml:space="preserve"> close to ten percent </w:t>
      </w:r>
      <w:r w:rsidR="0020198B">
        <w:t xml:space="preserve">of children </w:t>
      </w:r>
      <w:r w:rsidR="00741344" w:rsidRPr="00741344">
        <w:t>are disadvantaged for most of their early childhood</w:t>
      </w:r>
      <w:r w:rsidR="00741344">
        <w:t>, while</w:t>
      </w:r>
      <w:r w:rsidRPr="00F543C1">
        <w:t xml:space="preserve"> more than half of children live in families that are always advantaged, </w:t>
      </w:r>
      <w:r w:rsidRPr="00F543C1">
        <w:fldChar w:fldCharType="begin"/>
      </w:r>
      <w:r w:rsidR="009B0EC4">
        <w:instrText xml:space="preserve"> ADDIN ZOTERO_ITEM CSL_CITATION {"citationID":"F8rFyTUO","properties":{"formattedCitation":"(Prickett et al. 2022, 6)","plainCitation":"(Prickett et al. 2022, 6)","noteIndex":0},"citationItems":[{"id":16556,"uris":["http://zotero.org/groups/4801058/items/5D3YRI3J"],"itemData":{"id":16556,"type":"report","event-place":"Wellington","publisher":"New Zealand Productivity Commission","publisher-place":"Wellington","title":"A fair chance for all? Family resources across the early life course and children’s development in Aotearoa New Zealand","author":[{"family":"Prickett","given":"Kate"},{"family":"Paine","given":"Sarah-Jane"},{"family":"Carr","given":"Polly"},{"family":"Morton","given":"Susan"}],"issued":{"date-parts":[["2022"]]}},"locator":"6","label":"page"}],"schema":"https://github.com/citation-style-language/schema/raw/master/csl-citation.json"} </w:instrText>
      </w:r>
      <w:r w:rsidRPr="00F543C1">
        <w:fldChar w:fldCharType="separate"/>
      </w:r>
      <w:r w:rsidRPr="00F543C1">
        <w:rPr>
          <w:rFonts w:cs="Calibri"/>
        </w:rPr>
        <w:t>(Prickett et al. 2022, 6)</w:t>
      </w:r>
      <w:r w:rsidRPr="00F543C1">
        <w:fldChar w:fldCharType="end"/>
      </w:r>
      <w:r w:rsidRPr="00726346">
        <w:t xml:space="preserve">. </w:t>
      </w:r>
    </w:p>
    <w:p w14:paraId="07C322B7" w14:textId="461CE45E" w:rsidR="001E29AB" w:rsidRPr="00F543C1" w:rsidRDefault="001E29AB" w:rsidP="001E29AB">
      <w:pPr>
        <w:pStyle w:val="USBodyText"/>
      </w:pPr>
      <w:r w:rsidRPr="00F543C1">
        <w:t>While lack of access to resources is a key contributor to persistent disadvantage, there are other underlying drivers. Drawing on three longitudinal research programmes</w:t>
      </w:r>
      <w:r w:rsidR="00330A55" w:rsidRPr="00F543C1">
        <w:t>,</w:t>
      </w:r>
      <w:r w:rsidRPr="00F543C1">
        <w:t xml:space="preserve"> including the Dunedin Multidisciplinary Health and Development Study (‘the Dunedin study’), Jay Belsky and his colleagues suggest that experience of disadvantage is probabilistic</w:t>
      </w:r>
      <w:r w:rsidR="00330A55" w:rsidRPr="00F543C1">
        <w:t>,</w:t>
      </w:r>
      <w:r w:rsidRPr="00F543C1">
        <w:t xml:space="preserve"> not deterministic </w:t>
      </w:r>
      <w:r w:rsidRPr="00F543C1">
        <w:fldChar w:fldCharType="begin"/>
      </w:r>
      <w:r w:rsidR="009B0EC4">
        <w:instrText xml:space="preserve"> ADDIN ZOTERO_ITEM CSL_CITATION {"citationID":"a2o1s01vtpg","properties":{"formattedCitation":"(Belsky et al. 2020, 6)","plainCitation":"(Belsky et al. 2020, 6)","noteIndex":0},"citationItems":[{"id":"93SUiiiy/CsAMhaEf","uris":["http://zotero.org/groups/2875298/items/GDRV5HCM"],"itemData":{"id":630,"type":"book","event-place":"Cambridge, MA","ISBN":"0-674-98345-9","note":"ISBN: 9780674983458\nEISBN: 0674245148\nEISBN: 9780674245143\nEISBN: 9780674245433\nEISBN: 0674245431\nOCLC: 1153753448","publisher":"Harvard University Press","publisher-place":"Cambridge, MA","title":"The origins of you: How childhood shapes later life","author":[{"family":"Belsky","given":"Jay"},{"family":"Caspi","given":"Avshalom"},{"family":"Moffitt","given":"Terrie"},{"family":"Poulton","given":"Richie"}],"issued":{"date-parts":[["2020"]]}},"locator":"6","label":"page"}],"schema":"https://github.com/citation-style-language/schema/raw/master/csl-citation.json"} </w:instrText>
      </w:r>
      <w:r w:rsidRPr="00F543C1">
        <w:fldChar w:fldCharType="separate"/>
      </w:r>
      <w:r w:rsidRPr="00F543C1">
        <w:rPr>
          <w:rFonts w:cs="Calibri"/>
        </w:rPr>
        <w:t>(Belsky et al. 2020, 6)</w:t>
      </w:r>
      <w:r w:rsidRPr="00F543C1">
        <w:fldChar w:fldCharType="end"/>
      </w:r>
      <w:r w:rsidRPr="00726346">
        <w:t xml:space="preserve">. That is, while there are known risk factors, not everyone with these risk factors will go on to experience persistent disadvantage. </w:t>
      </w:r>
    </w:p>
    <w:p w14:paraId="64177861" w14:textId="278A8E78" w:rsidR="001E29AB" w:rsidRPr="00F543C1" w:rsidRDefault="001E29AB" w:rsidP="001E29AB">
      <w:pPr>
        <w:pStyle w:val="USBodyText"/>
      </w:pPr>
      <w:r w:rsidRPr="00F543C1">
        <w:t>Risk factors include inherited or acquired developmental vulnerabilities (</w:t>
      </w:r>
      <w:r w:rsidR="00440D4C" w:rsidRPr="00F543C1">
        <w:t>for example,</w:t>
      </w:r>
      <w:r w:rsidRPr="00F543C1">
        <w:t xml:space="preserve"> cognitive limitations, difficult temperaments, or genetic predispositions, </w:t>
      </w:r>
      <w:r w:rsidR="00307ECB" w:rsidRPr="00F543C1">
        <w:t>such as</w:t>
      </w:r>
      <w:r w:rsidRPr="00F543C1">
        <w:t xml:space="preserve"> depression). The environment in which a child grows up can also exacerbate risk. Children who experience inadequate parenting, disrupted family bonds, poverty, absent </w:t>
      </w:r>
      <w:proofErr w:type="gramStart"/>
      <w:r w:rsidRPr="00F543C1">
        <w:t>fathers</w:t>
      </w:r>
      <w:proofErr w:type="gramEnd"/>
      <w:r w:rsidRPr="00F543C1">
        <w:t xml:space="preserve"> and family conflict are at greater risk. There are frequently ‘dosage effects’: the more frequent and the larger the number of different types of experiences of victimisation</w:t>
      </w:r>
      <w:r w:rsidR="00440D4C" w:rsidRPr="00F543C1">
        <w:t>,</w:t>
      </w:r>
      <w:r w:rsidRPr="00F543C1">
        <w:t xml:space="preserve"> such as bullying and family or sexual violence someone has, the greater the negative impact is likely to be</w:t>
      </w:r>
      <w:r w:rsidR="002B7A3A" w:rsidRPr="00F543C1">
        <w:t>.</w:t>
      </w:r>
      <w:r w:rsidR="002B7A3A" w:rsidRPr="009006D7">
        <w:rPr>
          <w:rStyle w:val="FootnoteReference"/>
        </w:rPr>
        <w:footnoteReference w:id="41"/>
      </w:r>
      <w:r w:rsidRPr="00726346">
        <w:t xml:space="preserve"> </w:t>
      </w:r>
    </w:p>
    <w:p w14:paraId="73722064" w14:textId="4FC20B44" w:rsidR="001E29AB" w:rsidRPr="00F543C1" w:rsidRDefault="001E29AB" w:rsidP="001E29AB">
      <w:pPr>
        <w:pStyle w:val="USBodyText"/>
      </w:pPr>
      <w:r w:rsidRPr="00F543C1">
        <w:t xml:space="preserve">Some people who might be predisposed to disadvantage because of their life experiences or family history will possess protective factors that help them to live good lives despite this. For example, a person who is genetically more likely to experience depression may be less susceptible if they have a loving family, a strong </w:t>
      </w:r>
      <w:proofErr w:type="gramStart"/>
      <w:r w:rsidRPr="00F543C1">
        <w:t>community</w:t>
      </w:r>
      <w:proofErr w:type="gramEnd"/>
      <w:r w:rsidRPr="00F543C1">
        <w:t xml:space="preserve"> or </w:t>
      </w:r>
      <w:r w:rsidRPr="00F543C1">
        <w:lastRenderedPageBreak/>
        <w:t>caring friends.</w:t>
      </w:r>
      <w:r w:rsidRPr="009006D7">
        <w:rPr>
          <w:rStyle w:val="FootnoteReference"/>
        </w:rPr>
        <w:footnoteReference w:id="42"/>
      </w:r>
      <w:r w:rsidRPr="00726346">
        <w:t xml:space="preserve"> Others may </w:t>
      </w:r>
      <w:r w:rsidR="0027080F" w:rsidRPr="00F543C1">
        <w:t xml:space="preserve">have access to and </w:t>
      </w:r>
      <w:r w:rsidRPr="00F543C1">
        <w:t>seek</w:t>
      </w:r>
      <w:r w:rsidR="00ED36DA" w:rsidRPr="00F543C1">
        <w:t xml:space="preserve"> </w:t>
      </w:r>
      <w:r w:rsidRPr="00F543C1">
        <w:t>to adopt protective behaviours such as taking parenting classes or getting counselling in order to learn new ways to deal with their children:</w:t>
      </w:r>
    </w:p>
    <w:p w14:paraId="7C517F88" w14:textId="67B52AA4" w:rsidR="001E29AB" w:rsidRPr="00726346" w:rsidRDefault="001E29AB" w:rsidP="001E29AB">
      <w:pPr>
        <w:pStyle w:val="Quotation"/>
      </w:pPr>
      <w:r w:rsidRPr="00F543C1">
        <w:t>By helping families with day-to-day tasks and parenting skills, family-based interventions can prevent or remedy dysfunctions that are harmful to child well-being and development. Family-based interventions play a crucial role in improving children</w:t>
      </w:r>
      <w:r w:rsidR="006D54E3" w:rsidRPr="00F543C1">
        <w:t>’</w:t>
      </w:r>
      <w:r w:rsidRPr="00F543C1">
        <w:t xml:space="preserve">s living environments, and are important for parents with limited access to material and/or cultural resources to help children learn and develop. </w:t>
      </w:r>
      <w:r w:rsidRPr="00F543C1">
        <w:rPr>
          <w:i w:val="0"/>
          <w:iCs/>
        </w:rPr>
        <w:fldChar w:fldCharType="begin"/>
      </w:r>
      <w:r w:rsidR="009B0EC4">
        <w:rPr>
          <w:i w:val="0"/>
          <w:iCs/>
        </w:rPr>
        <w:instrText xml:space="preserve"> ADDIN ZOTERO_ITEM CSL_CITATION {"citationID":"a2m8h08lvn1","properties":{"formattedCitation":"(OECD 2019, 108)","plainCitation":"(OECD 2019, 108)","noteIndex":0},"citationItems":[{"id":17033,"uris":["http://zotero.org/groups/4623831/items/NFLQ3T7T"],"itemData":{"id":17033,"type":"book","abstract":"This report analyses the individual and environmental factors that contribute to child vulnerability. It calls on OECD countries to develop and implement cross-cutting well-being strategies that focus on empowering vulnerable families; strengthening...","event-place":"Paris","language":"en","publisher":"Organisation for Economic Co-operation and Development","publisher-place":"Paris","source":"OECD iLibrary","title":"Changing the Odds for Vulnerable Children: Building Opportunities and Resilience","title-short":"Changing the Odds for Vulnerable Children","URL":"https://www.oecd-ilibrary.org/social-issues-migration-health/changing-the-odds-for-vulnerable-children_a2e8796c-en","author":[{"literal":"OECD"}],"accessed":{"date-parts":[["2022",11,15]]},"issued":{"date-parts":[["2019"]]}},"locator":"108","label":"page"}],"schema":"https://github.com/citation-style-language/schema/raw/master/csl-citation.json"} </w:instrText>
      </w:r>
      <w:r w:rsidRPr="00F543C1">
        <w:rPr>
          <w:i w:val="0"/>
          <w:iCs/>
        </w:rPr>
        <w:fldChar w:fldCharType="separate"/>
      </w:r>
      <w:r w:rsidRPr="00F543C1">
        <w:rPr>
          <w:rFonts w:cs="Calibri"/>
          <w:i w:val="0"/>
          <w:iCs/>
          <w:szCs w:val="24"/>
        </w:rPr>
        <w:t>(OECD 2019, 108)</w:t>
      </w:r>
      <w:r w:rsidRPr="00F543C1">
        <w:rPr>
          <w:i w:val="0"/>
          <w:iCs/>
        </w:rPr>
        <w:fldChar w:fldCharType="end"/>
      </w:r>
    </w:p>
    <w:p w14:paraId="5D967120" w14:textId="252507E2" w:rsidR="001E29AB" w:rsidRPr="00F543C1" w:rsidRDefault="001E29AB" w:rsidP="001E29AB">
      <w:pPr>
        <w:pStyle w:val="USBodyText"/>
      </w:pPr>
      <w:r w:rsidRPr="00F543C1">
        <w:t xml:space="preserve">Belsky and his colleagues also suggest that knowing more about underlying risks could enable more effective targeting of prevention programmes, such as for teens who are more likely to become addicted to smoking because of their genetics </w:t>
      </w:r>
      <w:r w:rsidRPr="00F543C1">
        <w:fldChar w:fldCharType="begin"/>
      </w:r>
      <w:r w:rsidR="009B0EC4">
        <w:instrText xml:space="preserve"> ADDIN ZOTERO_ITEM CSL_CITATION {"citationID":"a20ies9ql75","properties":{"formattedCitation":"(Belsky et al. 2020, 246)","plainCitation":"(Belsky et al. 2020, 246)","noteIndex":0},"citationItems":[{"id":"93SUiiiy/CsAMhaEf","uris":["http://zotero.org/groups/2875298/items/GDRV5HCM"],"itemData":{"id":630,"type":"book","event-place":"Cambridge, MA","ISBN":"0-674-98345-9","note":"ISBN: 9780674983458\nEISBN: 0674245148\nEISBN: 9780674245143\nEISBN: 9780674245433\nEISBN: 0674245431\nOCLC: 1153753448","publisher":"Harvard University Press","publisher-place":"Cambridge, MA","title":"The origins of you: How childhood shapes later life","author":[{"family":"Belsky","given":"Jay"},{"family":"Caspi","given":"Avshalom"},{"family":"Moffitt","given":"Terrie"},{"family":"Poulton","given":"Richie"}],"issued":{"date-parts":[["2020"]]}},"locator":"246","label":"page"}],"schema":"https://github.com/citation-style-language/schema/raw/master/csl-citation.json"} </w:instrText>
      </w:r>
      <w:r w:rsidRPr="00F543C1">
        <w:fldChar w:fldCharType="separate"/>
      </w:r>
      <w:r w:rsidRPr="00F543C1">
        <w:rPr>
          <w:rFonts w:cs="Calibri"/>
        </w:rPr>
        <w:t>(Belsky et al. 2020, 246)</w:t>
      </w:r>
      <w:r w:rsidRPr="00F543C1">
        <w:fldChar w:fldCharType="end"/>
      </w:r>
      <w:r w:rsidRPr="00726346">
        <w:t xml:space="preserve">. </w:t>
      </w:r>
    </w:p>
    <w:p w14:paraId="1F16A215" w14:textId="6ED077D3" w:rsidR="00CA7E39" w:rsidRPr="00F543C1" w:rsidRDefault="000F6371" w:rsidP="001E29AB">
      <w:pPr>
        <w:pStyle w:val="USBodyText"/>
      </w:pPr>
      <w:r w:rsidRPr="00F543C1">
        <w:t xml:space="preserve">In its </w:t>
      </w:r>
      <w:r w:rsidR="00B26686" w:rsidRPr="00F543C1">
        <w:t xml:space="preserve">Interim </w:t>
      </w:r>
      <w:r w:rsidRPr="00F543C1">
        <w:t xml:space="preserve">report, the Commission identified </w:t>
      </w:r>
      <w:r w:rsidR="005C7EB4" w:rsidRPr="00F543C1">
        <w:t>several</w:t>
      </w:r>
      <w:r w:rsidRPr="00F543C1">
        <w:t xml:space="preserve"> underlying contextual factors which contribute to persistent disadvantage, and noted that to improve outcomes, </w:t>
      </w:r>
      <w:r w:rsidR="00BB6BCB" w:rsidRPr="00F543C1">
        <w:t xml:space="preserve">we will need to grapple with </w:t>
      </w:r>
      <w:r w:rsidRPr="00F543C1">
        <w:t>“confronting issues like the ongoing impacts of colonisation, institutional and systemic racism, and who holds power”</w:t>
      </w:r>
      <w:r w:rsidR="00BB6BCB" w:rsidRPr="00F543C1">
        <w:t xml:space="preserve"> </w:t>
      </w:r>
      <w:r w:rsidRPr="00F543C1">
        <w:fldChar w:fldCharType="begin"/>
      </w:r>
      <w:r w:rsidR="009B0EC4">
        <w:instrText xml:space="preserve"> ADDIN ZOTERO_ITEM CSL_CITATION {"citationID":"DRYgzQhI","properties":{"formattedCitation":"(New Zealand Productivity Commission 2022a, 2)","plainCitation":"(New Zealand Productivity Commission 2022a, 2)","noteIndex":0},"citationItems":[{"id":16621,"uris":["http://zotero.org/groups/4801058/items/WYNPCXJD"],"itemData":{"id":16621,"type":"report","event-place":"Wellington","publisher":"New Zealand Productivity Commission","publisher-place":"Wellington","title":"Fair Chance for All Interim Report - Breaking the Cycle of Persistent Disadvantage","author":[{"family":"New Zealand Productivity Commission","given":""}],"issued":{"date-parts":[["2022"]]}},"locator":"2","label":"page"}],"schema":"https://github.com/citation-style-language/schema/raw/master/csl-citation.json"} </w:instrText>
      </w:r>
      <w:r w:rsidRPr="00F543C1">
        <w:fldChar w:fldCharType="separate"/>
      </w:r>
      <w:r w:rsidRPr="00F543C1">
        <w:t>(New Zealand Productivity Commission 2022a, 2)</w:t>
      </w:r>
      <w:r w:rsidRPr="00F543C1">
        <w:fldChar w:fldCharType="end"/>
      </w:r>
      <w:r w:rsidRPr="00726346">
        <w:t xml:space="preserve">. </w:t>
      </w:r>
    </w:p>
    <w:p w14:paraId="6F7EC80A" w14:textId="2477B2E4" w:rsidR="001E29AB" w:rsidRPr="00F543C1" w:rsidRDefault="001E29AB" w:rsidP="001E29AB">
      <w:pPr>
        <w:pStyle w:val="USBodyText"/>
      </w:pPr>
      <w:r w:rsidRPr="00F543C1">
        <w:t xml:space="preserve">The physical and economic environment in which people live can also lead to disadvantage. Whānau who live in unsafe communities with low levels of resources, poor </w:t>
      </w:r>
      <w:proofErr w:type="gramStart"/>
      <w:r w:rsidRPr="00F543C1">
        <w:t>housing</w:t>
      </w:r>
      <w:proofErr w:type="gramEnd"/>
      <w:r w:rsidRPr="00F543C1">
        <w:t xml:space="preserve"> and job opportunities, or failing schools, are more vulnerable.</w:t>
      </w:r>
    </w:p>
    <w:p w14:paraId="6DCD2BA7" w14:textId="1B6D03E0" w:rsidR="001E29AB" w:rsidRPr="00F543C1" w:rsidRDefault="001E29AB" w:rsidP="001E29AB">
      <w:pPr>
        <w:pStyle w:val="USBodyText"/>
      </w:pPr>
      <w:r w:rsidRPr="00F543C1">
        <w:t xml:space="preserve">History, </w:t>
      </w:r>
      <w:proofErr w:type="gramStart"/>
      <w:r w:rsidRPr="00F543C1">
        <w:t>context</w:t>
      </w:r>
      <w:proofErr w:type="gramEnd"/>
      <w:r w:rsidRPr="00F543C1">
        <w:t xml:space="preserve"> and connections can all lead to an absence of flourishing. For whānau Māori, the legacy of settler colonisation, including confiscation of resources, denial of the right to exercise </w:t>
      </w:r>
      <w:proofErr w:type="spellStart"/>
      <w:r w:rsidRPr="00F543C1">
        <w:t>tino</w:t>
      </w:r>
      <w:proofErr w:type="spellEnd"/>
      <w:r w:rsidRPr="00F543C1">
        <w:t xml:space="preserve"> rangatiratanga and mana </w:t>
      </w:r>
      <w:proofErr w:type="spellStart"/>
      <w:r w:rsidRPr="00F543C1">
        <w:t>motuhake</w:t>
      </w:r>
      <w:proofErr w:type="spellEnd"/>
      <w:r w:rsidRPr="00F543C1">
        <w:t xml:space="preserve"> and suppression of tikanga and </w:t>
      </w:r>
      <w:proofErr w:type="spellStart"/>
      <w:r w:rsidRPr="00F543C1">
        <w:t>te</w:t>
      </w:r>
      <w:proofErr w:type="spellEnd"/>
      <w:r w:rsidRPr="00F543C1">
        <w:t xml:space="preserve"> </w:t>
      </w:r>
      <w:proofErr w:type="spellStart"/>
      <w:r w:rsidRPr="00F543C1">
        <w:t>reo</w:t>
      </w:r>
      <w:proofErr w:type="spellEnd"/>
      <w:r w:rsidRPr="00F543C1">
        <w:t xml:space="preserve"> Māori are critical factors, as are current systemic racism and discrimination</w:t>
      </w:r>
      <w:r w:rsidR="00B93574" w:rsidRPr="00F543C1">
        <w:t xml:space="preserve"> </w:t>
      </w:r>
      <w:r w:rsidR="00B93574" w:rsidRPr="00F543C1">
        <w:fldChar w:fldCharType="begin"/>
      </w:r>
      <w:r w:rsidR="009B0EC4">
        <w:instrText xml:space="preserve"> ADDIN ZOTERO_ITEM CSL_CITATION {"citationID":"wiHS80AA","properties":{"formattedCitation":"(Haemata Limited 2022a)","plainCitation":"(Haemata Limited 2022a)","noteIndex":0},"citationItems":[{"id":16549,"uris":["http://zotero.org/groups/4801058/items/4YZZU74I"],"itemData":{"id":16549,"type":"report","event-place":"Wellington","publisher":"New Zealand Productivity Commission","publisher-place":"Wellington","title":"Colonisation, racism and wellbeing","author":[{"family":"Haemata Limited","given":""}],"issued":{"date-parts":[["2022"]]}}}],"schema":"https://github.com/citation-style-language/schema/raw/master/csl-citation.json"} </w:instrText>
      </w:r>
      <w:r w:rsidR="00B93574" w:rsidRPr="00F543C1">
        <w:fldChar w:fldCharType="separate"/>
      </w:r>
      <w:r w:rsidR="00B93574" w:rsidRPr="00F543C1">
        <w:rPr>
          <w:rFonts w:cs="Calibri"/>
        </w:rPr>
        <w:t>(Haemata Limited 2022a)</w:t>
      </w:r>
      <w:r w:rsidR="00B93574" w:rsidRPr="00F543C1">
        <w:fldChar w:fldCharType="end"/>
      </w:r>
      <w:r w:rsidRPr="00726346">
        <w:t xml:space="preserve">. </w:t>
      </w:r>
    </w:p>
    <w:p w14:paraId="7310A7F7" w14:textId="53023AFE" w:rsidR="001E29AB" w:rsidRPr="00F543C1" w:rsidRDefault="001E29AB" w:rsidP="001E29AB">
      <w:pPr>
        <w:pStyle w:val="USBodyText"/>
      </w:pPr>
      <w:r w:rsidRPr="00F543C1">
        <w:t>Pacific families have their own, distinct history of colonialism</w:t>
      </w:r>
      <w:r w:rsidRPr="009006D7">
        <w:rPr>
          <w:rStyle w:val="FootnoteReference"/>
        </w:rPr>
        <w:footnoteReference w:id="43"/>
      </w:r>
      <w:r w:rsidRPr="00726346">
        <w:t xml:space="preserve"> and have experienced racism, discrimination and economic exploitation in New Zealand as both migrants and the descendants of migrants </w:t>
      </w:r>
      <w:r w:rsidRPr="00F543C1">
        <w:fldChar w:fldCharType="begin"/>
      </w:r>
      <w:r w:rsidR="009B0EC4">
        <w:instrText xml:space="preserve"> ADDIN ZOTERO_ITEM CSL_CITATION {"citationID":"X8q9mxoC","properties":{"formattedCitation":"(Fry and Wilson 2018, 16)","plainCitation":"(Fry and Wilson 2018, 16)","noteIndex":0},"citationItems":[{"id":2525,"uris":["http://zotero.org/users/4659042/items/QY2T26ST"],"itemData":{"id":2525,"type":"book","abstract":"\"Migration is at historically high levels and more than a quarter of the New Zealand population was born overseas. Yet immigration remains a deeply contentious issue, with the debate more often shaped by emotion than evidence. Julie Fry and Peter Wilson have developed a new framework that broadens the scope of how we consider migration policy. Rather than just considering the effect of migration on GDP, they look at factors such as the Treaty of Waitangi. Their goal? Migration policy that acknowledges the complexity of the world we all inhabit.\"--Publisher information","call-number":"JV9262 .F79 2018","collection-title":"BWB Texts","event-place":"Wellington, New Zealand","ISBN":"978-1-988533-75-9","license":"All rights reserved","note":"OCLC: on1029949831","number-of-pages":"280","publisher":"Bridget Williams Books Limited","publisher-place":"Wellington, New Zealand","source":"Library of Congress ISBN","title":"Better lives: migration, wellbeing and New Zealand","title-short":"Better lives","author":[{"family":"Fry","given":"Julie"},{"family":"Wilson","given":"Peter"}],"issued":{"date-parts":[["2018"]]}},"locator":"16","label":"page"}],"schema":"https://github.com/citation-style-language/schema/raw/master/csl-citation.json"} </w:instrText>
      </w:r>
      <w:r w:rsidRPr="00F543C1">
        <w:fldChar w:fldCharType="separate"/>
      </w:r>
      <w:r w:rsidR="00C50615" w:rsidRPr="00C50615">
        <w:rPr>
          <w:rFonts w:cs="Calibri"/>
        </w:rPr>
        <w:t>(Fry and Wilson 2018, 16)</w:t>
      </w:r>
      <w:r w:rsidRPr="00F543C1">
        <w:fldChar w:fldCharType="end"/>
      </w:r>
      <w:r w:rsidRPr="00726346">
        <w:t>. Migrants from o</w:t>
      </w:r>
      <w:r w:rsidRPr="00F543C1">
        <w:t>ther countries also face discrimination in New Zealand. We discuss the issues facing families with origins in Asia in</w:t>
      </w:r>
      <w:r w:rsidR="00F84EAD">
        <w:t xml:space="preserve"> a</w:t>
      </w:r>
      <w:r w:rsidR="004713B0">
        <w:t xml:space="preserve"> case study</w:t>
      </w:r>
      <w:r w:rsidRPr="00F543C1">
        <w:t xml:space="preserve"> </w:t>
      </w:r>
      <w:r w:rsidR="008D3426">
        <w:t>in section</w:t>
      </w:r>
      <w:r w:rsidR="005276B3">
        <w:fldChar w:fldCharType="begin"/>
      </w:r>
      <w:r w:rsidR="005276B3">
        <w:instrText xml:space="preserve"> REF _Ref126252916 \r \h </w:instrText>
      </w:r>
      <w:r w:rsidR="005276B3">
        <w:fldChar w:fldCharType="separate"/>
      </w:r>
      <w:r w:rsidR="00E06351">
        <w:t>2.5.5</w:t>
      </w:r>
      <w:r w:rsidR="005276B3">
        <w:fldChar w:fldCharType="end"/>
      </w:r>
      <w:r w:rsidR="005276B3">
        <w:t xml:space="preserve"> </w:t>
      </w:r>
      <w:r w:rsidR="008D3426">
        <w:t xml:space="preserve"> </w:t>
      </w:r>
      <w:r w:rsidR="008D3426" w:rsidRPr="008D3426">
        <w:t xml:space="preserve">beginning on page </w:t>
      </w:r>
      <w:r w:rsidR="008D3426">
        <w:fldChar w:fldCharType="begin"/>
      </w:r>
      <w:r w:rsidR="008D3426">
        <w:instrText xml:space="preserve"> PAGEREF _Ref126143975 \h </w:instrText>
      </w:r>
      <w:r w:rsidR="008D3426">
        <w:fldChar w:fldCharType="separate"/>
      </w:r>
      <w:r w:rsidR="00E06351">
        <w:rPr>
          <w:noProof/>
        </w:rPr>
        <w:t>25</w:t>
      </w:r>
      <w:r w:rsidR="008D3426">
        <w:fldChar w:fldCharType="end"/>
      </w:r>
      <w:r w:rsidR="008D3426">
        <w:t xml:space="preserve">. </w:t>
      </w:r>
    </w:p>
    <w:p w14:paraId="6108AA23" w14:textId="0679000C" w:rsidR="001E29AB" w:rsidRPr="00F543C1" w:rsidRDefault="00DB43BF" w:rsidP="001E29AB">
      <w:pPr>
        <w:pStyle w:val="USBodyText"/>
      </w:pPr>
      <w:r w:rsidRPr="00F543C1">
        <w:rPr>
          <w:rStyle w:val="cf01"/>
          <w:rFonts w:ascii="Calibri" w:hAnsi="Calibri" w:cstheme="minorBidi"/>
          <w:sz w:val="22"/>
          <w:szCs w:val="22"/>
        </w:rPr>
        <w:t>M</w:t>
      </w:r>
      <w:r w:rsidR="00CD367D" w:rsidRPr="00F543C1">
        <w:rPr>
          <w:rStyle w:val="cf01"/>
          <w:rFonts w:ascii="Calibri" w:hAnsi="Calibri" w:cstheme="minorBidi"/>
          <w:sz w:val="22"/>
          <w:szCs w:val="22"/>
        </w:rPr>
        <w:t>a</w:t>
      </w:r>
      <w:r w:rsidR="003B140A" w:rsidRPr="00F543C1">
        <w:rPr>
          <w:rStyle w:val="cf01"/>
          <w:rFonts w:ascii="Calibri" w:hAnsi="Calibri" w:cstheme="minorBidi"/>
          <w:sz w:val="22"/>
          <w:szCs w:val="22"/>
        </w:rPr>
        <w:t xml:space="preserve">ny factors </w:t>
      </w:r>
      <w:r w:rsidR="00E11C09" w:rsidRPr="00F543C1">
        <w:rPr>
          <w:rStyle w:val="cf01"/>
          <w:rFonts w:ascii="Calibri" w:hAnsi="Calibri" w:cstheme="minorBidi"/>
          <w:sz w:val="22"/>
          <w:szCs w:val="22"/>
        </w:rPr>
        <w:t>can</w:t>
      </w:r>
      <w:r w:rsidR="003B140A" w:rsidRPr="00F543C1">
        <w:rPr>
          <w:rStyle w:val="cf01"/>
          <w:rFonts w:ascii="Calibri" w:hAnsi="Calibri" w:cstheme="minorBidi"/>
          <w:sz w:val="22"/>
          <w:szCs w:val="22"/>
        </w:rPr>
        <w:t xml:space="preserve"> curtail </w:t>
      </w:r>
      <w:r w:rsidR="00740FB2" w:rsidRPr="00F543C1">
        <w:rPr>
          <w:rStyle w:val="cf01"/>
          <w:rFonts w:ascii="Calibri" w:hAnsi="Calibri" w:cstheme="minorBidi"/>
          <w:sz w:val="22"/>
          <w:szCs w:val="22"/>
        </w:rPr>
        <w:t>people</w:t>
      </w:r>
      <w:r w:rsidR="00041E30">
        <w:rPr>
          <w:rStyle w:val="cf01"/>
          <w:rFonts w:ascii="Calibri" w:hAnsi="Calibri" w:cstheme="minorBidi"/>
          <w:sz w:val="22"/>
          <w:szCs w:val="22"/>
        </w:rPr>
        <w:t>’</w:t>
      </w:r>
      <w:r w:rsidR="00740FB2" w:rsidRPr="00F543C1">
        <w:rPr>
          <w:rStyle w:val="cf01"/>
          <w:rFonts w:ascii="Calibri" w:hAnsi="Calibri" w:cstheme="minorBidi"/>
          <w:sz w:val="22"/>
          <w:szCs w:val="22"/>
        </w:rPr>
        <w:t>s freedom to live a lif</w:t>
      </w:r>
      <w:r w:rsidR="001314E7" w:rsidRPr="00F543C1">
        <w:rPr>
          <w:rStyle w:val="cf01"/>
          <w:rFonts w:ascii="Calibri" w:hAnsi="Calibri" w:cstheme="minorBidi"/>
          <w:sz w:val="22"/>
          <w:szCs w:val="22"/>
        </w:rPr>
        <w:t>e they value</w:t>
      </w:r>
      <w:r w:rsidR="00890850" w:rsidRPr="00F543C1">
        <w:rPr>
          <w:rStyle w:val="cf01"/>
          <w:rFonts w:ascii="Calibri" w:hAnsi="Calibri" w:cstheme="minorBidi"/>
          <w:sz w:val="22"/>
          <w:szCs w:val="22"/>
        </w:rPr>
        <w:t xml:space="preserve"> and </w:t>
      </w:r>
      <w:r w:rsidR="00300DB8" w:rsidRPr="00F543C1">
        <w:rPr>
          <w:rStyle w:val="cf01"/>
          <w:rFonts w:ascii="Calibri" w:hAnsi="Calibri" w:cstheme="minorBidi"/>
          <w:sz w:val="22"/>
          <w:szCs w:val="22"/>
        </w:rPr>
        <w:t>increase their likelihood of experiencing persistent dis</w:t>
      </w:r>
      <w:r w:rsidR="00AA1248" w:rsidRPr="00F543C1">
        <w:rPr>
          <w:rStyle w:val="cf01"/>
          <w:rFonts w:ascii="Calibri" w:hAnsi="Calibri" w:cstheme="minorBidi"/>
          <w:sz w:val="22"/>
          <w:szCs w:val="22"/>
        </w:rPr>
        <w:t>advantage</w:t>
      </w:r>
      <w:r w:rsidR="0064306A" w:rsidRPr="00F543C1">
        <w:rPr>
          <w:rStyle w:val="cf01"/>
          <w:rFonts w:ascii="Calibri" w:hAnsi="Calibri" w:cstheme="minorBidi"/>
          <w:sz w:val="22"/>
          <w:szCs w:val="22"/>
        </w:rPr>
        <w:t>.</w:t>
      </w:r>
      <w:r w:rsidR="00796810" w:rsidRPr="009006D7">
        <w:rPr>
          <w:rStyle w:val="FootnoteReference"/>
        </w:rPr>
        <w:footnoteReference w:id="44"/>
      </w:r>
      <w:r w:rsidR="00796810" w:rsidRPr="00726346">
        <w:rPr>
          <w:rStyle w:val="cf01"/>
          <w:rFonts w:ascii="Calibri" w:hAnsi="Calibri" w:cstheme="minorBidi"/>
          <w:sz w:val="22"/>
          <w:szCs w:val="22"/>
        </w:rPr>
        <w:t xml:space="preserve"> </w:t>
      </w:r>
      <w:r w:rsidR="00AA1248" w:rsidRPr="00F543C1">
        <w:rPr>
          <w:rStyle w:val="cf01"/>
          <w:rFonts w:ascii="Calibri" w:hAnsi="Calibri" w:cstheme="minorBidi"/>
          <w:sz w:val="22"/>
          <w:szCs w:val="22"/>
        </w:rPr>
        <w:t>For example,</w:t>
      </w:r>
      <w:r w:rsidR="00F56650" w:rsidRPr="00F543C1">
        <w:rPr>
          <w:rStyle w:val="cf01"/>
          <w:rFonts w:ascii="Calibri" w:hAnsi="Calibri" w:cstheme="minorBidi"/>
          <w:sz w:val="22"/>
          <w:szCs w:val="22"/>
        </w:rPr>
        <w:t xml:space="preserve"> the choices</w:t>
      </w:r>
      <w:r w:rsidR="00AA1248" w:rsidRPr="00F543C1">
        <w:rPr>
          <w:rStyle w:val="cf01"/>
          <w:rFonts w:ascii="Calibri" w:hAnsi="Calibri" w:cstheme="minorBidi"/>
          <w:sz w:val="22"/>
          <w:szCs w:val="22"/>
        </w:rPr>
        <w:t xml:space="preserve"> </w:t>
      </w:r>
      <w:r w:rsidR="00C95C30" w:rsidRPr="00F543C1">
        <w:rPr>
          <w:rStyle w:val="cf01"/>
          <w:rFonts w:ascii="Calibri" w:hAnsi="Calibri" w:cstheme="minorBidi"/>
          <w:sz w:val="22"/>
          <w:szCs w:val="22"/>
        </w:rPr>
        <w:t xml:space="preserve">people with disabilities </w:t>
      </w:r>
      <w:r w:rsidR="00F56650" w:rsidRPr="00F543C1">
        <w:rPr>
          <w:rStyle w:val="cf01"/>
          <w:rFonts w:ascii="Calibri" w:hAnsi="Calibri" w:cstheme="minorBidi"/>
          <w:sz w:val="22"/>
          <w:szCs w:val="22"/>
        </w:rPr>
        <w:t xml:space="preserve">face </w:t>
      </w:r>
      <w:r w:rsidR="00C95C30" w:rsidRPr="00F543C1">
        <w:rPr>
          <w:rStyle w:val="cf01"/>
          <w:rFonts w:ascii="Calibri" w:hAnsi="Calibri" w:cstheme="minorBidi"/>
          <w:sz w:val="22"/>
          <w:szCs w:val="22"/>
        </w:rPr>
        <w:t xml:space="preserve">may </w:t>
      </w:r>
      <w:r w:rsidR="00F56650" w:rsidRPr="00F543C1">
        <w:rPr>
          <w:rStyle w:val="cf01"/>
          <w:rFonts w:ascii="Calibri" w:hAnsi="Calibri" w:cstheme="minorBidi"/>
          <w:sz w:val="22"/>
          <w:szCs w:val="22"/>
        </w:rPr>
        <w:t xml:space="preserve">be constrained by </w:t>
      </w:r>
      <w:r w:rsidRPr="00F543C1">
        <w:rPr>
          <w:rStyle w:val="cf01"/>
          <w:rFonts w:ascii="Calibri" w:hAnsi="Calibri" w:cstheme="minorBidi"/>
          <w:sz w:val="22"/>
          <w:szCs w:val="22"/>
        </w:rPr>
        <w:t xml:space="preserve">discrimination, </w:t>
      </w:r>
      <w:r w:rsidR="00211B06" w:rsidRPr="00F543C1">
        <w:rPr>
          <w:rStyle w:val="cf01"/>
          <w:rFonts w:ascii="Calibri" w:hAnsi="Calibri" w:cstheme="minorBidi"/>
          <w:sz w:val="22"/>
          <w:szCs w:val="22"/>
        </w:rPr>
        <w:t>able</w:t>
      </w:r>
      <w:r w:rsidR="00E80EA6" w:rsidRPr="00F543C1">
        <w:rPr>
          <w:rStyle w:val="cf01"/>
          <w:rFonts w:ascii="Calibri" w:hAnsi="Calibri" w:cstheme="minorBidi"/>
          <w:sz w:val="22"/>
          <w:szCs w:val="22"/>
        </w:rPr>
        <w:t>ist</w:t>
      </w:r>
      <w:r w:rsidR="00211B06" w:rsidRPr="00F543C1">
        <w:rPr>
          <w:rStyle w:val="cf01"/>
          <w:rFonts w:ascii="Calibri" w:hAnsi="Calibri" w:cstheme="minorBidi"/>
          <w:sz w:val="22"/>
          <w:szCs w:val="22"/>
        </w:rPr>
        <w:t xml:space="preserve"> policies</w:t>
      </w:r>
      <w:r w:rsidR="00E80EA6" w:rsidRPr="00F543C1">
        <w:rPr>
          <w:rStyle w:val="cf01"/>
          <w:rFonts w:ascii="Calibri" w:hAnsi="Calibri" w:cstheme="minorBidi"/>
          <w:sz w:val="22"/>
          <w:szCs w:val="22"/>
        </w:rPr>
        <w:t xml:space="preserve"> and</w:t>
      </w:r>
      <w:r w:rsidR="00211B06" w:rsidRPr="00F543C1">
        <w:rPr>
          <w:rStyle w:val="cf01"/>
          <w:rFonts w:ascii="Calibri" w:hAnsi="Calibri" w:cstheme="minorBidi"/>
          <w:sz w:val="22"/>
          <w:szCs w:val="22"/>
        </w:rPr>
        <w:t xml:space="preserve"> practices </w:t>
      </w:r>
      <w:r w:rsidR="00211B06" w:rsidRPr="00F543C1">
        <w:rPr>
          <w:rStyle w:val="cf01"/>
          <w:rFonts w:ascii="Calibri" w:hAnsi="Calibri" w:cstheme="minorBidi"/>
          <w:sz w:val="22"/>
          <w:szCs w:val="22"/>
        </w:rPr>
        <w:lastRenderedPageBreak/>
        <w:t xml:space="preserve">and an absence of </w:t>
      </w:r>
      <w:r w:rsidR="00E80EA6" w:rsidRPr="00F543C1">
        <w:rPr>
          <w:rStyle w:val="cf01"/>
          <w:rFonts w:ascii="Calibri" w:hAnsi="Calibri" w:cstheme="minorBidi"/>
          <w:sz w:val="22"/>
          <w:szCs w:val="22"/>
        </w:rPr>
        <w:t>necessary</w:t>
      </w:r>
      <w:r w:rsidR="00211B06" w:rsidRPr="00F543C1">
        <w:rPr>
          <w:rStyle w:val="cf01"/>
          <w:rFonts w:ascii="Calibri" w:hAnsi="Calibri" w:cstheme="minorBidi"/>
          <w:sz w:val="22"/>
          <w:szCs w:val="22"/>
        </w:rPr>
        <w:t xml:space="preserve"> accommodations</w:t>
      </w:r>
      <w:r w:rsidRPr="00F543C1">
        <w:rPr>
          <w:rStyle w:val="cf01"/>
          <w:rFonts w:ascii="Calibri" w:hAnsi="Calibri" w:cstheme="minorBidi"/>
          <w:sz w:val="22"/>
          <w:szCs w:val="22"/>
        </w:rPr>
        <w:t xml:space="preserve"> </w:t>
      </w:r>
      <w:r w:rsidR="00204350" w:rsidRPr="00F543C1">
        <w:rPr>
          <w:rStyle w:val="cf01"/>
          <w:rFonts w:ascii="Calibri" w:hAnsi="Calibri" w:cstheme="minorBidi"/>
          <w:sz w:val="22"/>
          <w:szCs w:val="22"/>
        </w:rPr>
        <w:t xml:space="preserve">due to </w:t>
      </w:r>
      <w:r w:rsidRPr="00F543C1">
        <w:rPr>
          <w:rStyle w:val="cf01"/>
          <w:rFonts w:ascii="Calibri" w:hAnsi="Calibri" w:cstheme="minorBidi"/>
          <w:sz w:val="22"/>
          <w:szCs w:val="22"/>
        </w:rPr>
        <w:t>systems that do not consider their needs</w:t>
      </w:r>
      <w:r w:rsidR="00211B06" w:rsidRPr="00F543C1">
        <w:rPr>
          <w:rStyle w:val="cf01"/>
          <w:rFonts w:ascii="Calibri" w:hAnsi="Calibri" w:cstheme="minorBidi"/>
          <w:sz w:val="22"/>
          <w:szCs w:val="22"/>
        </w:rPr>
        <w:t xml:space="preserve">. </w:t>
      </w:r>
      <w:r w:rsidR="00CD367D" w:rsidRPr="00F543C1">
        <w:t xml:space="preserve">People </w:t>
      </w:r>
      <w:r w:rsidR="001E29AB" w:rsidRPr="00F543C1">
        <w:t xml:space="preserve">who have experienced trauma (such as refugee families and those who have lived through the Christchurch earthquakes or recent floods) are often inadequately supported, including </w:t>
      </w:r>
      <w:proofErr w:type="gramStart"/>
      <w:r w:rsidR="001E29AB" w:rsidRPr="00F543C1">
        <w:t>as a result of</w:t>
      </w:r>
      <w:proofErr w:type="gramEnd"/>
      <w:r w:rsidR="001E29AB" w:rsidRPr="00F543C1">
        <w:t xml:space="preserve"> shortages of mental health </w:t>
      </w:r>
      <w:r w:rsidR="0044063A" w:rsidRPr="00F543C1">
        <w:t>services</w:t>
      </w:r>
      <w:r w:rsidR="001E29AB" w:rsidRPr="00F543C1">
        <w:t xml:space="preserve">. </w:t>
      </w:r>
    </w:p>
    <w:p w14:paraId="2473E0DA" w14:textId="77777777" w:rsidR="001E29AB" w:rsidRPr="00F543C1" w:rsidRDefault="001E29AB" w:rsidP="001E29AB">
      <w:pPr>
        <w:pStyle w:val="USBodyText"/>
      </w:pPr>
      <w:r w:rsidRPr="00F543C1">
        <w:t xml:space="preserve">Whatever the initial causes of persistent disadvantage, maladaptive and dysfunctional responses to it (such as family and sexual violence) and coping strategies (drugs, alcohol) are often transmitted across generations. For individuals and whānau with identities that intersect, the cumulative risks can be greater. </w:t>
      </w:r>
    </w:p>
    <w:p w14:paraId="0C85C066" w14:textId="3B8D38E1" w:rsidR="001E29AB" w:rsidRPr="00F543C1" w:rsidRDefault="001E29AB" w:rsidP="001E29AB">
      <w:pPr>
        <w:pStyle w:val="Heading2"/>
      </w:pPr>
      <w:bookmarkStart w:id="59" w:name="_Toc126092087"/>
      <w:bookmarkStart w:id="60" w:name="_Toc126841203"/>
      <w:r w:rsidRPr="00F543C1">
        <w:t>How to assist people experiencing persistent disadvantage</w:t>
      </w:r>
      <w:bookmarkEnd w:id="59"/>
      <w:bookmarkEnd w:id="60"/>
    </w:p>
    <w:p w14:paraId="76D2BCA7" w14:textId="51EBEC91" w:rsidR="008A3CCD" w:rsidRPr="00F543C1" w:rsidRDefault="00011B25" w:rsidP="001E29AB">
      <w:pPr>
        <w:pStyle w:val="USBodyText"/>
      </w:pPr>
      <w:r w:rsidRPr="00F543C1">
        <w:t xml:space="preserve">Almost everyone experiencing </w:t>
      </w:r>
      <w:r w:rsidR="008A3CCD" w:rsidRPr="00F543C1">
        <w:t>persistent</w:t>
      </w:r>
      <w:r w:rsidRPr="00F543C1">
        <w:t xml:space="preserve"> disadvantage will </w:t>
      </w:r>
      <w:r w:rsidR="008A3CCD" w:rsidRPr="00F543C1">
        <w:t xml:space="preserve">currently </w:t>
      </w:r>
      <w:r w:rsidRPr="00F543C1">
        <w:t>be in receipt of multiple forms of government assistance, which depending on their circumstances</w:t>
      </w:r>
      <w:r w:rsidR="008C13AF" w:rsidRPr="00F543C1">
        <w:t>,</w:t>
      </w:r>
      <w:r w:rsidRPr="00F543C1">
        <w:t xml:space="preserve"> can include Working-for-Families tax credits, main benefits, </w:t>
      </w:r>
      <w:r w:rsidR="00625A2F" w:rsidRPr="00F543C1">
        <w:t>publicly financed</w:t>
      </w:r>
      <w:r w:rsidRPr="00F543C1">
        <w:t xml:space="preserve"> health care, accommodation assistance</w:t>
      </w:r>
      <w:r w:rsidR="008A3CCD" w:rsidRPr="00F543C1">
        <w:t>, and crisis care following family violence. These services are provided by specialised government agencies. In this, they share the experiences of many people who are not experiencing persistent disadvantage.</w:t>
      </w:r>
    </w:p>
    <w:p w14:paraId="0232BB30" w14:textId="7C7E4F39" w:rsidR="001E29AB" w:rsidRPr="00F543C1" w:rsidRDefault="001E29AB" w:rsidP="001E29AB">
      <w:pPr>
        <w:pStyle w:val="USBodyText"/>
      </w:pPr>
      <w:r w:rsidRPr="00F543C1">
        <w:t xml:space="preserve">In the 2015 </w:t>
      </w:r>
      <w:r w:rsidRPr="00F543C1">
        <w:rPr>
          <w:i/>
          <w:iCs/>
        </w:rPr>
        <w:t xml:space="preserve">More effective social services </w:t>
      </w:r>
      <w:r w:rsidRPr="00F543C1">
        <w:t xml:space="preserve">inquiry, the Productivity Commission noted that while existing </w:t>
      </w:r>
      <w:r w:rsidR="008A3CCD" w:rsidRPr="00F543C1">
        <w:t xml:space="preserve">specialised </w:t>
      </w:r>
      <w:r w:rsidRPr="00F543C1">
        <w:t xml:space="preserve">services worked well for many people: </w:t>
      </w:r>
    </w:p>
    <w:p w14:paraId="6F43C167" w14:textId="7C136C19" w:rsidR="001E29AB" w:rsidRPr="00726346" w:rsidRDefault="001E29AB" w:rsidP="001E29AB">
      <w:pPr>
        <w:pStyle w:val="Quotation"/>
      </w:pPr>
      <w:r w:rsidRPr="00F543C1">
        <w:t xml:space="preserve">The situation is quite different for clients with complex needs – particularly when these needs are inter-dependent so that treating some needs but not others is likely to be ineffective. </w:t>
      </w:r>
      <w:r w:rsidRPr="00F543C1">
        <w:rPr>
          <w:i w:val="0"/>
          <w:iCs/>
        </w:rPr>
        <w:fldChar w:fldCharType="begin"/>
      </w:r>
      <w:r w:rsidR="009B0EC4">
        <w:rPr>
          <w:i w:val="0"/>
          <w:iCs/>
        </w:rPr>
        <w:instrText xml:space="preserve"> ADDIN ZOTERO_ITEM CSL_CITATION {"citationID":"a9pN4JHY","properties":{"formattedCitation":"(New Zealand Productivity Commission 2015, 2)","plainCitation":"(New Zealand Productivity Commission 2015, 2)","noteIndex":0},"citationItems":[{"id":14096,"uris":["http://zotero.org/groups/4623831/items/XXV9BK5F"],"itemData":{"id":14096,"type":"report","event-place":"Wellington","language":"English","note":"OCLC: 921943108","publisher":"New Zealand Productivity Commission","publisher-place":"Wellington","source":"Open WorldCat","title":"More effective social services","URL":"http://www.productivity.govt.nz/sites/default/files/social-services-final-report-main.pdf","author":[{"literal":"New Zealand Productivity Commission"}],"accessed":{"date-parts":[["2022",4,4]]},"issued":{"date-parts":[["2015"]]}},"locator":"2","label":"page"}],"schema":"https://github.com/citation-style-language/schema/raw/master/csl-citation.json"} </w:instrText>
      </w:r>
      <w:r w:rsidRPr="00F543C1">
        <w:rPr>
          <w:i w:val="0"/>
          <w:iCs/>
        </w:rPr>
        <w:fldChar w:fldCharType="separate"/>
      </w:r>
      <w:r w:rsidRPr="00F543C1">
        <w:rPr>
          <w:rFonts w:cs="Calibri"/>
          <w:i w:val="0"/>
          <w:iCs/>
        </w:rPr>
        <w:t>(New Zealand Productivity Commission 2015, 2)</w:t>
      </w:r>
      <w:r w:rsidRPr="00F543C1">
        <w:rPr>
          <w:i w:val="0"/>
          <w:iCs/>
        </w:rPr>
        <w:fldChar w:fldCharType="end"/>
      </w:r>
    </w:p>
    <w:p w14:paraId="155F89A1" w14:textId="0D6211F0" w:rsidR="001E29AB" w:rsidRPr="00F543C1" w:rsidRDefault="77ABB062" w:rsidP="001E29AB">
      <w:pPr>
        <w:pStyle w:val="USBodyText"/>
      </w:pPr>
      <w:r w:rsidRPr="00F543C1">
        <w:t xml:space="preserve">The Commission introduced a ‘quadrant diagram’, reproduced in </w:t>
      </w:r>
      <w:r w:rsidR="001F0EE5" w:rsidRPr="00F543C1">
        <w:fldChar w:fldCharType="begin"/>
      </w:r>
      <w:r w:rsidR="001F0EE5" w:rsidRPr="00F543C1">
        <w:instrText xml:space="preserve"> REF _Ref124866439 \h </w:instrText>
      </w:r>
      <w:r w:rsidR="000177FE" w:rsidRPr="00F543C1">
        <w:instrText xml:space="preserve"> \* MERGEFORMAT </w:instrText>
      </w:r>
      <w:r w:rsidR="001F0EE5" w:rsidRPr="00F543C1">
        <w:fldChar w:fldCharType="separate"/>
      </w:r>
      <w:r w:rsidR="00E06351" w:rsidRPr="00F543C1">
        <w:t>Figure </w:t>
      </w:r>
      <w:r w:rsidR="00E06351">
        <w:t>3</w:t>
      </w:r>
      <w:r w:rsidR="001F0EE5" w:rsidRPr="00F543C1">
        <w:fldChar w:fldCharType="end"/>
      </w:r>
      <w:r w:rsidRPr="00726346">
        <w:t xml:space="preserve">, that distinguished the extent to which people could get the help they need based on the complexity of their needs and their capacity to navigate the available services </w:t>
      </w:r>
      <w:r w:rsidR="001E29AB" w:rsidRPr="00F543C1">
        <w:fldChar w:fldCharType="begin"/>
      </w:r>
      <w:r w:rsidR="009B0EC4">
        <w:instrText xml:space="preserve"> ADDIN ZOTERO_ITEM CSL_CITATION {"citationID":"m8GOWxA0","properties":{"formattedCitation":"(New Zealand Productivity Commission 2015, 3)","plainCitation":"(New Zealand Productivity Commission 2015, 3)","noteIndex":0},"citationItems":[{"id":14096,"uris":["http://zotero.org/groups/4623831/items/XXV9BK5F"],"itemData":{"id":14096,"type":"report","event-place":"Wellington","language":"English","note":"OCLC: 921943108","publisher":"New Zealand Productivity Commission","publisher-place":"Wellington","source":"Open WorldCat","title":"More effective social services","URL":"http://www.productivity.govt.nz/sites/default/files/social-services-final-report-main.pdf","author":[{"literal":"New Zealand Productivity Commission"}],"accessed":{"date-parts":[["2022",4,4]]},"issued":{"date-parts":[["2015"]]}},"locator":" 3","label":"page"}],"schema":"https://github.com/citation-style-language/schema/raw/master/csl-citation.json"} </w:instrText>
      </w:r>
      <w:r w:rsidR="001E29AB" w:rsidRPr="00F543C1">
        <w:fldChar w:fldCharType="separate"/>
      </w:r>
      <w:r w:rsidRPr="00F543C1">
        <w:rPr>
          <w:rFonts w:cs="Calibri"/>
        </w:rPr>
        <w:t>(New Zealand Productivity Commission 2015, 3)</w:t>
      </w:r>
      <w:r w:rsidR="001E29AB" w:rsidRPr="00F543C1">
        <w:fldChar w:fldCharType="end"/>
      </w:r>
      <w:r w:rsidRPr="00726346">
        <w:t xml:space="preserve">. </w:t>
      </w:r>
      <w:r w:rsidR="0034709B" w:rsidRPr="00F543C1">
        <w:t>M</w:t>
      </w:r>
      <w:r w:rsidRPr="00F543C1">
        <w:t xml:space="preserve">any people experiencing persistent disadvantage are </w:t>
      </w:r>
      <w:r w:rsidR="00EA0E9C" w:rsidRPr="00F543C1">
        <w:t xml:space="preserve">likely </w:t>
      </w:r>
      <w:r w:rsidRPr="00F543C1">
        <w:t>represented by Quadrant D</w:t>
      </w:r>
      <w:r w:rsidR="00C957B7" w:rsidRPr="00F543C1">
        <w:t xml:space="preserve"> because </w:t>
      </w:r>
      <w:r w:rsidRPr="00F543C1">
        <w:t>they have highly complex needs and low capacity to coordinate services by themselves</w:t>
      </w:r>
      <w:r w:rsidR="00232F3F">
        <w:t xml:space="preserve"> </w:t>
      </w:r>
      <w:r w:rsidR="00232F3F">
        <w:fldChar w:fldCharType="begin"/>
      </w:r>
      <w:r w:rsidR="009B0EC4">
        <w:instrText xml:space="preserve"> ADDIN ZOTERO_ITEM CSL_CITATION {"citationID":"R8aBUDeQ","properties":{"formattedCitation":"(Fry 2022, 9\\uc0\\u8211{}10)","plainCitation":"(Fry 2022, 9–10)","noteIndex":0},"citationItems":[{"id":18461,"uris":["http://zotero.org/groups/4801058/items/Y4XY6L7J"],"itemData":{"id":18461,"type":"report","event-place":"Wellington","publisher":"Productivity Commission","publisher-place":"Wellington","title":"Together alone: A review of joined-up social services","URL":"https://www.productivity.govt.nz/assets/Documents/Together-alone_A-review-of-joined-up-social-services.pdf","author":[{"family":"Fry","given":"Julie"}],"accessed":{"date-parts":[["2023",1,15]]},"issued":{"date-parts":[["2022"]]}},"locator":"9-10","label":"page"}],"schema":"https://github.com/citation-style-language/schema/raw/master/csl-citation.json"} </w:instrText>
      </w:r>
      <w:r w:rsidR="00232F3F">
        <w:fldChar w:fldCharType="separate"/>
      </w:r>
      <w:r w:rsidR="00660BDF" w:rsidRPr="00660BDF">
        <w:rPr>
          <w:rFonts w:cs="Calibri"/>
          <w:szCs w:val="24"/>
        </w:rPr>
        <w:t>(Fry 2022, 9–10)</w:t>
      </w:r>
      <w:r w:rsidR="00232F3F">
        <w:fldChar w:fldCharType="end"/>
      </w:r>
      <w:r w:rsidRPr="00726346">
        <w:t>.</w:t>
      </w:r>
      <w:r w:rsidR="001E29AB" w:rsidRPr="009006D7">
        <w:rPr>
          <w:rStyle w:val="FootnoteReference"/>
        </w:rPr>
        <w:footnoteReference w:id="45"/>
      </w:r>
      <w:r w:rsidRPr="00726346">
        <w:t xml:space="preserve"> </w:t>
      </w:r>
    </w:p>
    <w:p w14:paraId="4D96B9C2" w14:textId="2161829B" w:rsidR="008B5B58" w:rsidRPr="00F543C1" w:rsidRDefault="00561130" w:rsidP="001E29AB">
      <w:pPr>
        <w:pStyle w:val="USBodyText"/>
      </w:pPr>
      <w:r w:rsidRPr="00F543C1">
        <w:t xml:space="preserve">This suggestion </w:t>
      </w:r>
      <w:r w:rsidR="00647284" w:rsidRPr="00F543C1">
        <w:t>h</w:t>
      </w:r>
      <w:r w:rsidRPr="00F543C1">
        <w:t xml:space="preserve">as </w:t>
      </w:r>
      <w:r w:rsidR="009D7BD1" w:rsidRPr="00F543C1">
        <w:t>led</w:t>
      </w:r>
      <w:r w:rsidRPr="00F543C1">
        <w:t xml:space="preserve"> to the development of </w:t>
      </w:r>
      <w:r w:rsidR="008A3CCD" w:rsidRPr="00F543C1">
        <w:t>several</w:t>
      </w:r>
      <w:r w:rsidRPr="00F543C1">
        <w:t xml:space="preserve"> ‘navigator’ </w:t>
      </w:r>
      <w:r w:rsidR="0089103D" w:rsidRPr="00F543C1">
        <w:t>services, where people experienc</w:t>
      </w:r>
      <w:r w:rsidR="00647284" w:rsidRPr="00F543C1">
        <w:t xml:space="preserve">ing </w:t>
      </w:r>
      <w:r w:rsidR="0089103D" w:rsidRPr="00F543C1">
        <w:t xml:space="preserve">disadvantage are assisted </w:t>
      </w:r>
      <w:r w:rsidR="00AD2E7F" w:rsidRPr="00F543C1">
        <w:t>in accessing</w:t>
      </w:r>
      <w:r w:rsidR="0089103D" w:rsidRPr="00F543C1">
        <w:t xml:space="preserve"> the services to which they may be entitled.</w:t>
      </w:r>
      <w:r w:rsidR="00DC4ABA" w:rsidRPr="00F543C1">
        <w:t xml:space="preserve"> </w:t>
      </w:r>
      <w:r w:rsidR="004324F5" w:rsidRPr="00F543C1">
        <w:t>Some examples include:</w:t>
      </w:r>
    </w:p>
    <w:p w14:paraId="686596DB" w14:textId="627CCC92" w:rsidR="00936184" w:rsidRPr="00726346" w:rsidRDefault="00936184" w:rsidP="00385F21">
      <w:pPr>
        <w:pStyle w:val="USBullet1"/>
      </w:pPr>
      <w:r w:rsidRPr="00F543C1">
        <w:t xml:space="preserve">Budget 2020 allocated $41.25 million over two years to create 141 Community Connector positions. </w:t>
      </w:r>
      <w:r w:rsidR="0033288E" w:rsidRPr="00F543C1">
        <w:t>Community Connection Service seeks to offer flexible support to people with high and complex needs to meet short-term goals by connecting them with support and services</w:t>
      </w:r>
      <w:r w:rsidR="00D865E1" w:rsidRPr="00F543C1">
        <w:t xml:space="preserve"> </w:t>
      </w:r>
      <w:r w:rsidR="00743EDD" w:rsidRPr="00F543C1">
        <w:fldChar w:fldCharType="begin"/>
      </w:r>
      <w:r w:rsidR="009B0EC4">
        <w:instrText xml:space="preserve"> ADDIN ZOTERO_ITEM CSL_CITATION {"citationID":"w5OV6SHJ","properties":{"formattedCitation":"(Ministry of Social Development 2022a)","plainCitation":"(Ministry of Social Development 2022a)","noteIndex":0},"citationItems":[{"id":18488,"uris":["http://zotero.org/groups/4801058/items/96XXJMRH"],"itemData":{"id":18488,"type":"document","abstract":"On 22 July 2020 the Minister of Social Development announced that 125 Community Connectors positions are being established within communities across Aotearoa ($41.25 million over the next two years).","language":"eng","publisher":"Ministry of Social Development","source":"www.msd.govt.nz","title":"Community Connection Service","URL":"https://www.msd.govt.nz/what-we-can-do/community/community-connection-service/index.html","author":[{"family":"Ministry of Social Development","given":""}],"accessed":{"date-parts":[["2023",1,17]]},"issued":{"date-parts":[["2022"]]}}}],"schema":"https://github.com/citation-style-language/schema/raw/master/csl-citation.json"} </w:instrText>
      </w:r>
      <w:r w:rsidR="00743EDD" w:rsidRPr="00F543C1">
        <w:fldChar w:fldCharType="separate"/>
      </w:r>
      <w:r w:rsidR="002E430D" w:rsidRPr="00F543C1">
        <w:rPr>
          <w:rFonts w:cs="Calibri"/>
        </w:rPr>
        <w:t>(Ministry of Social Development 2022a)</w:t>
      </w:r>
      <w:r w:rsidR="00743EDD" w:rsidRPr="00F543C1">
        <w:fldChar w:fldCharType="end"/>
      </w:r>
    </w:p>
    <w:p w14:paraId="6FDBF536" w14:textId="50877AA7" w:rsidR="00385F21" w:rsidRPr="00726346" w:rsidRDefault="00385F21" w:rsidP="00385F21">
      <w:pPr>
        <w:pStyle w:val="USBullet1"/>
      </w:pPr>
      <w:proofErr w:type="spellStart"/>
      <w:r w:rsidRPr="00F543C1">
        <w:t>Kaiārahi</w:t>
      </w:r>
      <w:proofErr w:type="spellEnd"/>
      <w:r w:rsidRPr="00F543C1">
        <w:t xml:space="preserve"> o </w:t>
      </w:r>
      <w:proofErr w:type="spellStart"/>
      <w:r w:rsidRPr="00F543C1">
        <w:t>te</w:t>
      </w:r>
      <w:proofErr w:type="spellEnd"/>
      <w:r w:rsidRPr="00F543C1">
        <w:t xml:space="preserve"> </w:t>
      </w:r>
      <w:proofErr w:type="spellStart"/>
      <w:r w:rsidRPr="00F543C1">
        <w:t>Kooti</w:t>
      </w:r>
      <w:proofErr w:type="spellEnd"/>
      <w:r w:rsidRPr="00F543C1">
        <w:t xml:space="preserve">-a-whānau: </w:t>
      </w:r>
      <w:r w:rsidR="00FD5179" w:rsidRPr="00F543C1">
        <w:t>Family Court Navigators help whānau with information, guidance and support on their journey through the Family Court</w:t>
      </w:r>
      <w:r w:rsidR="004474F5" w:rsidRPr="00F543C1">
        <w:t xml:space="preserve"> </w:t>
      </w:r>
      <w:r w:rsidR="004474F5" w:rsidRPr="00F543C1">
        <w:fldChar w:fldCharType="begin"/>
      </w:r>
      <w:r w:rsidR="009B0EC4">
        <w:instrText xml:space="preserve"> ADDIN ZOTERO_ITEM CSL_CITATION {"citationID":"CO09eLUS","properties":{"formattedCitation":"(Ministry of Justice 2022)","plainCitation":"(Ministry of Justice 2022)","noteIndex":0},"citationItems":[{"id":18486,"uris":["http://zotero.org/groups/4801058/items/A7M26WGP"],"itemData":{"id":18486,"type":"webpage","title":"Kaiārahi o te Kooti-a-Whānau","URL":"https://www.justice.govt.nz/family/kaiarahi-o-te-kooti-a-whanau/","author":[{"family":"Ministry of Justice","given":""}],"accessed":{"date-parts":[["2023",1,17]]},"issued":{"date-parts":[["2022"]]}}}],"schema":"https://github.com/citation-style-language/schema/raw/master/csl-citation.json"} </w:instrText>
      </w:r>
      <w:r w:rsidR="004474F5" w:rsidRPr="00F543C1">
        <w:fldChar w:fldCharType="separate"/>
      </w:r>
      <w:r w:rsidR="0057206B" w:rsidRPr="00F543C1">
        <w:rPr>
          <w:rFonts w:cs="Calibri"/>
        </w:rPr>
        <w:t>(Ministry of Justice 2022)</w:t>
      </w:r>
      <w:r w:rsidR="004474F5" w:rsidRPr="00F543C1">
        <w:fldChar w:fldCharType="end"/>
      </w:r>
    </w:p>
    <w:p w14:paraId="75472F47" w14:textId="741263FE" w:rsidR="00A51DAF" w:rsidRPr="00726346" w:rsidRDefault="00A51DAF" w:rsidP="004004A3">
      <w:pPr>
        <w:pStyle w:val="USBullet1"/>
      </w:pPr>
      <w:r w:rsidRPr="00F543C1">
        <w:t>Intensive Case Management and Navigator Initiatives</w:t>
      </w:r>
      <w:r w:rsidR="00957DEC" w:rsidRPr="00F543C1">
        <w:t xml:space="preserve"> in Emergency Housing</w:t>
      </w:r>
      <w:r w:rsidR="007174C3" w:rsidRPr="00F543C1">
        <w:t xml:space="preserve">. The Initiatives involve providing intensive, personalised, single point of contact support </w:t>
      </w:r>
      <w:r w:rsidR="00721ECE" w:rsidRPr="00F543C1">
        <w:lastRenderedPageBreak/>
        <w:t xml:space="preserve">for </w:t>
      </w:r>
      <w:r w:rsidR="007174C3" w:rsidRPr="00F543C1">
        <w:t>whānau</w:t>
      </w:r>
      <w:r w:rsidR="00D865E1" w:rsidRPr="00F543C1">
        <w:t xml:space="preserve"> to engage with public and private housing and sustain housing in the long term</w:t>
      </w:r>
      <w:r w:rsidR="002E430D" w:rsidRPr="00F543C1">
        <w:t xml:space="preserve"> </w:t>
      </w:r>
      <w:r w:rsidR="002E430D" w:rsidRPr="00F543C1">
        <w:fldChar w:fldCharType="begin"/>
      </w:r>
      <w:r w:rsidR="009B0EC4">
        <w:instrText xml:space="preserve"> ADDIN ZOTERO_ITEM CSL_CITATION {"citationID":"CKkktg8w","properties":{"formattedCitation":"(Ministry of Social Development 2022b)","plainCitation":"(Ministry of Social Development 2022b)","noteIndex":0},"citationItems":[{"id":18490,"uris":["http://zotero.org/groups/4801058/items/JX46ASKT"],"itemData":{"id":18490,"type":"webpage","title":"Evaluation of the Intensive Case Management and Navigator Initiatives","URL":"https://www.msd.govt.nz/about-msd-and-our-work/publications-resources/evaluation/intensive-case-management-and-navigator-initiatives/index.html","author":[{"family":"Ministry of Social Development","given":""}],"accessed":{"date-parts":[["2023",1,17]]},"issued":{"date-parts":[["2022"]]}}}],"schema":"https://github.com/citation-style-language/schema/raw/master/csl-citation.json"} </w:instrText>
      </w:r>
      <w:r w:rsidR="002E430D" w:rsidRPr="00F543C1">
        <w:fldChar w:fldCharType="separate"/>
      </w:r>
      <w:r w:rsidR="002E430D" w:rsidRPr="00F543C1">
        <w:rPr>
          <w:rFonts w:cs="Calibri"/>
        </w:rPr>
        <w:t>(Ministry of Social Development 2022b)</w:t>
      </w:r>
      <w:r w:rsidR="002E430D" w:rsidRPr="00F543C1">
        <w:fldChar w:fldCharType="end"/>
      </w:r>
    </w:p>
    <w:p w14:paraId="2E4E0AEB" w14:textId="65D69041" w:rsidR="00561130" w:rsidRPr="00F543C1" w:rsidRDefault="00DC4ABA" w:rsidP="00C80D88">
      <w:pPr>
        <w:pStyle w:val="USBullet1"/>
      </w:pPr>
      <w:r w:rsidRPr="00F543C1">
        <w:t xml:space="preserve">While </w:t>
      </w:r>
      <w:r w:rsidR="00E173D5" w:rsidRPr="00F543C1">
        <w:t xml:space="preserve">its introduction </w:t>
      </w:r>
      <w:r w:rsidRPr="00F543C1">
        <w:t>pre-dat</w:t>
      </w:r>
      <w:r w:rsidR="00E173D5" w:rsidRPr="00F543C1">
        <w:t>ed</w:t>
      </w:r>
      <w:r w:rsidRPr="00F543C1">
        <w:t xml:space="preserve"> the Commission</w:t>
      </w:r>
      <w:r w:rsidR="009D7BD1" w:rsidRPr="00F543C1">
        <w:t>’s 2015</w:t>
      </w:r>
      <w:r w:rsidRPr="00F543C1">
        <w:t xml:space="preserve"> report, Whānau Ora</w:t>
      </w:r>
      <w:r w:rsidR="008B5B58" w:rsidRPr="00F543C1">
        <w:t xml:space="preserve"> has</w:t>
      </w:r>
      <w:r w:rsidR="009C4582" w:rsidRPr="00F543C1">
        <w:t xml:space="preserve"> evolved over time and</w:t>
      </w:r>
      <w:r w:rsidR="008B5B58" w:rsidRPr="00F543C1">
        <w:t xml:space="preserve"> </w:t>
      </w:r>
      <w:r w:rsidR="00E173D5" w:rsidRPr="00F543C1">
        <w:t>increasingly include</w:t>
      </w:r>
      <w:r w:rsidR="009C4582" w:rsidRPr="00F543C1">
        <w:t>s</w:t>
      </w:r>
      <w:r w:rsidR="00E173D5" w:rsidRPr="00F543C1">
        <w:t xml:space="preserve"> </w:t>
      </w:r>
      <w:r w:rsidR="008B5B58" w:rsidRPr="00F543C1">
        <w:t>some elements of the navigator model.</w:t>
      </w:r>
      <w:r w:rsidR="0089103D" w:rsidRPr="00F543C1">
        <w:t xml:space="preserve"> </w:t>
      </w:r>
      <w:r w:rsidR="008A38D6" w:rsidRPr="00F543C1">
        <w:t>Whānau Ora supports whānau to build on their strengths and achieve their aspirations, addressing individual needs within the context of whānau or families and their culture</w:t>
      </w:r>
      <w:r w:rsidR="00FE593F" w:rsidRPr="00F543C1">
        <w:t xml:space="preserve"> </w:t>
      </w:r>
      <w:r w:rsidR="00FE593F" w:rsidRPr="00F543C1">
        <w:fldChar w:fldCharType="begin"/>
      </w:r>
      <w:r w:rsidR="009B0EC4">
        <w:instrText xml:space="preserve"> ADDIN ZOTERO_ITEM CSL_CITATION {"citationID":"7L0CjdDA","properties":{"formattedCitation":"(Te Puni K\\uc0\\u333{}kiri 2023)","plainCitation":"(Te Puni Kōkiri 2023)","noteIndex":0},"citationItems":[{"id":18492,"uris":["http://zotero.org/groups/4801058/items/K8R65FE2"],"itemData":{"id":18492,"type":"webpage","abstract":"Whānau Ora puts whānau and families in control of the services they need to work together, build on their strengths and achieve their aspirations.","language":"en","title":"Whānau Ora","URL":"http://www.tpk.govt.nz/en/nga-putea-me-nga-ratonga/whanau-ora/","author":[{"family":"Te Puni Kōkiri","given":""}],"accessed":{"date-parts":[["2023",1,17]]},"issued":{"date-parts":[["2023"]]}}}],"schema":"https://github.com/citation-style-language/schema/raw/master/csl-citation.json"} </w:instrText>
      </w:r>
      <w:r w:rsidR="00FE593F" w:rsidRPr="00F543C1">
        <w:fldChar w:fldCharType="separate"/>
      </w:r>
      <w:r w:rsidR="00FE593F" w:rsidRPr="00F543C1">
        <w:rPr>
          <w:rFonts w:cs="Calibri"/>
          <w:szCs w:val="24"/>
        </w:rPr>
        <w:t>(Te Puni Kōkiri 2023)</w:t>
      </w:r>
      <w:r w:rsidR="00FE593F" w:rsidRPr="00F543C1">
        <w:fldChar w:fldCharType="end"/>
      </w:r>
      <w:r w:rsidR="008A38D6" w:rsidRPr="00726346">
        <w:t>.</w:t>
      </w:r>
    </w:p>
    <w:p w14:paraId="66A02AD7" w14:textId="284E9FD4" w:rsidR="00D865E1" w:rsidRPr="00F543C1" w:rsidRDefault="000715EF" w:rsidP="00C80D88">
      <w:pPr>
        <w:pStyle w:val="USBullet1"/>
      </w:pPr>
      <w:r w:rsidRPr="00F543C1">
        <w:t>Manaaki</w:t>
      </w:r>
      <w:r w:rsidR="00D865E1" w:rsidRPr="00F543C1">
        <w:t xml:space="preserve"> </w:t>
      </w:r>
      <w:proofErr w:type="spellStart"/>
      <w:proofErr w:type="gramStart"/>
      <w:r w:rsidR="00D865E1" w:rsidRPr="00F543C1">
        <w:t>Tairāwhiti</w:t>
      </w:r>
      <w:proofErr w:type="spellEnd"/>
      <w:r w:rsidR="00D865E1" w:rsidRPr="00F543C1">
        <w:t xml:space="preserve">, </w:t>
      </w:r>
      <w:r w:rsidR="00047D21" w:rsidRPr="00F543C1">
        <w:t xml:space="preserve"> </w:t>
      </w:r>
      <w:proofErr w:type="spellStart"/>
      <w:r w:rsidR="00047D21" w:rsidRPr="00F543C1">
        <w:t>kaiurungi</w:t>
      </w:r>
      <w:proofErr w:type="spellEnd"/>
      <w:proofErr w:type="gramEnd"/>
      <w:r w:rsidR="00047D21" w:rsidRPr="00F543C1">
        <w:t xml:space="preserve"> (people who steer the waka) </w:t>
      </w:r>
      <w:r w:rsidR="00DE188E" w:rsidRPr="00F543C1">
        <w:t xml:space="preserve">to </w:t>
      </w:r>
      <w:r w:rsidR="00D03385" w:rsidRPr="00F543C1">
        <w:t xml:space="preserve">build trusted relationships with whānau and support them to identify and meet their needs and goals. </w:t>
      </w:r>
      <w:proofErr w:type="spellStart"/>
      <w:r w:rsidR="00D03385" w:rsidRPr="00F543C1">
        <w:t>Kaiurungi</w:t>
      </w:r>
      <w:proofErr w:type="spellEnd"/>
      <w:r w:rsidR="00D03385" w:rsidRPr="00F543C1">
        <w:t xml:space="preserve"> help connect whānau to agencies, organisations and communities</w:t>
      </w:r>
      <w:r w:rsidR="00DB502B">
        <w:t xml:space="preserve"> </w:t>
      </w:r>
      <w:r w:rsidR="00DB502B">
        <w:fldChar w:fldCharType="begin"/>
      </w:r>
      <w:r w:rsidR="009B0EC4">
        <w:instrText xml:space="preserve"> ADDIN ZOTERO_ITEM CSL_CITATION {"citationID":"LfYqaLCU","properties":{"formattedCitation":"(Fry 2022, 57)","plainCitation":"(Fry 2022, 57)","noteIndex":0},"citationItems":[{"id":18461,"uris":["http://zotero.org/groups/4801058/items/Y4XY6L7J"],"itemData":{"id":18461,"type":"report","event-place":"Wellington","publisher":"Productivity Commission","publisher-place":"Wellington","title":"Together alone: A review of joined-up social services","URL":"https://www.productivity.govt.nz/assets/Documents/Together-alone_A-review-of-joined-up-social-services.pdf","author":[{"family":"Fry","given":"Julie"}],"accessed":{"date-parts":[["2023",1,15]]},"issued":{"date-parts":[["2022"]]}},"locator":"57","label":"page"}],"schema":"https://github.com/citation-style-language/schema/raw/master/csl-citation.json"} </w:instrText>
      </w:r>
      <w:r w:rsidR="00DB502B">
        <w:fldChar w:fldCharType="separate"/>
      </w:r>
      <w:r w:rsidR="00660BDF" w:rsidRPr="00660BDF">
        <w:rPr>
          <w:rFonts w:cs="Calibri"/>
        </w:rPr>
        <w:t>(Fry 2022, 57)</w:t>
      </w:r>
      <w:r w:rsidR="00DB502B">
        <w:fldChar w:fldCharType="end"/>
      </w:r>
      <w:r w:rsidR="00DE188E" w:rsidRPr="00726346">
        <w:t>.</w:t>
      </w:r>
    </w:p>
    <w:p w14:paraId="0D2F9D9D" w14:textId="41DB1D33" w:rsidR="001E29AB" w:rsidRDefault="001E29AB" w:rsidP="001E29AB">
      <w:pPr>
        <w:pStyle w:val="FigureCaption"/>
      </w:pPr>
      <w:bookmarkStart w:id="61" w:name="_Ref124866439"/>
      <w:bookmarkStart w:id="62" w:name="_Toc126841234"/>
      <w:r w:rsidRPr="00F543C1">
        <w:t>Figure </w:t>
      </w:r>
      <w:r w:rsidRPr="00F543C1">
        <w:fldChar w:fldCharType="begin"/>
      </w:r>
      <w:r w:rsidRPr="00F543C1">
        <w:instrText>SEQ Figure \* ARABIC</w:instrText>
      </w:r>
      <w:r w:rsidRPr="00F543C1">
        <w:fldChar w:fldCharType="separate"/>
      </w:r>
      <w:r w:rsidR="00E06351">
        <w:rPr>
          <w:noProof/>
        </w:rPr>
        <w:t>3</w:t>
      </w:r>
      <w:r w:rsidRPr="00F543C1">
        <w:fldChar w:fldCharType="end"/>
      </w:r>
      <w:bookmarkEnd w:id="61"/>
      <w:r w:rsidRPr="00726346">
        <w:t xml:space="preserve"> The Productivity Commission’s original quadrant diagram</w:t>
      </w:r>
      <w:bookmarkEnd w:id="62"/>
    </w:p>
    <w:p w14:paraId="5B66220F" w14:textId="08A3FF1E" w:rsidR="00545A92" w:rsidRPr="00F543C1" w:rsidRDefault="00545A92" w:rsidP="001E29AB">
      <w:pPr>
        <w:pStyle w:val="FigureCaption"/>
      </w:pPr>
      <w:r>
        <w:rPr>
          <w:noProof/>
        </w:rPr>
        <w:drawing>
          <wp:inline distT="0" distB="0" distL="0" distR="0" wp14:anchorId="167ED993" wp14:editId="104D885F">
            <wp:extent cx="4132794" cy="4024630"/>
            <wp:effectExtent l="0" t="0" r="1270" b="0"/>
            <wp:docPr id="4" name="Picture 4"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usinesscard, screenshot&#10;&#10;Description automatically generated"/>
                    <pic:cNvPicPr/>
                  </pic:nvPicPr>
                  <pic:blipFill>
                    <a:blip r:embed="rId21"/>
                    <a:stretch>
                      <a:fillRect/>
                    </a:stretch>
                  </pic:blipFill>
                  <pic:spPr>
                    <a:xfrm>
                      <a:off x="0" y="0"/>
                      <a:ext cx="4143499" cy="4035054"/>
                    </a:xfrm>
                    <a:prstGeom prst="rect">
                      <a:avLst/>
                    </a:prstGeom>
                  </pic:spPr>
                </pic:pic>
              </a:graphicData>
            </a:graphic>
          </wp:inline>
        </w:drawing>
      </w:r>
    </w:p>
    <w:p w14:paraId="76BE4562" w14:textId="444CF6F2" w:rsidR="001E29AB" w:rsidRPr="00726346" w:rsidRDefault="001E29AB" w:rsidP="001E29AB">
      <w:pPr>
        <w:pStyle w:val="USPlaceholder"/>
        <w:rPr>
          <w:noProof w:val="0"/>
        </w:rPr>
      </w:pPr>
    </w:p>
    <w:p w14:paraId="3BAC9D12" w14:textId="40EF72DD" w:rsidR="001E29AB" w:rsidRPr="00F543C1" w:rsidRDefault="001E29AB" w:rsidP="001E29AB">
      <w:pPr>
        <w:pStyle w:val="USSource"/>
      </w:pPr>
      <w:r w:rsidRPr="00F543C1">
        <w:t xml:space="preserve">Source: Productivity Commission </w:t>
      </w:r>
      <w:r w:rsidRPr="00F543C1">
        <w:fldChar w:fldCharType="begin"/>
      </w:r>
      <w:r w:rsidR="009B0EC4">
        <w:instrText xml:space="preserve"> ADDIN ZOTERO_ITEM CSL_CITATION {"citationID":"O4fkoAKm","properties":{"formattedCitation":"(2015)","plainCitation":"(2015)","noteIndex":0},"citationItems":[{"id":14096,"uris":["http://zotero.org/groups/4623831/items/XXV9BK5F"],"itemData":{"id":14096,"type":"report","event-place":"Wellington","language":"English","note":"OCLC: 921943108","publisher":"New Zealand Productivity Commission","publisher-place":"Wellington","source":"Open WorldCat","title":"More effective social services","URL":"http://www.productivity.govt.nz/sites/default/files/social-services-final-report-main.pdf","author":[{"literal":"New Zealand Productivity Commission"}],"accessed":{"date-parts":[["2022",4,4]]},"issued":{"date-parts":[["2015"]]}},"suppress-author":true}],"schema":"https://github.com/citation-style-language/schema/raw/master/csl-citation.json"} </w:instrText>
      </w:r>
      <w:r w:rsidRPr="00F543C1">
        <w:fldChar w:fldCharType="separate"/>
      </w:r>
      <w:r w:rsidRPr="00F543C1">
        <w:rPr>
          <w:rFonts w:cs="Calibri"/>
        </w:rPr>
        <w:t>(2015)</w:t>
      </w:r>
      <w:r w:rsidRPr="00F543C1">
        <w:fldChar w:fldCharType="end"/>
      </w:r>
      <w:r w:rsidRPr="00726346">
        <w:t xml:space="preserve"> </w:t>
      </w:r>
    </w:p>
    <w:p w14:paraId="65C3146D" w14:textId="11C97F14" w:rsidR="00C36D5F" w:rsidRPr="00F543C1" w:rsidRDefault="00C36D5F" w:rsidP="004004A3">
      <w:pPr>
        <w:pStyle w:val="Heading3"/>
      </w:pPr>
      <w:bookmarkStart w:id="63" w:name="_Ref124945256"/>
      <w:bookmarkStart w:id="64" w:name="_Toc126092088"/>
      <w:r w:rsidRPr="00F543C1">
        <w:t xml:space="preserve">Using a general system to solve a specific </w:t>
      </w:r>
      <w:proofErr w:type="gramStart"/>
      <w:r w:rsidRPr="00F543C1">
        <w:t>problem</w:t>
      </w:r>
      <w:bookmarkEnd w:id="63"/>
      <w:bookmarkEnd w:id="64"/>
      <w:proofErr w:type="gramEnd"/>
    </w:p>
    <w:p w14:paraId="2DC6E9C0" w14:textId="4BD5B37B" w:rsidR="00C36D5F" w:rsidRPr="00F543C1" w:rsidRDefault="00C36D5F" w:rsidP="00C36D5F">
      <w:pPr>
        <w:ind w:left="851"/>
        <w:rPr>
          <w:color w:val="222222"/>
        </w:rPr>
      </w:pPr>
      <w:r w:rsidRPr="00F543C1">
        <w:rPr>
          <w:color w:val="222222"/>
        </w:rPr>
        <w:t xml:space="preserve">The failure of successive governments to </w:t>
      </w:r>
      <w:r w:rsidR="006A0677" w:rsidRPr="00F543C1">
        <w:rPr>
          <w:color w:val="222222"/>
        </w:rPr>
        <w:t>make progress in reducing</w:t>
      </w:r>
      <w:r w:rsidR="00C237B3" w:rsidRPr="00F543C1">
        <w:rPr>
          <w:color w:val="222222"/>
        </w:rPr>
        <w:t xml:space="preserve"> </w:t>
      </w:r>
      <w:r w:rsidRPr="00F543C1">
        <w:rPr>
          <w:color w:val="222222"/>
        </w:rPr>
        <w:t>persistent disadvantage has in part occurred because they have sought to accommodate people experiencing persistent disadvantage within a system of uniform, standardised, siloed, specialist services that work</w:t>
      </w:r>
      <w:r w:rsidR="00DB6A73">
        <w:rPr>
          <w:color w:val="222222"/>
        </w:rPr>
        <w:t>s</w:t>
      </w:r>
      <w:r w:rsidRPr="00726346">
        <w:rPr>
          <w:color w:val="222222"/>
        </w:rPr>
        <w:t xml:space="preserve"> well for most of the population </w:t>
      </w:r>
      <w:r w:rsidRPr="00F543C1">
        <w:rPr>
          <w:color w:val="222222"/>
        </w:rPr>
        <w:fldChar w:fldCharType="begin"/>
      </w:r>
      <w:r w:rsidR="009B0EC4">
        <w:rPr>
          <w:color w:val="222222"/>
        </w:rPr>
        <w:instrText xml:space="preserve"> ADDIN ZOTERO_ITEM CSL_CITATION {"citationID":"a2k7ifulnkg","properties":{"formattedCitation":"(New Zealand Productivity Commission 2015, 53)","plainCitation":"(New Zealand Productivity Commission 2015, 53)","noteIndex":0},"citationItems":[{"id":14096,"uris":["http://zotero.org/groups/4623831/items/XXV9BK5F"],"itemData":{"id":14096,"type":"report","event-place":"Wellington","language":"English","note":"OCLC: 921943108","publisher":"New Zealand Productivity Commission","publisher-place":"Wellington","source":"Open WorldCat","title":"More effective social services","URL":"http://www.productivity.govt.nz/sites/default/files/social-services-final-report-main.pdf","author":[{"literal":"New Zealand Productivity Commission"}],"accessed":{"date-parts":[["2022",4,4]]},"issued":{"date-parts":[["2015"]]}},"locator":"53","label":"page"}],"schema":"https://github.com/citation-style-language/schema/raw/master/csl-citation.json"} </w:instrText>
      </w:r>
      <w:r w:rsidRPr="00F543C1">
        <w:rPr>
          <w:color w:val="222222"/>
        </w:rPr>
        <w:fldChar w:fldCharType="separate"/>
      </w:r>
      <w:r w:rsidRPr="00F543C1">
        <w:rPr>
          <w:rFonts w:cs="Calibri"/>
          <w:szCs w:val="24"/>
        </w:rPr>
        <w:t>(New Zealand Productivity Commission 2015, 53)</w:t>
      </w:r>
      <w:r w:rsidRPr="00F543C1">
        <w:rPr>
          <w:color w:val="222222"/>
        </w:rPr>
        <w:fldChar w:fldCharType="end"/>
      </w:r>
      <w:r w:rsidRPr="00726346">
        <w:rPr>
          <w:color w:val="222222"/>
        </w:rPr>
        <w:t>:</w:t>
      </w:r>
    </w:p>
    <w:p w14:paraId="430245CA" w14:textId="77777777" w:rsidR="00C36D5F" w:rsidRPr="00F543C1" w:rsidRDefault="00C36D5F" w:rsidP="00C36D5F">
      <w:pPr>
        <w:spacing w:before="120"/>
        <w:ind w:left="1276" w:right="425"/>
        <w:rPr>
          <w:i/>
          <w:color w:val="30353F"/>
        </w:rPr>
      </w:pPr>
      <w:r w:rsidRPr="00F543C1">
        <w:rPr>
          <w:i/>
          <w:color w:val="30353F"/>
        </w:rPr>
        <w:lastRenderedPageBreak/>
        <w:t xml:space="preserve">Dealing with individuals and families with multiple, complex needs is a particular challenge and is where the current system markedly under-performs. This challenge is not unique to New </w:t>
      </w:r>
      <w:proofErr w:type="gramStart"/>
      <w:r w:rsidRPr="00F543C1">
        <w:rPr>
          <w:i/>
          <w:color w:val="30353F"/>
        </w:rPr>
        <w:t>Zealand, and</w:t>
      </w:r>
      <w:proofErr w:type="gramEnd"/>
      <w:r w:rsidRPr="00F543C1">
        <w:rPr>
          <w:i/>
          <w:color w:val="30353F"/>
        </w:rPr>
        <w:t xml:space="preserve"> defies simple solutions. What is clear is that well-intentioned people are attempting to solve complex problems in somewhat of a vacuum of information about what works, why it works, how well it works, who it works for and how much it costs. And fragmented budgets and decision rights frustrate these people.</w:t>
      </w:r>
    </w:p>
    <w:p w14:paraId="493C2475" w14:textId="5F5B040F" w:rsidR="00C36D5F" w:rsidRPr="00726346" w:rsidRDefault="00C36D5F" w:rsidP="00C36D5F">
      <w:pPr>
        <w:spacing w:before="120"/>
        <w:ind w:left="1276" w:right="425"/>
        <w:rPr>
          <w:iCs/>
          <w:color w:val="30353F"/>
        </w:rPr>
      </w:pPr>
      <w:r w:rsidRPr="00F543C1">
        <w:rPr>
          <w:i/>
          <w:color w:val="30353F"/>
        </w:rPr>
        <w:t xml:space="preserve"> It is also clear that exhortation – calls to “do better”, “collaborate more” or “innovate” – is insufficient to drive behavioural or system change. Change initiatives need to be properly grounded in an understanding of people, the organisations in which people work and the incentives that they face – in short, a whole-of-system approach. </w:t>
      </w:r>
      <w:r w:rsidRPr="00F543C1">
        <w:rPr>
          <w:iCs/>
          <w:color w:val="30353F"/>
        </w:rPr>
        <w:fldChar w:fldCharType="begin"/>
      </w:r>
      <w:r w:rsidR="009B0EC4">
        <w:rPr>
          <w:iCs/>
          <w:color w:val="30353F"/>
        </w:rPr>
        <w:instrText xml:space="preserve"> ADDIN ZOTERO_ITEM CSL_CITATION {"citationID":"ap7mm6018r","properties":{"formattedCitation":"(New Zealand Productivity Commission 2015, 9)","plainCitation":"(New Zealand Productivity Commission 2015, 9)","noteIndex":0},"citationItems":[{"id":14096,"uris":["http://zotero.org/groups/4623831/items/XXV9BK5F"],"itemData":{"id":14096,"type":"report","event-place":"Wellington","language":"English","note":"OCLC: 921943108","publisher":"New Zealand Productivity Commission","publisher-place":"Wellington","source":"Open WorldCat","title":"More effective social services","URL":"http://www.productivity.govt.nz/sites/default/files/social-services-final-report-main.pdf","author":[{"literal":"New Zealand Productivity Commission"}],"accessed":{"date-parts":[["2022",4,4]]},"issued":{"date-parts":[["2015"]]}},"locator":"9","label":"page"}],"schema":"https://github.com/citation-style-language/schema/raw/master/csl-citation.json"} </w:instrText>
      </w:r>
      <w:r w:rsidRPr="00F543C1">
        <w:rPr>
          <w:iCs/>
          <w:color w:val="30353F"/>
        </w:rPr>
        <w:fldChar w:fldCharType="separate"/>
      </w:r>
      <w:r w:rsidRPr="00F543C1">
        <w:rPr>
          <w:rFonts w:cs="Calibri"/>
          <w:iCs/>
          <w:color w:val="30353F"/>
          <w:szCs w:val="24"/>
        </w:rPr>
        <w:t>(New Zealand Productivity Commission 2015, 9)</w:t>
      </w:r>
      <w:r w:rsidRPr="00F543C1">
        <w:rPr>
          <w:iCs/>
          <w:color w:val="30353F"/>
        </w:rPr>
        <w:fldChar w:fldCharType="end"/>
      </w:r>
    </w:p>
    <w:p w14:paraId="234F80AF" w14:textId="37417C4C" w:rsidR="00C36D5F" w:rsidRPr="00F543C1" w:rsidRDefault="00C36D5F" w:rsidP="00C36D5F">
      <w:pPr>
        <w:ind w:left="851"/>
        <w:rPr>
          <w:color w:val="222222"/>
        </w:rPr>
      </w:pPr>
      <w:r w:rsidRPr="00F543C1">
        <w:rPr>
          <w:color w:val="222222"/>
        </w:rPr>
        <w:t xml:space="preserve">The social assistance system in Aotearoa has developed over decades based mostly on standardised services where there are economies of scale </w:t>
      </w:r>
      <w:r w:rsidRPr="00F543C1">
        <w:rPr>
          <w:color w:val="222222"/>
        </w:rPr>
        <w:fldChar w:fldCharType="begin"/>
      </w:r>
      <w:r w:rsidR="009B0EC4">
        <w:rPr>
          <w:color w:val="222222"/>
        </w:rPr>
        <w:instrText xml:space="preserve"> ADDIN ZOTERO_ITEM CSL_CITATION {"citationID":"a1a2gce7k3b","properties":{"formattedCitation":"(New Zealand Productivity Commission 2015, 248; Fry and Wilson 2022a, 44)","plainCitation":"(New Zealand Productivity Commission 2015, 248; Fry and Wilson 2022a, 44)","noteIndex":0},"citationItems":[{"id":14096,"uris":["http://zotero.org/groups/4623831/items/XXV9BK5F"],"itemData":{"id":14096,"type":"report","event-place":"Wellington","language":"English","note":"OCLC: 921943108","publisher":"New Zealand Productivity Commission","publisher-place":"Wellington","source":"Open WorldCat","title":"More effective social services","URL":"http://www.productivity.govt.nz/sites/default/files/social-services-final-report-main.pdf","author":[{"literal":"New Zealand Productivity Commission"}],"accessed":{"date-parts":[["2022",4,4]]},"issued":{"date-parts":[["2015"]]}},"locator":"248","label":"page"},{"id":16954,"uris":["http://zotero.org/groups/4801058/items/S8BG46RV"],"itemData":{"id":16954,"type":"report","event-place":"Wellington","publisher":"New Zealand Institute of Economic Research","publisher-place":"Wellington","title":"Ki te kotahi te kakaho ka whati, Ki te kapuia e kore e whati","author":[{"family":"Fry","given":"Julie"},{"family":"Wilson","given":"Peter"}],"issued":{"date-parts":[["2022"]]}},"locator":"44","label":"page"}],"schema":"https://github.com/citation-style-language/schema/raw/master/csl-citation.json"} </w:instrText>
      </w:r>
      <w:r w:rsidRPr="00F543C1">
        <w:rPr>
          <w:color w:val="222222"/>
        </w:rPr>
        <w:fldChar w:fldCharType="separate"/>
      </w:r>
      <w:r w:rsidR="00EA71C7" w:rsidRPr="00EA71C7">
        <w:rPr>
          <w:rFonts w:cs="Calibri"/>
        </w:rPr>
        <w:t>(New Zealand Productivity Commission 2015, 248; Fry and Wilson 2022a, 44)</w:t>
      </w:r>
      <w:r w:rsidRPr="00F543C1">
        <w:rPr>
          <w:color w:val="222222"/>
        </w:rPr>
        <w:fldChar w:fldCharType="end"/>
      </w:r>
      <w:r w:rsidRPr="00726346">
        <w:rPr>
          <w:color w:val="222222"/>
        </w:rPr>
        <w:t>.</w:t>
      </w:r>
      <w:r w:rsidRPr="009006D7">
        <w:rPr>
          <w:rStyle w:val="FootnoteReference"/>
        </w:rPr>
        <w:footnoteReference w:id="46"/>
      </w:r>
      <w:r w:rsidRPr="00726346">
        <w:rPr>
          <w:color w:val="222222"/>
        </w:rPr>
        <w:t xml:space="preserve"> This often means seeking national</w:t>
      </w:r>
      <w:r w:rsidRPr="00F543C1">
        <w:rPr>
          <w:color w:val="222222"/>
        </w:rPr>
        <w:t xml:space="preserve"> uniformity,</w:t>
      </w:r>
      <w:r w:rsidRPr="009006D7">
        <w:rPr>
          <w:rStyle w:val="FootnoteReference"/>
        </w:rPr>
        <w:footnoteReference w:id="47"/>
      </w:r>
      <w:r w:rsidRPr="00726346">
        <w:rPr>
          <w:color w:val="222222"/>
        </w:rPr>
        <w:t xml:space="preserve"> specialisation, centralisation, and automation. Eligibility criteria are a key tool intended to target assistance </w:t>
      </w:r>
      <w:r w:rsidR="001330C6" w:rsidRPr="00F543C1">
        <w:rPr>
          <w:color w:val="222222"/>
        </w:rPr>
        <w:t xml:space="preserve">to </w:t>
      </w:r>
      <w:r w:rsidRPr="00F543C1">
        <w:rPr>
          <w:color w:val="222222"/>
        </w:rPr>
        <w:t>where it is most needed</w:t>
      </w:r>
      <w:r w:rsidR="00605B2E" w:rsidRPr="00F543C1">
        <w:rPr>
          <w:color w:val="222222"/>
        </w:rPr>
        <w:t>. I</w:t>
      </w:r>
      <w:r w:rsidRPr="00F543C1">
        <w:rPr>
          <w:color w:val="222222"/>
        </w:rPr>
        <w:t>n practice, however, many people experiencing persistent disadvantage either do not seek the help they need due to a lack of understanding and trust in the system or do not get the help they need from the system because it fails to identify and address their needs.</w:t>
      </w:r>
      <w:r w:rsidR="007C59F3" w:rsidRPr="009006D7">
        <w:rPr>
          <w:rStyle w:val="FootnoteReference"/>
        </w:rPr>
        <w:footnoteReference w:id="48"/>
      </w:r>
      <w:r w:rsidR="00072FD2" w:rsidRPr="00726346">
        <w:rPr>
          <w:color w:val="222222"/>
        </w:rPr>
        <w:t xml:space="preserve"> </w:t>
      </w:r>
    </w:p>
    <w:p w14:paraId="3C088DCB" w14:textId="45739F4F" w:rsidR="00C36D5F" w:rsidRPr="00F543C1" w:rsidRDefault="00C36D5F" w:rsidP="00C36D5F">
      <w:pPr>
        <w:ind w:left="851"/>
        <w:rPr>
          <w:color w:val="222222"/>
        </w:rPr>
      </w:pPr>
      <w:r w:rsidRPr="00F543C1">
        <w:rPr>
          <w:color w:val="222222"/>
        </w:rPr>
        <w:t>New Zealand has separate</w:t>
      </w:r>
      <w:r w:rsidR="002F18BD" w:rsidRPr="00F543C1">
        <w:rPr>
          <w:color w:val="222222"/>
        </w:rPr>
        <w:t>, specialised</w:t>
      </w:r>
      <w:r w:rsidRPr="00F543C1">
        <w:rPr>
          <w:color w:val="222222"/>
        </w:rPr>
        <w:t xml:space="preserve"> ministries for social welfare assistance, health, education, social housing, care and protection of children, and police. The core functions of these agencies are often highly </w:t>
      </w:r>
      <w:r w:rsidR="006E05C5" w:rsidRPr="00F543C1">
        <w:rPr>
          <w:color w:val="222222"/>
        </w:rPr>
        <w:t>centralised</w:t>
      </w:r>
      <w:r w:rsidRPr="00F543C1">
        <w:rPr>
          <w:color w:val="222222"/>
        </w:rPr>
        <w:t>. One example is the cash benefit system, where benefits rates are the same nationally for people with the same characteristics, administration is highly computerised, and discretion is minimised.</w:t>
      </w:r>
      <w:r w:rsidR="002050F2" w:rsidRPr="00F543C1">
        <w:rPr>
          <w:color w:val="222222"/>
        </w:rPr>
        <w:t xml:space="preserve"> </w:t>
      </w:r>
    </w:p>
    <w:p w14:paraId="6C6799A8" w14:textId="1F70B699" w:rsidR="00C36D5F" w:rsidRPr="00726346" w:rsidRDefault="00C36D5F" w:rsidP="00D81906">
      <w:pPr>
        <w:ind w:left="851"/>
      </w:pPr>
      <w:r w:rsidRPr="00F543C1">
        <w:t xml:space="preserve">In cases of assistance provided in-kind, standard procedures are often promulgated that are followed by all staff </w:t>
      </w:r>
      <w:proofErr w:type="gramStart"/>
      <w:r w:rsidRPr="00F543C1">
        <w:t>providing assistance</w:t>
      </w:r>
      <w:proofErr w:type="gramEnd"/>
      <w:r w:rsidRPr="00F543C1">
        <w:t>.</w:t>
      </w:r>
      <w:r w:rsidR="002F18BD" w:rsidRPr="009006D7">
        <w:rPr>
          <w:rStyle w:val="FootnoteReference"/>
        </w:rPr>
        <w:footnoteReference w:id="49"/>
      </w:r>
      <w:r w:rsidRPr="00726346">
        <w:t xml:space="preserve"> Discretion is minimised (sometime</w:t>
      </w:r>
      <w:r w:rsidRPr="00F543C1">
        <w:t>s via prescriptive legislation that regulates eligibility and entitlements), and efficiency is an important success criterion. Overall</w:t>
      </w:r>
      <w:r w:rsidR="00F046B3" w:rsidRPr="00F543C1">
        <w:t>,</w:t>
      </w:r>
      <w:r w:rsidRPr="00F543C1">
        <w:t xml:space="preserve"> ‘success’ is often measured by the number of people assisted rather than by the quality or effectiveness of the services they received.</w:t>
      </w:r>
      <w:r w:rsidRPr="009006D7">
        <w:rPr>
          <w:rStyle w:val="FootnoteReference"/>
        </w:rPr>
        <w:footnoteReference w:id="50"/>
      </w:r>
    </w:p>
    <w:p w14:paraId="12268E74" w14:textId="092753A2" w:rsidR="00110194" w:rsidRPr="00F543C1" w:rsidRDefault="00F340F7" w:rsidP="00110194">
      <w:pPr>
        <w:pStyle w:val="Heading3"/>
      </w:pPr>
      <w:bookmarkStart w:id="65" w:name="_Ref125735038"/>
      <w:bookmarkStart w:id="66" w:name="_Toc126092089"/>
      <w:r w:rsidRPr="00F543C1">
        <w:t>Developing a parallel system</w:t>
      </w:r>
      <w:bookmarkEnd w:id="65"/>
      <w:bookmarkEnd w:id="66"/>
    </w:p>
    <w:p w14:paraId="1DA582CE" w14:textId="79BD5170" w:rsidR="001316B5" w:rsidRPr="00F543C1" w:rsidRDefault="00652EF5" w:rsidP="00110194">
      <w:pPr>
        <w:pStyle w:val="USBodyText"/>
      </w:pPr>
      <w:r w:rsidRPr="00F543C1">
        <w:t>The Commission’s key insight</w:t>
      </w:r>
      <w:r w:rsidR="005328BB" w:rsidRPr="00F543C1">
        <w:t xml:space="preserve"> from the 2015 inquiry</w:t>
      </w:r>
      <w:r w:rsidR="002D5309" w:rsidRPr="00F543C1">
        <w:t xml:space="preserve"> was </w:t>
      </w:r>
      <w:r w:rsidRPr="00F543C1">
        <w:t xml:space="preserve">that the complexity of the current social </w:t>
      </w:r>
      <w:r w:rsidR="00490C81" w:rsidRPr="00F543C1">
        <w:t xml:space="preserve">services system, combined with the effects of persistent disadvantage on </w:t>
      </w:r>
      <w:r w:rsidR="00490C81" w:rsidRPr="00F543C1">
        <w:lastRenderedPageBreak/>
        <w:t xml:space="preserve">the capacity of people to </w:t>
      </w:r>
      <w:r w:rsidR="004642CD" w:rsidRPr="00F543C1">
        <w:t>work within that system</w:t>
      </w:r>
      <w:r w:rsidR="00D77461" w:rsidRPr="00F543C1">
        <w:t>,</w:t>
      </w:r>
      <w:r w:rsidR="00016268" w:rsidRPr="00F543C1">
        <w:t xml:space="preserve"> was a barrier to people </w:t>
      </w:r>
      <w:r w:rsidR="002932F3" w:rsidRPr="00F543C1">
        <w:t>experiencing persistent</w:t>
      </w:r>
      <w:r w:rsidR="00016268" w:rsidRPr="00F543C1">
        <w:t xml:space="preserve"> </w:t>
      </w:r>
      <w:r w:rsidR="00A95A57" w:rsidRPr="00F543C1">
        <w:t>disadvantage</w:t>
      </w:r>
      <w:r w:rsidR="00016268" w:rsidRPr="00F543C1">
        <w:t xml:space="preserve"> accessing currently available services</w:t>
      </w:r>
      <w:r w:rsidR="00A95A57" w:rsidRPr="00F543C1">
        <w:t>.</w:t>
      </w:r>
    </w:p>
    <w:p w14:paraId="69D38D74" w14:textId="3672A3E5" w:rsidR="007B56EA" w:rsidRDefault="007D71A4" w:rsidP="00E019A3">
      <w:pPr>
        <w:pStyle w:val="USBodyText"/>
        <w:rPr>
          <w:rFonts w:cs="Calibri"/>
        </w:rPr>
      </w:pPr>
      <w:r w:rsidRPr="00F543C1">
        <w:t>Their solution –</w:t>
      </w:r>
      <w:r w:rsidR="00D77461" w:rsidRPr="00F543C1">
        <w:t xml:space="preserve"> </w:t>
      </w:r>
      <w:r w:rsidRPr="00F543C1">
        <w:t xml:space="preserve">the </w:t>
      </w:r>
      <w:r w:rsidR="00636AD7" w:rsidRPr="00F543C1">
        <w:t>‘</w:t>
      </w:r>
      <w:r w:rsidRPr="00F543C1">
        <w:t>navigator model</w:t>
      </w:r>
      <w:r w:rsidR="00636AD7" w:rsidRPr="00F543C1">
        <w:t>’</w:t>
      </w:r>
      <w:r w:rsidRPr="00F543C1">
        <w:t xml:space="preserve"> – assumed, however that </w:t>
      </w:r>
      <w:r w:rsidR="009A37D3" w:rsidRPr="00F543C1">
        <w:t>both complexity and capacity were fixed and that a ‘work around’ was need</w:t>
      </w:r>
      <w:r w:rsidR="00E019A3" w:rsidRPr="00F543C1">
        <w:t>ed</w:t>
      </w:r>
      <w:r w:rsidR="009A37D3" w:rsidRPr="00F543C1">
        <w:t xml:space="preserve"> to help people get the services that they needed</w:t>
      </w:r>
      <w:r w:rsidR="00636AD7" w:rsidRPr="00F543C1">
        <w:t>. It also assumed</w:t>
      </w:r>
      <w:r w:rsidR="00287720" w:rsidRPr="00F543C1">
        <w:t xml:space="preserve"> that </w:t>
      </w:r>
      <w:r w:rsidR="001E29AB" w:rsidRPr="00F543C1">
        <w:t>service delivery is the appropriate response to disadvantage, and that the services needed to address disadvantage already exist</w:t>
      </w:r>
      <w:r w:rsidR="00C50615">
        <w:rPr>
          <w:rFonts w:cs="Calibri"/>
        </w:rPr>
        <w:t xml:space="preserve"> </w:t>
      </w:r>
      <w:r w:rsidR="00EE22BB">
        <w:rPr>
          <w:rFonts w:cs="Calibri"/>
        </w:rPr>
        <w:fldChar w:fldCharType="begin"/>
      </w:r>
      <w:r w:rsidR="009B0EC4">
        <w:rPr>
          <w:rFonts w:cs="Calibri"/>
        </w:rPr>
        <w:instrText xml:space="preserve"> ADDIN ZOTERO_ITEM CSL_CITATION {"citationID":"vsDPOi4z","properties":{"formattedCitation":"(Fry and Wilson 2022a)","plainCitation":"(Fry and Wilson 2022a)","noteIndex":0},"citationItems":[{"id":16954,"uris":["http://zotero.org/groups/4801058/items/S8BG46RV"],"itemData":{"id":16954,"type":"report","event-place":"Wellington","publisher":"New Zealand Institute of Economic Research","publisher-place":"Wellington","title":"Ki te kotahi te kakaho ka whati, Ki te kapuia e kore e whati","author":[{"family":"Fry","given":"Julie"},{"family":"Wilson","given":"Peter"}],"issued":{"date-parts":[["2022"]]}}}],"schema":"https://github.com/citation-style-language/schema/raw/master/csl-citation.json"} </w:instrText>
      </w:r>
      <w:r w:rsidR="00EE22BB">
        <w:rPr>
          <w:rFonts w:cs="Calibri"/>
        </w:rPr>
        <w:fldChar w:fldCharType="separate"/>
      </w:r>
      <w:r w:rsidR="00EA71C7" w:rsidRPr="00EA71C7">
        <w:rPr>
          <w:rFonts w:cs="Calibri"/>
        </w:rPr>
        <w:t>(Fry and Wilson 2022a)</w:t>
      </w:r>
      <w:r w:rsidR="00EE22BB">
        <w:rPr>
          <w:rFonts w:cs="Calibri"/>
        </w:rPr>
        <w:fldChar w:fldCharType="end"/>
      </w:r>
      <w:r w:rsidR="00EE22BB">
        <w:rPr>
          <w:rFonts w:cs="Calibri"/>
        </w:rPr>
        <w:t xml:space="preserve">. </w:t>
      </w:r>
    </w:p>
    <w:p w14:paraId="4404310D" w14:textId="4BC03E74" w:rsidR="008B48D9" w:rsidRDefault="002B1695" w:rsidP="00E019A3">
      <w:pPr>
        <w:pStyle w:val="USBodyText"/>
        <w:rPr>
          <w:rFonts w:cs="Calibri"/>
        </w:rPr>
      </w:pPr>
      <w:r w:rsidRPr="00F543C1">
        <w:rPr>
          <w:rFonts w:cs="Calibri"/>
        </w:rPr>
        <w:t xml:space="preserve">We suggest </w:t>
      </w:r>
      <w:r w:rsidR="00752A0E" w:rsidRPr="00F543C1">
        <w:rPr>
          <w:rFonts w:cs="Calibri"/>
        </w:rPr>
        <w:fldChar w:fldCharType="begin"/>
      </w:r>
      <w:r w:rsidR="009B0EC4">
        <w:rPr>
          <w:rFonts w:cs="Calibri"/>
        </w:rPr>
        <w:instrText xml:space="preserve"> ADDIN ZOTERO_ITEM CSL_CITATION {"citationID":"Jsxc8kvd","properties":{"formattedCitation":"(as noted in the Commission\\uc0\\u8217{}s more recent work - see New Zealand Productivity Commission 2022a)","plainCitation":"(as noted in the Commission’s more recent work - see New Zealand Productivity Commission 2022a)","dontUpdate":true,"noteIndex":0},"citationItems":[{"id":16621,"uris":["http://zotero.org/groups/4801058/items/WYNPCXJD"],"itemData":{"id":16621,"type":"report","event-place":"Wellington","publisher":"New Zealand Productivity Commission","publisher-place":"Wellington","title":"Fair Chance for All Interim Report - Breaking the Cycle of Persistent Disadvantage","author":[{"family":"New Zealand Productivity Commission","given":""}],"issued":{"date-parts":[["2022"]]}},"label":"page","prefix":"as noted in the Commission’s more recent work - see "}],"schema":"https://github.com/citation-style-language/schema/raw/master/csl-citation.json"} </w:instrText>
      </w:r>
      <w:r w:rsidR="00752A0E" w:rsidRPr="00F543C1">
        <w:rPr>
          <w:rFonts w:cs="Calibri"/>
        </w:rPr>
        <w:fldChar w:fldCharType="separate"/>
      </w:r>
      <w:r w:rsidR="000C6E7E" w:rsidRPr="00F543C1">
        <w:rPr>
          <w:rFonts w:cs="Calibri"/>
          <w:szCs w:val="24"/>
        </w:rPr>
        <w:t>(as noted in the Commission’s more recent wor</w:t>
      </w:r>
      <w:r w:rsidR="00D77461" w:rsidRPr="00F543C1">
        <w:rPr>
          <w:rFonts w:cs="Calibri"/>
          <w:szCs w:val="24"/>
        </w:rPr>
        <w:t xml:space="preserve">k </w:t>
      </w:r>
      <w:r w:rsidR="006F6491" w:rsidRPr="00F543C1">
        <w:t>–</w:t>
      </w:r>
      <w:r w:rsidR="006F6491" w:rsidRPr="00F543C1">
        <w:rPr>
          <w:rFonts w:cs="Calibri"/>
          <w:szCs w:val="24"/>
        </w:rPr>
        <w:t xml:space="preserve"> </w:t>
      </w:r>
      <w:r w:rsidR="000C6E7E" w:rsidRPr="00F543C1">
        <w:rPr>
          <w:rFonts w:cs="Calibri"/>
          <w:szCs w:val="24"/>
        </w:rPr>
        <w:t>see New Zealand Productivity Commission 2022a)</w:t>
      </w:r>
      <w:r w:rsidR="00752A0E" w:rsidRPr="00F543C1">
        <w:rPr>
          <w:rFonts w:cs="Calibri"/>
        </w:rPr>
        <w:fldChar w:fldCharType="end"/>
      </w:r>
      <w:r w:rsidR="0073312A" w:rsidRPr="00726346">
        <w:rPr>
          <w:rFonts w:cs="Calibri"/>
        </w:rPr>
        <w:t xml:space="preserve"> </w:t>
      </w:r>
      <w:r w:rsidRPr="00F543C1">
        <w:rPr>
          <w:rFonts w:cs="Calibri"/>
        </w:rPr>
        <w:t xml:space="preserve">that more fundamental changes need to be made for people experiencing persistent disadvantage. </w:t>
      </w:r>
      <w:r w:rsidR="00993AAF" w:rsidRPr="00F543C1">
        <w:rPr>
          <w:rFonts w:cs="Calibri"/>
        </w:rPr>
        <w:t xml:space="preserve">In effect, a parallel system </w:t>
      </w:r>
      <w:r w:rsidR="00A86967" w:rsidRPr="00F543C1">
        <w:rPr>
          <w:rFonts w:cs="Calibri"/>
        </w:rPr>
        <w:t>is needed.</w:t>
      </w:r>
      <w:r w:rsidR="008A3CCD" w:rsidRPr="00F543C1">
        <w:rPr>
          <w:rFonts w:cs="Calibri"/>
        </w:rPr>
        <w:t xml:space="preserve"> </w:t>
      </w:r>
    </w:p>
    <w:p w14:paraId="13FE8153" w14:textId="1593835C" w:rsidR="002B1695" w:rsidRPr="00F543C1" w:rsidRDefault="008A3CCD" w:rsidP="00E019A3">
      <w:pPr>
        <w:pStyle w:val="USBodyText"/>
      </w:pPr>
      <w:r w:rsidRPr="00F543C1">
        <w:rPr>
          <w:rFonts w:cs="Calibri"/>
        </w:rPr>
        <w:t xml:space="preserve">While continuing to receive some services provided by centralised agencies, especially health </w:t>
      </w:r>
      <w:r w:rsidR="00EF7591" w:rsidRPr="00F543C1">
        <w:rPr>
          <w:rFonts w:cs="Calibri"/>
        </w:rPr>
        <w:t xml:space="preserve">services </w:t>
      </w:r>
      <w:r w:rsidRPr="00F543C1">
        <w:rPr>
          <w:rFonts w:cs="Calibri"/>
        </w:rPr>
        <w:t xml:space="preserve">and cash transfers, we propose that a </w:t>
      </w:r>
      <w:r w:rsidR="00EF7591" w:rsidRPr="00F543C1">
        <w:rPr>
          <w:rFonts w:cs="Calibri"/>
        </w:rPr>
        <w:t xml:space="preserve">complementary </w:t>
      </w:r>
      <w:r w:rsidRPr="00F543C1">
        <w:rPr>
          <w:rFonts w:cs="Calibri"/>
        </w:rPr>
        <w:t xml:space="preserve">support system be established that </w:t>
      </w:r>
      <w:r w:rsidR="006F6491" w:rsidRPr="00F543C1">
        <w:rPr>
          <w:rFonts w:cs="Calibri"/>
        </w:rPr>
        <w:t xml:space="preserve">offers </w:t>
      </w:r>
      <w:r w:rsidRPr="00F543C1">
        <w:rPr>
          <w:rFonts w:cs="Calibri"/>
        </w:rPr>
        <w:t xml:space="preserve">additional, individualised support to people experiencing persistent disadvantage, based on their assessment of what is required. </w:t>
      </w:r>
      <w:r w:rsidR="00172702" w:rsidRPr="00F543C1">
        <w:rPr>
          <w:rFonts w:cs="Calibri"/>
        </w:rPr>
        <w:t xml:space="preserve">So, rather than being assisted by a navigator to select which of the available range of services they will receive, people will work with supporters to describe the changes they want to make in their lives and then develop a plan to achieve </w:t>
      </w:r>
      <w:r w:rsidR="006F6491" w:rsidRPr="00F543C1">
        <w:rPr>
          <w:rFonts w:cs="Calibri"/>
        </w:rPr>
        <w:t>them</w:t>
      </w:r>
      <w:r w:rsidR="00172702" w:rsidRPr="00F543C1">
        <w:rPr>
          <w:rFonts w:cs="Calibri"/>
        </w:rPr>
        <w:t xml:space="preserve">. This plan </w:t>
      </w:r>
      <w:r w:rsidR="006F6491" w:rsidRPr="00F543C1">
        <w:rPr>
          <w:rFonts w:cs="Calibri"/>
        </w:rPr>
        <w:t>will likely</w:t>
      </w:r>
      <w:r w:rsidR="00172702" w:rsidRPr="00F543C1">
        <w:rPr>
          <w:rFonts w:cs="Calibri"/>
        </w:rPr>
        <w:t xml:space="preserve"> include a range of existing services and some new types of support, which may need to be commissioned f</w:t>
      </w:r>
      <w:r w:rsidR="00224269" w:rsidRPr="00F543C1">
        <w:rPr>
          <w:rFonts w:cs="Calibri"/>
        </w:rPr>
        <w:t>rom</w:t>
      </w:r>
      <w:r w:rsidR="00172702" w:rsidRPr="00F543C1">
        <w:rPr>
          <w:rFonts w:cs="Calibri"/>
        </w:rPr>
        <w:t xml:space="preserve"> an appropriate provider.</w:t>
      </w:r>
      <w:r w:rsidR="00292CF3" w:rsidRPr="009006D7">
        <w:rPr>
          <w:rStyle w:val="FootnoteReference"/>
        </w:rPr>
        <w:footnoteReference w:id="51"/>
      </w:r>
    </w:p>
    <w:p w14:paraId="1EC235D2" w14:textId="4987E5CF" w:rsidR="001E29AB" w:rsidRPr="00F543C1" w:rsidRDefault="001E29AB" w:rsidP="001E29AB">
      <w:pPr>
        <w:pStyle w:val="USBodyText"/>
      </w:pPr>
      <w:r w:rsidRPr="00F543C1">
        <w:t xml:space="preserve">People experiencing persistent disadvantage may have had negative prior experiences with publicly-provided services (e.g. education, health, Corrections, </w:t>
      </w:r>
      <w:proofErr w:type="spellStart"/>
      <w:r w:rsidRPr="00F543C1">
        <w:t>Oranga</w:t>
      </w:r>
      <w:proofErr w:type="spellEnd"/>
      <w:r w:rsidRPr="00F543C1">
        <w:t xml:space="preserve"> Tamariki) and may not disclose the support they need due to a lack of trust</w:t>
      </w:r>
      <w:r w:rsidR="00577ABE">
        <w:t xml:space="preserve"> </w:t>
      </w:r>
      <w:r w:rsidR="00577ABE">
        <w:fldChar w:fldCharType="begin"/>
      </w:r>
      <w:r w:rsidR="009B0EC4">
        <w:instrText xml:space="preserve"> ADDIN ZOTERO_ITEM CSL_CITATION {"citationID":"VPgd3OcD","properties":{"formattedCitation":"(Fry 2022, 2)","plainCitation":"(Fry 2022, 2)","noteIndex":0},"citationItems":[{"id":18461,"uris":["http://zotero.org/groups/4801058/items/Y4XY6L7J"],"itemData":{"id":18461,"type":"report","event-place":"Wellington","publisher":"Productivity Commission","publisher-place":"Wellington","title":"Together alone: A review of joined-up social services","URL":"https://www.productivity.govt.nz/assets/Documents/Together-alone_A-review-of-joined-up-social-services.pdf","author":[{"family":"Fry","given":"Julie"}],"accessed":{"date-parts":[["2023",1,15]]},"issued":{"date-parts":[["2022"]]}},"locator":"2","label":"page"}],"schema":"https://github.com/citation-style-language/schema/raw/master/csl-citation.json"} </w:instrText>
      </w:r>
      <w:r w:rsidR="00577ABE">
        <w:fldChar w:fldCharType="separate"/>
      </w:r>
      <w:r w:rsidR="00660BDF" w:rsidRPr="00660BDF">
        <w:rPr>
          <w:rFonts w:cs="Calibri"/>
        </w:rPr>
        <w:t>(Fry 2022, 2)</w:t>
      </w:r>
      <w:r w:rsidR="00577ABE">
        <w:fldChar w:fldCharType="end"/>
      </w:r>
      <w:r w:rsidRPr="00726346">
        <w:t>. There are</w:t>
      </w:r>
      <w:r w:rsidR="004A4325" w:rsidRPr="00F543C1">
        <w:t>,</w:t>
      </w:r>
      <w:r w:rsidRPr="00F543C1">
        <w:t xml:space="preserve"> unfortunately</w:t>
      </w:r>
      <w:r w:rsidR="004A4325" w:rsidRPr="00F543C1">
        <w:t>,</w:t>
      </w:r>
      <w:r w:rsidRPr="00F543C1">
        <w:t xml:space="preserve"> many instances where the </w:t>
      </w:r>
      <w:r w:rsidR="004A4325" w:rsidRPr="00F543C1">
        <w:t>state</w:t>
      </w:r>
      <w:r w:rsidR="00041E30">
        <w:t>’</w:t>
      </w:r>
      <w:r w:rsidR="004A4325" w:rsidRPr="00F543C1">
        <w:t>s actions</w:t>
      </w:r>
      <w:r w:rsidRPr="00F543C1">
        <w:t xml:space="preserve"> have made things worse (and often significantly so) for people experiencing persistent disadvantage.</w:t>
      </w:r>
      <w:r w:rsidRPr="009006D7">
        <w:rPr>
          <w:rStyle w:val="FootnoteReference"/>
        </w:rPr>
        <w:footnoteReference w:id="52"/>
      </w:r>
      <w:r w:rsidRPr="00726346">
        <w:t xml:space="preserve"> </w:t>
      </w:r>
      <w:r w:rsidR="000C6023" w:rsidRPr="00F543C1">
        <w:t xml:space="preserve">So they </w:t>
      </w:r>
      <w:r w:rsidRPr="00F543C1">
        <w:t xml:space="preserve">may need the support of a trusted person to help them identify, </w:t>
      </w:r>
      <w:proofErr w:type="gramStart"/>
      <w:r w:rsidRPr="00F543C1">
        <w:t>articulate</w:t>
      </w:r>
      <w:proofErr w:type="gramEnd"/>
      <w:r w:rsidRPr="00F543C1">
        <w:t xml:space="preserve"> and prioritise their unaddressed needs. Once the full range of unmet needs are surfaced, it will take time and resources to develop appropriate responses. </w:t>
      </w:r>
    </w:p>
    <w:p w14:paraId="1CFA9872" w14:textId="7C15D12D" w:rsidR="001E29AB" w:rsidRPr="00F543C1" w:rsidRDefault="001E29AB" w:rsidP="001E29AB">
      <w:pPr>
        <w:pStyle w:val="USBodyText"/>
      </w:pPr>
      <w:r w:rsidRPr="00F543C1">
        <w:t xml:space="preserve">In short, </w:t>
      </w:r>
      <w:r w:rsidR="00E7160F" w:rsidRPr="00F543C1">
        <w:t>to</w:t>
      </w:r>
      <w:r w:rsidRPr="00F543C1">
        <w:t xml:space="preserve"> support people </w:t>
      </w:r>
      <w:r w:rsidR="00F26DB9" w:rsidRPr="00F543C1">
        <w:t>ex</w:t>
      </w:r>
      <w:r w:rsidR="00386682" w:rsidRPr="00F543C1">
        <w:t xml:space="preserve">periencing persistent disadvantage </w:t>
      </w:r>
      <w:r w:rsidRPr="00F543C1">
        <w:t xml:space="preserve">in building better lives, the available assistance needs to be both more comprehensive, and simpler to access. </w:t>
      </w:r>
    </w:p>
    <w:p w14:paraId="4989A457" w14:textId="26F60EC2" w:rsidR="008D5539" w:rsidRPr="00F543C1" w:rsidRDefault="00635FFE" w:rsidP="008D5539">
      <w:pPr>
        <w:pStyle w:val="USBodyText"/>
      </w:pPr>
      <w:r w:rsidRPr="00F543C1">
        <w:fldChar w:fldCharType="begin"/>
      </w:r>
      <w:r w:rsidRPr="00F543C1">
        <w:instrText xml:space="preserve"> REF _Ref124763519 \h </w:instrText>
      </w:r>
      <w:r w:rsidR="000177FE" w:rsidRPr="00F543C1">
        <w:instrText xml:space="preserve"> \* MERGEFORMAT </w:instrText>
      </w:r>
      <w:r w:rsidRPr="00F543C1">
        <w:fldChar w:fldCharType="separate"/>
      </w:r>
      <w:r w:rsidR="00E06351" w:rsidRPr="00F543C1">
        <w:t>Figure </w:t>
      </w:r>
      <w:r w:rsidR="00E06351">
        <w:t>4</w:t>
      </w:r>
      <w:r w:rsidRPr="00F543C1">
        <w:fldChar w:fldCharType="end"/>
      </w:r>
      <w:r w:rsidR="001E29AB" w:rsidRPr="00726346">
        <w:t xml:space="preserve"> </w:t>
      </w:r>
      <w:r w:rsidR="00902AC4" w:rsidRPr="00F543C1">
        <w:t>develop</w:t>
      </w:r>
      <w:r w:rsidR="00426362" w:rsidRPr="00F543C1">
        <w:t>s</w:t>
      </w:r>
      <w:r w:rsidR="0029723E" w:rsidRPr="00F543C1">
        <w:t xml:space="preserve"> </w:t>
      </w:r>
      <w:r w:rsidR="00902AC4" w:rsidRPr="00F543C1">
        <w:t>the Commission’s original quadrant diagram. The ax</w:t>
      </w:r>
      <w:r w:rsidR="00426362" w:rsidRPr="00F543C1">
        <w:t>e</w:t>
      </w:r>
      <w:r w:rsidR="006C6BD5" w:rsidRPr="00F543C1">
        <w:t xml:space="preserve">s are </w:t>
      </w:r>
      <w:r w:rsidR="008D5539" w:rsidRPr="00F543C1">
        <w:t>‘</w:t>
      </w:r>
      <w:r w:rsidR="006C6BD5" w:rsidRPr="00F543C1">
        <w:t>complexity</w:t>
      </w:r>
      <w:r w:rsidR="008D5539" w:rsidRPr="00F543C1">
        <w:t>’</w:t>
      </w:r>
      <w:r w:rsidR="006C6BD5" w:rsidRPr="00F543C1">
        <w:t xml:space="preserve"> and ‘coverage’</w:t>
      </w:r>
      <w:r w:rsidR="0029723E" w:rsidRPr="00F543C1">
        <w:t>.</w:t>
      </w:r>
      <w:r w:rsidR="008D5539" w:rsidRPr="00F543C1">
        <w:t xml:space="preserve"> </w:t>
      </w:r>
      <w:r w:rsidR="0029723E" w:rsidRPr="00F543C1">
        <w:t>In contrast with</w:t>
      </w:r>
      <w:r w:rsidR="008D5539" w:rsidRPr="00F543C1">
        <w:t xml:space="preserve"> the </w:t>
      </w:r>
      <w:r w:rsidR="00CF3276" w:rsidRPr="00F543C1">
        <w:t>original, complexity</w:t>
      </w:r>
      <w:r w:rsidR="0093728F" w:rsidRPr="00F543C1">
        <w:t xml:space="preserve"> here is about the complexity of </w:t>
      </w:r>
      <w:r w:rsidR="000564E3" w:rsidRPr="00F543C1">
        <w:t>the</w:t>
      </w:r>
      <w:r w:rsidR="0093728F" w:rsidRPr="00F543C1">
        <w:t xml:space="preserve"> social assistance system, not the complexity of the needs of a person. </w:t>
      </w:r>
      <w:r w:rsidR="008D5539" w:rsidRPr="00F543C1">
        <w:t xml:space="preserve">‘Coverage’ </w:t>
      </w:r>
      <w:r w:rsidR="0093728F" w:rsidRPr="00F543C1">
        <w:t>has</w:t>
      </w:r>
      <w:r w:rsidR="008D5539" w:rsidRPr="00F543C1">
        <w:t xml:space="preserve"> a very wide meaning, reflecting not just the number of people able to access assistance </w:t>
      </w:r>
      <w:r w:rsidR="008D5539" w:rsidRPr="00F543C1">
        <w:lastRenderedPageBreak/>
        <w:t xml:space="preserve">and the range of assistance offered but also </w:t>
      </w:r>
      <w:r w:rsidR="00531AF5" w:rsidRPr="00F543C1">
        <w:t xml:space="preserve">the need to </w:t>
      </w:r>
      <w:r w:rsidR="008D5539" w:rsidRPr="00F543C1">
        <w:t xml:space="preserve">respond to systemic issues such as power imbalances, racism, sexism, </w:t>
      </w:r>
      <w:proofErr w:type="gramStart"/>
      <w:r w:rsidR="008D5539" w:rsidRPr="00F543C1">
        <w:t>ableism</w:t>
      </w:r>
      <w:proofErr w:type="gramEnd"/>
      <w:r w:rsidR="008D5539" w:rsidRPr="00F543C1">
        <w:t xml:space="preserve"> and colonialism.</w:t>
      </w:r>
      <w:r w:rsidR="00177AFF" w:rsidRPr="009006D7">
        <w:rPr>
          <w:rStyle w:val="FootnoteReference"/>
        </w:rPr>
        <w:footnoteReference w:id="53"/>
      </w:r>
    </w:p>
    <w:p w14:paraId="057BE305" w14:textId="7356FCA0" w:rsidR="001E29AB" w:rsidRPr="00F543C1" w:rsidRDefault="00120034" w:rsidP="001E29AB">
      <w:pPr>
        <w:pStyle w:val="USBodyText"/>
      </w:pPr>
      <w:r w:rsidRPr="00F543C1">
        <w:t xml:space="preserve">The </w:t>
      </w:r>
      <w:r w:rsidR="001E29AB" w:rsidRPr="00F543C1">
        <w:t xml:space="preserve">goal is </w:t>
      </w:r>
      <w:r w:rsidR="00C83A74" w:rsidRPr="00F543C1">
        <w:t xml:space="preserve">not </w:t>
      </w:r>
      <w:r w:rsidR="004A4325" w:rsidRPr="00F543C1">
        <w:t>just to</w:t>
      </w:r>
      <w:r w:rsidR="00C83A74" w:rsidRPr="00F543C1">
        <w:t xml:space="preserve"> add a new function </w:t>
      </w:r>
      <w:r w:rsidR="00833C37" w:rsidRPr="00F543C1">
        <w:t>(</w:t>
      </w:r>
      <w:r w:rsidR="00C83A74" w:rsidRPr="00F543C1">
        <w:t xml:space="preserve">like navigators) but to </w:t>
      </w:r>
      <w:r w:rsidR="00786A16" w:rsidRPr="00F543C1">
        <w:t xml:space="preserve">embed </w:t>
      </w:r>
      <w:r w:rsidR="00C83A74" w:rsidRPr="00F543C1">
        <w:t xml:space="preserve">systems change. </w:t>
      </w:r>
      <w:r w:rsidR="00A60890" w:rsidRPr="00F543C1">
        <w:t xml:space="preserve">The ideal would be to have a system of assistance in </w:t>
      </w:r>
      <w:r w:rsidR="001E29AB" w:rsidRPr="00F543C1">
        <w:t xml:space="preserve">Quadrant F, where needs can be met without additional assistance </w:t>
      </w:r>
      <w:r w:rsidR="00CB1719" w:rsidRPr="00F543C1">
        <w:t xml:space="preserve">from a navigator </w:t>
      </w:r>
      <w:r w:rsidR="001E29AB" w:rsidRPr="00F543C1">
        <w:t>from outside their whānau.</w:t>
      </w:r>
      <w:r w:rsidR="00CF5AFD" w:rsidRPr="00F543C1">
        <w:t xml:space="preserve"> </w:t>
      </w:r>
    </w:p>
    <w:p w14:paraId="7CC0E1AC" w14:textId="79B63E4F" w:rsidR="001E29AB" w:rsidRPr="00F543C1" w:rsidRDefault="001E29AB" w:rsidP="001E29AB">
      <w:pPr>
        <w:pStyle w:val="FigureCaption"/>
      </w:pPr>
      <w:bookmarkStart w:id="67" w:name="_Ref124763519"/>
      <w:bookmarkStart w:id="68" w:name="_Toc126841235"/>
      <w:r w:rsidRPr="00F543C1">
        <w:t>Figure </w:t>
      </w:r>
      <w:r w:rsidRPr="00F543C1">
        <w:fldChar w:fldCharType="begin"/>
      </w:r>
      <w:r w:rsidRPr="00F543C1">
        <w:instrText>SEQ Figure \* ARABIC</w:instrText>
      </w:r>
      <w:r w:rsidRPr="00F543C1">
        <w:fldChar w:fldCharType="separate"/>
      </w:r>
      <w:r w:rsidR="00E06351">
        <w:rPr>
          <w:noProof/>
        </w:rPr>
        <w:t>4</w:t>
      </w:r>
      <w:r w:rsidRPr="00F543C1">
        <w:fldChar w:fldCharType="end"/>
      </w:r>
      <w:bookmarkEnd w:id="67"/>
      <w:r w:rsidRPr="00726346">
        <w:t xml:space="preserve"> Assistance needs to be simpler and more </w:t>
      </w:r>
      <w:proofErr w:type="gramStart"/>
      <w:r w:rsidRPr="00726346">
        <w:t>comprehensive</w:t>
      </w:r>
      <w:bookmarkEnd w:id="68"/>
      <w:proofErr w:type="gramEnd"/>
    </w:p>
    <w:p w14:paraId="0E9E7FCB" w14:textId="77777777" w:rsidR="001E29AB" w:rsidRPr="00726346" w:rsidRDefault="001E29AB" w:rsidP="001E29AB">
      <w:pPr>
        <w:pStyle w:val="USPlaceholder"/>
        <w:rPr>
          <w:noProof w:val="0"/>
        </w:rPr>
      </w:pPr>
      <w:r w:rsidRPr="002349E2">
        <w:drawing>
          <wp:inline distT="0" distB="0" distL="0" distR="0" wp14:anchorId="539F4CC2" wp14:editId="70DE4486">
            <wp:extent cx="3766259" cy="3667760"/>
            <wp:effectExtent l="0" t="0" r="5715" b="8890"/>
            <wp:docPr id="13" name="Picture 4" descr="A picture containing text, businesscard&#10;&#10;Description automatically generated">
              <a:extLst xmlns:a="http://schemas.openxmlformats.org/drawingml/2006/main">
                <a:ext uri="{FF2B5EF4-FFF2-40B4-BE49-F238E27FC236}">
                  <a16:creationId xmlns:a16="http://schemas.microsoft.com/office/drawing/2014/main" id="{EC26E18F-3C99-3F7D-E82C-013A1213B3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businesscard&#10;&#10;Description automatically generated">
                      <a:extLst>
                        <a:ext uri="{FF2B5EF4-FFF2-40B4-BE49-F238E27FC236}">
                          <a16:creationId xmlns:a16="http://schemas.microsoft.com/office/drawing/2014/main" id="{EC26E18F-3C99-3F7D-E82C-013A1213B30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780317" cy="3681451"/>
                    </a:xfrm>
                    <a:prstGeom prst="rect">
                      <a:avLst/>
                    </a:prstGeom>
                  </pic:spPr>
                </pic:pic>
              </a:graphicData>
            </a:graphic>
          </wp:inline>
        </w:drawing>
      </w:r>
    </w:p>
    <w:p w14:paraId="71994F68" w14:textId="77777777" w:rsidR="001E29AB" w:rsidRPr="00F543C1" w:rsidRDefault="001E29AB" w:rsidP="001E29AB">
      <w:pPr>
        <w:pStyle w:val="USSource"/>
      </w:pPr>
    </w:p>
    <w:p w14:paraId="21883F9F" w14:textId="77777777" w:rsidR="001E29AB" w:rsidRPr="00F543C1" w:rsidRDefault="001E29AB" w:rsidP="001E29AB">
      <w:pPr>
        <w:pStyle w:val="USSource"/>
      </w:pPr>
      <w:r w:rsidRPr="00F543C1">
        <w:t>Source: The authors</w:t>
      </w:r>
    </w:p>
    <w:p w14:paraId="4F5FF224" w14:textId="16E6A809" w:rsidR="001E29AB" w:rsidRPr="00F543C1" w:rsidRDefault="005F751A" w:rsidP="001E29AB">
      <w:pPr>
        <w:pStyle w:val="USBodyText"/>
      </w:pPr>
      <w:r w:rsidRPr="00F543C1">
        <w:t>To</w:t>
      </w:r>
      <w:r w:rsidR="001E29AB" w:rsidRPr="00F543C1">
        <w:t xml:space="preserve"> provide the kinds of assistance envisaged in </w:t>
      </w:r>
      <w:r w:rsidR="00277D37" w:rsidRPr="00F543C1">
        <w:fldChar w:fldCharType="begin"/>
      </w:r>
      <w:r w:rsidR="00277D37" w:rsidRPr="00F543C1">
        <w:instrText xml:space="preserve"> REF _Ref124763519 \h </w:instrText>
      </w:r>
      <w:r w:rsidR="000177FE" w:rsidRPr="00F543C1">
        <w:instrText xml:space="preserve"> \* MERGEFORMAT </w:instrText>
      </w:r>
      <w:r w:rsidR="00277D37" w:rsidRPr="00F543C1">
        <w:fldChar w:fldCharType="separate"/>
      </w:r>
      <w:r w:rsidR="00E06351" w:rsidRPr="00F543C1">
        <w:t>Figure </w:t>
      </w:r>
      <w:r w:rsidR="00E06351">
        <w:t>4</w:t>
      </w:r>
      <w:r w:rsidR="00277D37" w:rsidRPr="00F543C1">
        <w:fldChar w:fldCharType="end"/>
      </w:r>
      <w:r w:rsidR="001E29AB" w:rsidRPr="00726346">
        <w:t xml:space="preserve">, a capable, </w:t>
      </w:r>
      <w:proofErr w:type="gramStart"/>
      <w:r w:rsidR="001E29AB" w:rsidRPr="00726346">
        <w:t>empowered</w:t>
      </w:r>
      <w:proofErr w:type="gramEnd"/>
      <w:r w:rsidR="001E29AB" w:rsidRPr="00726346">
        <w:t xml:space="preserve"> and trusted workforce that can help drive </w:t>
      </w:r>
      <w:r w:rsidR="004A4325" w:rsidRPr="00F543C1">
        <w:t xml:space="preserve">the </w:t>
      </w:r>
      <w:r w:rsidR="001E29AB" w:rsidRPr="00F543C1">
        <w:t xml:space="preserve">bottom-up transformation of the whole system based on </w:t>
      </w:r>
      <w:r w:rsidR="008B128E">
        <w:t>ongoing</w:t>
      </w:r>
      <w:r w:rsidR="008B128E" w:rsidRPr="00F543C1">
        <w:t xml:space="preserve"> </w:t>
      </w:r>
      <w:r w:rsidR="001E29AB" w:rsidRPr="00F543C1">
        <w:t>learning and improvement is needed. For this to occur, action will be required on two dimensions: lifting the capability of the workforce (including front-line staff, supervisors, managers, and executives) to provide multi-faceted assistance; and empowering them to change the level of assistance and the way it is delivered.</w:t>
      </w:r>
      <w:r w:rsidR="00BE015F" w:rsidRPr="009006D7">
        <w:rPr>
          <w:rStyle w:val="FootnoteReference"/>
        </w:rPr>
        <w:footnoteReference w:id="54"/>
      </w:r>
      <w:r w:rsidR="001E29AB" w:rsidRPr="00726346">
        <w:t xml:space="preserve"> As shown in </w:t>
      </w:r>
      <w:r w:rsidR="00120034" w:rsidRPr="00F543C1">
        <w:fldChar w:fldCharType="begin"/>
      </w:r>
      <w:r w:rsidR="00120034" w:rsidRPr="00F543C1">
        <w:instrText xml:space="preserve"> REF _Ref124862686 \h </w:instrText>
      </w:r>
      <w:r w:rsidR="000177FE" w:rsidRPr="00F543C1">
        <w:instrText xml:space="preserve"> \* MERGEFORMAT </w:instrText>
      </w:r>
      <w:r w:rsidR="00120034" w:rsidRPr="00F543C1">
        <w:fldChar w:fldCharType="separate"/>
      </w:r>
      <w:r w:rsidR="00E06351" w:rsidRPr="00F543C1">
        <w:t>Figure </w:t>
      </w:r>
      <w:r w:rsidR="00E06351">
        <w:t>5</w:t>
      </w:r>
      <w:r w:rsidR="00120034" w:rsidRPr="00F543C1">
        <w:fldChar w:fldCharType="end"/>
      </w:r>
      <w:r w:rsidR="006E6AC2" w:rsidRPr="00726346">
        <w:t>,</w:t>
      </w:r>
      <w:r w:rsidR="001E29AB" w:rsidRPr="00F543C1">
        <w:t xml:space="preserve"> we are currently largely in Quadrant E, with a system that cannot deliver the assistance required. We need to move to Quadrant G. But the move on the two dimensions of capability and power will need to occur together for the system to become fully effective.</w:t>
      </w:r>
    </w:p>
    <w:p w14:paraId="2ED932F6" w14:textId="3A47886F" w:rsidR="001E29AB" w:rsidRDefault="001E29AB" w:rsidP="001E29AB">
      <w:pPr>
        <w:pStyle w:val="FigureCaption"/>
      </w:pPr>
      <w:bookmarkStart w:id="69" w:name="_Ref124862686"/>
      <w:bookmarkStart w:id="70" w:name="_Ref125735284"/>
      <w:bookmarkStart w:id="71" w:name="_Toc126841236"/>
      <w:r w:rsidRPr="00F543C1">
        <w:lastRenderedPageBreak/>
        <w:t>Figure </w:t>
      </w:r>
      <w:r w:rsidRPr="00F543C1">
        <w:fldChar w:fldCharType="begin"/>
      </w:r>
      <w:r w:rsidRPr="00F543C1">
        <w:instrText>SEQ Figure \* ARABIC</w:instrText>
      </w:r>
      <w:r w:rsidRPr="00F543C1">
        <w:fldChar w:fldCharType="separate"/>
      </w:r>
      <w:r w:rsidR="00E06351">
        <w:rPr>
          <w:noProof/>
        </w:rPr>
        <w:t>5</w:t>
      </w:r>
      <w:r w:rsidRPr="00F543C1">
        <w:fldChar w:fldCharType="end"/>
      </w:r>
      <w:bookmarkEnd w:id="69"/>
      <w:r w:rsidRPr="00726346">
        <w:t xml:space="preserve"> An empowered, capable workforce is </w:t>
      </w:r>
      <w:proofErr w:type="gramStart"/>
      <w:r w:rsidRPr="00726346">
        <w:t>needed</w:t>
      </w:r>
      <w:bookmarkEnd w:id="70"/>
      <w:bookmarkEnd w:id="71"/>
      <w:proofErr w:type="gramEnd"/>
      <w:r w:rsidRPr="00726346">
        <w:t xml:space="preserve"> </w:t>
      </w:r>
    </w:p>
    <w:p w14:paraId="26C0D296" w14:textId="4CC798FE" w:rsidR="00265052" w:rsidRPr="00F543C1" w:rsidRDefault="00265052" w:rsidP="001E29AB">
      <w:pPr>
        <w:pStyle w:val="FigureCaption"/>
      </w:pPr>
      <w:r>
        <w:rPr>
          <w:noProof/>
        </w:rPr>
        <w:drawing>
          <wp:inline distT="0" distB="0" distL="0" distR="0" wp14:anchorId="20452184" wp14:editId="0794716D">
            <wp:extent cx="3555715" cy="3462655"/>
            <wp:effectExtent l="0" t="0" r="698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a:stretch>
                      <a:fillRect/>
                    </a:stretch>
                  </pic:blipFill>
                  <pic:spPr>
                    <a:xfrm>
                      <a:off x="0" y="0"/>
                      <a:ext cx="3573375" cy="3479853"/>
                    </a:xfrm>
                    <a:prstGeom prst="rect">
                      <a:avLst/>
                    </a:prstGeom>
                  </pic:spPr>
                </pic:pic>
              </a:graphicData>
            </a:graphic>
          </wp:inline>
        </w:drawing>
      </w:r>
    </w:p>
    <w:p w14:paraId="5D84D6B7" w14:textId="554C326E" w:rsidR="001E29AB" w:rsidRPr="00726346" w:rsidRDefault="001E29AB" w:rsidP="001E29AB">
      <w:pPr>
        <w:pStyle w:val="USPlaceholder"/>
        <w:rPr>
          <w:noProof w:val="0"/>
        </w:rPr>
      </w:pPr>
    </w:p>
    <w:p w14:paraId="4C2E1208" w14:textId="77777777" w:rsidR="001E29AB" w:rsidRPr="00F543C1" w:rsidRDefault="001E29AB" w:rsidP="001E29AB">
      <w:pPr>
        <w:pStyle w:val="USSource"/>
      </w:pPr>
      <w:r w:rsidRPr="00F543C1">
        <w:t>Source: The authors</w:t>
      </w:r>
    </w:p>
    <w:p w14:paraId="2C5F1684" w14:textId="340DFB13" w:rsidR="00146BF5" w:rsidRPr="00F543C1" w:rsidRDefault="00C1427E" w:rsidP="00AD08CD">
      <w:pPr>
        <w:pStyle w:val="USBodyText"/>
      </w:pPr>
      <w:r w:rsidRPr="00F543C1">
        <w:t>Note that this</w:t>
      </w:r>
      <w:r w:rsidR="00666B07" w:rsidRPr="00F543C1">
        <w:t xml:space="preserve"> figure</w:t>
      </w:r>
      <w:r w:rsidRPr="00F543C1">
        <w:t xml:space="preserve"> represents a best-case scenario</w:t>
      </w:r>
      <w:r w:rsidR="0078549F" w:rsidRPr="00F543C1">
        <w:t>. T</w:t>
      </w:r>
      <w:r w:rsidRPr="00F543C1">
        <w:t xml:space="preserve">here will </w:t>
      </w:r>
      <w:r w:rsidR="00A67F2C" w:rsidRPr="00F543C1">
        <w:t xml:space="preserve">always </w:t>
      </w:r>
      <w:r w:rsidRPr="00F543C1">
        <w:t xml:space="preserve">be circumstances in which </w:t>
      </w:r>
      <w:r w:rsidR="00FE7784" w:rsidRPr="00F543C1">
        <w:t>ongoing assistance will be needed, for example</w:t>
      </w:r>
      <w:r w:rsidR="0078549F" w:rsidRPr="00F543C1">
        <w:t>,</w:t>
      </w:r>
      <w:r w:rsidR="00FE7784" w:rsidRPr="00F543C1">
        <w:t xml:space="preserve"> </w:t>
      </w:r>
      <w:r w:rsidR="00CF409C" w:rsidRPr="00F543C1">
        <w:t xml:space="preserve">for </w:t>
      </w:r>
      <w:r w:rsidR="002D5B3E" w:rsidRPr="00F543C1">
        <w:t xml:space="preserve">some </w:t>
      </w:r>
      <w:r w:rsidR="00CF409C" w:rsidRPr="00F543C1">
        <w:t>people with severe mental</w:t>
      </w:r>
      <w:r w:rsidR="002D5B3E" w:rsidRPr="00F543C1">
        <w:t xml:space="preserve"> health conditions</w:t>
      </w:r>
      <w:r w:rsidR="00CF409C" w:rsidRPr="00F543C1">
        <w:t xml:space="preserve"> or physical disabilities.</w:t>
      </w:r>
      <w:r w:rsidR="002D5B3E" w:rsidRPr="00F543C1">
        <w:t xml:space="preserve"> </w:t>
      </w:r>
    </w:p>
    <w:p w14:paraId="1AAFB98A" w14:textId="4232A7E0" w:rsidR="00A20196" w:rsidRPr="00F543C1" w:rsidRDefault="00A20196" w:rsidP="00146BF5">
      <w:pPr>
        <w:pStyle w:val="Heading3"/>
      </w:pPr>
      <w:bookmarkStart w:id="72" w:name="_Toc126092090"/>
      <w:r w:rsidRPr="00F543C1">
        <w:t xml:space="preserve">Change from the top down and from the bottom </w:t>
      </w:r>
      <w:proofErr w:type="gramStart"/>
      <w:r w:rsidRPr="00F543C1">
        <w:t>up</w:t>
      </w:r>
      <w:bookmarkEnd w:id="72"/>
      <w:proofErr w:type="gramEnd"/>
    </w:p>
    <w:p w14:paraId="3CF21BA3" w14:textId="4DF06402" w:rsidR="00175072" w:rsidRPr="00F543C1" w:rsidRDefault="00241807" w:rsidP="001E29AB">
      <w:pPr>
        <w:pStyle w:val="USBodyText"/>
      </w:pPr>
      <w:r w:rsidRPr="00F543C1">
        <w:t>T</w:t>
      </w:r>
      <w:r w:rsidR="001E29AB" w:rsidRPr="00F543C1">
        <w:t xml:space="preserve">he pathway from what is not working to better outcomes </w:t>
      </w:r>
      <w:r w:rsidR="00AF172D" w:rsidRPr="00F543C1">
        <w:t>is complex. It involves</w:t>
      </w:r>
      <w:r w:rsidR="00304AF4" w:rsidRPr="00F543C1">
        <w:t xml:space="preserve"> </w:t>
      </w:r>
      <w:r w:rsidR="00393FAC" w:rsidRPr="00F543C1">
        <w:t xml:space="preserve">‘top-down’ </w:t>
      </w:r>
      <w:r w:rsidR="003F3E23" w:rsidRPr="00F543C1">
        <w:t xml:space="preserve">adjustments </w:t>
      </w:r>
      <w:r w:rsidR="002510BC" w:rsidRPr="00F543C1">
        <w:t>from the centre</w:t>
      </w:r>
      <w:r w:rsidR="00146BF5" w:rsidRPr="00F543C1">
        <w:t xml:space="preserve"> (also known as systems change)</w:t>
      </w:r>
      <w:r w:rsidR="002510BC" w:rsidRPr="00F543C1">
        <w:t xml:space="preserve">, as well as making space to </w:t>
      </w:r>
      <w:r w:rsidR="00720A80" w:rsidRPr="00F543C1">
        <w:t xml:space="preserve">enable the </w:t>
      </w:r>
      <w:r w:rsidR="002510BC" w:rsidRPr="00F543C1">
        <w:t>lived expertise of people experiencing persistent</w:t>
      </w:r>
      <w:r w:rsidR="00720A80" w:rsidRPr="00F543C1">
        <w:t xml:space="preserve"> disadvantage to inform and drive </w:t>
      </w:r>
      <w:r w:rsidR="00393FAC" w:rsidRPr="00F543C1">
        <w:t>change.</w:t>
      </w:r>
    </w:p>
    <w:p w14:paraId="58B0EFCB" w14:textId="2905A492" w:rsidR="007C397F" w:rsidRDefault="00BA7065" w:rsidP="003979E9">
      <w:pPr>
        <w:pStyle w:val="USBodyText"/>
      </w:pPr>
      <w:r w:rsidRPr="00F543C1">
        <w:t>T</w:t>
      </w:r>
      <w:r w:rsidR="00085F98" w:rsidRPr="00F543C1">
        <w:t>wo examples from the disability sector demonstrate what can be possible</w:t>
      </w:r>
      <w:r w:rsidR="005F2CC9" w:rsidRPr="00F543C1">
        <w:t xml:space="preserve"> but also </w:t>
      </w:r>
      <w:r w:rsidR="00BA09FC" w:rsidRPr="00F543C1">
        <w:t>highlight the limits of innovation without true system change</w:t>
      </w:r>
      <w:r w:rsidR="008F5644" w:rsidRPr="00F543C1">
        <w:t>.</w:t>
      </w:r>
      <w:r w:rsidR="0098784A">
        <w:t xml:space="preserve"> </w:t>
      </w:r>
      <w:r w:rsidR="0005485C">
        <w:fldChar w:fldCharType="begin"/>
      </w:r>
      <w:r w:rsidR="0005485C">
        <w:instrText xml:space="preserve"> REF Box1 \r \h </w:instrText>
      </w:r>
      <w:r w:rsidR="0005485C">
        <w:fldChar w:fldCharType="separate"/>
      </w:r>
      <w:r w:rsidR="00E06351">
        <w:t>Box 1</w:t>
      </w:r>
      <w:r w:rsidR="0005485C">
        <w:fldChar w:fldCharType="end"/>
      </w:r>
      <w:r w:rsidR="0005485C">
        <w:t xml:space="preserve"> </w:t>
      </w:r>
      <w:r w:rsidR="00DC403D" w:rsidRPr="00F543C1">
        <w:t>discusses</w:t>
      </w:r>
      <w:r w:rsidR="00241807" w:rsidRPr="00F543C1">
        <w:t xml:space="preserve"> </w:t>
      </w:r>
      <w:r w:rsidR="00D03FD5" w:rsidRPr="00F543C1">
        <w:t xml:space="preserve">Enabling Good Lives and </w:t>
      </w:r>
      <w:r w:rsidR="008F5644" w:rsidRPr="00F543C1">
        <w:t xml:space="preserve">Mana </w:t>
      </w:r>
      <w:proofErr w:type="spellStart"/>
      <w:r w:rsidR="008F5644" w:rsidRPr="00F543C1">
        <w:t>Whaikaha</w:t>
      </w:r>
      <w:proofErr w:type="spellEnd"/>
      <w:r w:rsidR="008F5644" w:rsidRPr="00F543C1">
        <w:t>,</w:t>
      </w:r>
      <w:r w:rsidR="00BE2934" w:rsidRPr="00F543C1">
        <w:t xml:space="preserve"> a navigator-based initiative operated by the former </w:t>
      </w:r>
      <w:proofErr w:type="spellStart"/>
      <w:r w:rsidR="00BE2934" w:rsidRPr="00F543C1">
        <w:t>MidCentral</w:t>
      </w:r>
      <w:proofErr w:type="spellEnd"/>
      <w:r w:rsidR="00BE2934" w:rsidRPr="00F543C1">
        <w:t xml:space="preserve"> DHB.</w:t>
      </w:r>
    </w:p>
    <w:tbl>
      <w:tblPr>
        <w:tblStyle w:val="TableDefault"/>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789"/>
      </w:tblGrid>
      <w:tr w:rsidR="007C397F" w:rsidRPr="00F543C1" w14:paraId="41E4D6FD" w14:textId="77777777">
        <w:trPr>
          <w:cnfStyle w:val="100000000000" w:firstRow="1" w:lastRow="0" w:firstColumn="0" w:lastColumn="0" w:oddVBand="0" w:evenVBand="0" w:oddHBand="0" w:evenHBand="0" w:firstRowFirstColumn="0" w:firstRowLastColumn="0" w:lastRowFirstColumn="0" w:lastRowLastColumn="0"/>
        </w:trPr>
        <w:tc>
          <w:tcPr>
            <w:tcW w:w="7789" w:type="dxa"/>
            <w:shd w:val="clear" w:color="auto" w:fill="C0EFFF"/>
          </w:tcPr>
          <w:p w14:paraId="076951A3" w14:textId="77777777" w:rsidR="007C397F" w:rsidRPr="00F543C1" w:rsidRDefault="007C397F">
            <w:pPr>
              <w:pStyle w:val="Box2"/>
            </w:pPr>
            <w:bookmarkStart w:id="73" w:name="Box1"/>
            <w:bookmarkStart w:id="74" w:name="_Toc126841252"/>
            <w:bookmarkEnd w:id="73"/>
            <w:r w:rsidRPr="00F543C1">
              <w:lastRenderedPageBreak/>
              <w:t xml:space="preserve">Enabling Good Lives and Mana </w:t>
            </w:r>
            <w:proofErr w:type="spellStart"/>
            <w:r w:rsidRPr="00F543C1">
              <w:t>Whaikaha</w:t>
            </w:r>
            <w:bookmarkEnd w:id="74"/>
            <w:proofErr w:type="spellEnd"/>
            <w:r w:rsidRPr="00F543C1">
              <w:t xml:space="preserve"> </w:t>
            </w:r>
          </w:p>
          <w:p w14:paraId="6E6D9E52" w14:textId="77777777" w:rsidR="007C397F" w:rsidRPr="00852078" w:rsidRDefault="007C397F" w:rsidP="00852078">
            <w:pPr>
              <w:pStyle w:val="USBodyText"/>
              <w:spacing w:line="240" w:lineRule="auto"/>
              <w:ind w:left="0"/>
              <w:rPr>
                <w:rFonts w:cs="Calibri"/>
                <w:sz w:val="18"/>
                <w:szCs w:val="18"/>
              </w:rPr>
            </w:pPr>
            <w:r w:rsidRPr="00852078">
              <w:rPr>
                <w:rFonts w:cs="Calibri"/>
                <w:sz w:val="18"/>
                <w:szCs w:val="18"/>
              </w:rPr>
              <w:t xml:space="preserve">A desire to provide more empowering options for disabled people and their families and whānau led the former Mid-Central District Health Board to pilot Mana </w:t>
            </w:r>
            <w:proofErr w:type="spellStart"/>
            <w:r w:rsidRPr="00852078">
              <w:rPr>
                <w:rFonts w:cs="Calibri"/>
                <w:sz w:val="18"/>
                <w:szCs w:val="18"/>
              </w:rPr>
              <w:t>Whaikaha</w:t>
            </w:r>
            <w:proofErr w:type="spellEnd"/>
            <w:r w:rsidRPr="00852078">
              <w:rPr>
                <w:rFonts w:cs="Calibri"/>
                <w:sz w:val="18"/>
                <w:szCs w:val="18"/>
              </w:rPr>
              <w:t>, a navigator-based initiative, beginning in 2018.</w:t>
            </w:r>
          </w:p>
          <w:p w14:paraId="7E5FB442" w14:textId="77777777" w:rsidR="007C397F" w:rsidRPr="00852078" w:rsidRDefault="007C397F" w:rsidP="00852078">
            <w:pPr>
              <w:pStyle w:val="USBodyText"/>
              <w:spacing w:line="240" w:lineRule="auto"/>
              <w:ind w:left="0"/>
              <w:rPr>
                <w:rFonts w:cs="Calibri"/>
                <w:sz w:val="18"/>
                <w:szCs w:val="18"/>
              </w:rPr>
            </w:pPr>
            <w:r w:rsidRPr="00852078">
              <w:rPr>
                <w:rFonts w:cs="Calibri"/>
                <w:sz w:val="18"/>
                <w:szCs w:val="18"/>
              </w:rPr>
              <w:t xml:space="preserve">Building on earlier Enabling Good Lives demonstration sites in Waikato and Christchurch, Mana </w:t>
            </w:r>
            <w:proofErr w:type="spellStart"/>
            <w:r w:rsidRPr="00852078">
              <w:rPr>
                <w:rFonts w:cs="Calibri"/>
                <w:sz w:val="18"/>
                <w:szCs w:val="18"/>
              </w:rPr>
              <w:t>Whaikaha</w:t>
            </w:r>
            <w:proofErr w:type="spellEnd"/>
            <w:r w:rsidRPr="00852078">
              <w:rPr>
                <w:rFonts w:cs="Calibri"/>
                <w:sz w:val="18"/>
                <w:szCs w:val="18"/>
              </w:rPr>
              <w:t xml:space="preserve"> was intended to give disabled people and their whānau more choice and control over their lives by providing more flexible support options and increasing their control over decision-making. The goal was to improve both system outcomes and cost-effectiveness. </w:t>
            </w:r>
          </w:p>
          <w:p w14:paraId="38934D93" w14:textId="691AFA7C" w:rsidR="007C397F" w:rsidRPr="00852078" w:rsidRDefault="007C397F" w:rsidP="00852078">
            <w:pPr>
              <w:pStyle w:val="USBodyText"/>
              <w:spacing w:line="240" w:lineRule="auto"/>
              <w:ind w:left="0"/>
              <w:rPr>
                <w:rFonts w:cs="Calibri"/>
                <w:iCs/>
                <w:sz w:val="18"/>
                <w:szCs w:val="18"/>
              </w:rPr>
            </w:pPr>
            <w:r w:rsidRPr="00852078">
              <w:rPr>
                <w:rFonts w:cs="Calibri"/>
                <w:sz w:val="18"/>
                <w:szCs w:val="18"/>
              </w:rPr>
              <w:t xml:space="preserve">While stakeholders in the disability sector welcomed the increase in choice and control the pilot provided, the extent of demand for the new service was not anticipated, and Mana </w:t>
            </w:r>
            <w:proofErr w:type="spellStart"/>
            <w:r w:rsidRPr="00852078">
              <w:rPr>
                <w:rFonts w:cs="Calibri"/>
                <w:sz w:val="18"/>
                <w:szCs w:val="18"/>
              </w:rPr>
              <w:t>Whaikaha</w:t>
            </w:r>
            <w:proofErr w:type="spellEnd"/>
            <w:r w:rsidRPr="00852078">
              <w:rPr>
                <w:rFonts w:cs="Calibri"/>
                <w:sz w:val="18"/>
                <w:szCs w:val="18"/>
              </w:rPr>
              <w:t xml:space="preserve"> did not have the resources to meet it. The service was overwhelmed as soon as it was launched, and both staff and the more than 400 disabled people and their whānau who were waitlisted as a result experienced considerable stress and frustration. Planned ratios of </w:t>
            </w:r>
            <w:proofErr w:type="spellStart"/>
            <w:r w:rsidRPr="00852078">
              <w:rPr>
                <w:rFonts w:cs="Calibri"/>
                <w:sz w:val="18"/>
                <w:szCs w:val="18"/>
              </w:rPr>
              <w:t>kait</w:t>
            </w:r>
            <w:r w:rsidRPr="00852078">
              <w:rPr>
                <w:rStyle w:val="cf01"/>
                <w:rFonts w:ascii="Calibri" w:hAnsi="Calibri" w:cs="Calibri"/>
              </w:rPr>
              <w:t>ū</w:t>
            </w:r>
            <w:r w:rsidRPr="00852078">
              <w:rPr>
                <w:rFonts w:cs="Calibri"/>
                <w:sz w:val="18"/>
                <w:szCs w:val="18"/>
              </w:rPr>
              <w:t>hono</w:t>
            </w:r>
            <w:proofErr w:type="spellEnd"/>
            <w:r w:rsidRPr="00852078">
              <w:rPr>
                <w:rFonts w:cs="Calibri"/>
                <w:sz w:val="18"/>
                <w:szCs w:val="18"/>
              </w:rPr>
              <w:t xml:space="preserve"> (navigators) to staff were reduced from 1:45 to 1:100, straining service delivery </w:t>
            </w:r>
            <w:r w:rsidRPr="00852078">
              <w:rPr>
                <w:rFonts w:cs="Calibri"/>
                <w:sz w:val="18"/>
                <w:szCs w:val="18"/>
                <w:u w:val="dash"/>
              </w:rPr>
              <w:fldChar w:fldCharType="begin"/>
            </w:r>
            <w:r w:rsidR="009B0EC4">
              <w:rPr>
                <w:rFonts w:cs="Calibri"/>
                <w:sz w:val="18"/>
                <w:szCs w:val="18"/>
                <w:u w:val="dash"/>
              </w:rPr>
              <w:instrText xml:space="preserve"> ADDIN ZOTERO_ITEM CSL_CITATION {"citationID":"uNpIWsDc","properties":{"formattedCitation":"(Lovelock 2020, 25)","plainCitation":"(Lovelock 2020, 25)","noteIndex":0},"citationItems":[{"id":17117,"uris":["http://zotero.org/groups/4801058/items/4699TLCJ"],"itemData":{"id":17117,"type":"report","note":"Allen+Clark","publisher":"Allen &amp; Clarke","title":"Implementation evaluation of Mana Whaikaha system transformation","URL":"https://manawhaikaha.co.nz/assets/Uploads/Mana-Whaikaha-Implementation-Evaluation-Final-Version-3-March-2020-002.pdf","author":[{"family":"Lovelock","given":"Kirsten"}],"accessed":{"date-parts":[["2022",11,22]]},"issued":{"date-parts":[["2020"]]}},"locator":"25","label":"page"}],"schema":"https://github.com/citation-style-language/schema/raw/master/csl-citation.json"} </w:instrText>
            </w:r>
            <w:r w:rsidRPr="00852078">
              <w:rPr>
                <w:rFonts w:cs="Calibri"/>
                <w:sz w:val="18"/>
                <w:szCs w:val="18"/>
                <w:u w:val="dash"/>
              </w:rPr>
              <w:fldChar w:fldCharType="separate"/>
            </w:r>
            <w:r w:rsidRPr="00852078">
              <w:rPr>
                <w:rFonts w:cs="Calibri"/>
                <w:sz w:val="18"/>
                <w:szCs w:val="18"/>
              </w:rPr>
              <w:t>(Lovelock 2020, 25)</w:t>
            </w:r>
            <w:r w:rsidRPr="00852078">
              <w:rPr>
                <w:rFonts w:cs="Calibri"/>
                <w:sz w:val="18"/>
                <w:szCs w:val="18"/>
                <w:u w:val="dash"/>
              </w:rPr>
              <w:fldChar w:fldCharType="end"/>
            </w:r>
            <w:r w:rsidRPr="00852078">
              <w:rPr>
                <w:rFonts w:cs="Calibri"/>
                <w:sz w:val="18"/>
                <w:szCs w:val="18"/>
                <w:u w:val="dash"/>
              </w:rPr>
              <w:t xml:space="preserve"> and damaging relationships</w:t>
            </w:r>
            <w:r w:rsidRPr="00852078">
              <w:rPr>
                <w:rFonts w:cs="Calibri"/>
                <w:sz w:val="18"/>
                <w:szCs w:val="18"/>
              </w:rPr>
              <w:t xml:space="preserve">. A lack of available services, including mental health support and respite care, limited navigators’ ability to refer people to the help they needed </w:t>
            </w:r>
            <w:r w:rsidRPr="00852078">
              <w:rPr>
                <w:rFonts w:cs="Calibri"/>
                <w:iCs/>
                <w:sz w:val="18"/>
                <w:szCs w:val="18"/>
              </w:rPr>
              <w:fldChar w:fldCharType="begin"/>
            </w:r>
            <w:r w:rsidR="009B0EC4">
              <w:rPr>
                <w:rFonts w:cs="Calibri"/>
                <w:iCs/>
                <w:sz w:val="18"/>
                <w:szCs w:val="18"/>
              </w:rPr>
              <w:instrText xml:space="preserve"> ADDIN ZOTERO_ITEM CSL_CITATION {"citationID":"B3Ikev8j","properties":{"formattedCitation":"(Fry 2022, 4)","plainCitation":"(Fry 2022, 4)","noteIndex":0},"citationItems":[{"id":18461,"uris":["http://zotero.org/groups/4801058/items/Y4XY6L7J"],"itemData":{"id":18461,"type":"report","event-place":"Wellington","publisher":"Productivity Commission","publisher-place":"Wellington","title":"Together alone: A review of joined-up social services","URL":"https://www.productivity.govt.nz/assets/Documents/Together-alone_A-review-of-joined-up-social-services.pdf","author":[{"family":"Fry","given":"Julie"}],"accessed":{"date-parts":[["2023",1,15]]},"issued":{"date-parts":[["2022"]]}},"locator":"4","label":"page"}],"schema":"https://github.com/citation-style-language/schema/raw/master/csl-citation.json"} </w:instrText>
            </w:r>
            <w:r w:rsidRPr="00852078">
              <w:rPr>
                <w:rFonts w:cs="Calibri"/>
                <w:iCs/>
                <w:sz w:val="18"/>
                <w:szCs w:val="18"/>
              </w:rPr>
              <w:fldChar w:fldCharType="separate"/>
            </w:r>
            <w:r w:rsidR="00660BDF" w:rsidRPr="00660BDF">
              <w:rPr>
                <w:rFonts w:cs="Calibri"/>
                <w:sz w:val="18"/>
              </w:rPr>
              <w:t>(Fry 2022, 4)</w:t>
            </w:r>
            <w:r w:rsidRPr="00852078">
              <w:rPr>
                <w:rFonts w:cs="Calibri"/>
                <w:iCs/>
                <w:sz w:val="18"/>
                <w:szCs w:val="18"/>
              </w:rPr>
              <w:fldChar w:fldCharType="end"/>
            </w:r>
            <w:r w:rsidRPr="00852078">
              <w:rPr>
                <w:rFonts w:cs="Calibri"/>
                <w:iCs/>
                <w:sz w:val="18"/>
                <w:szCs w:val="18"/>
              </w:rPr>
              <w:t xml:space="preserve">. </w:t>
            </w:r>
          </w:p>
          <w:p w14:paraId="0613D526" w14:textId="127067AE" w:rsidR="007C397F" w:rsidRPr="00F543C1" w:rsidRDefault="007C397F" w:rsidP="00852078">
            <w:pPr>
              <w:pStyle w:val="USBodyText"/>
              <w:spacing w:line="240" w:lineRule="auto"/>
              <w:ind w:left="0"/>
            </w:pPr>
            <w:r w:rsidRPr="00852078">
              <w:rPr>
                <w:rFonts w:cs="Calibri"/>
                <w:iCs/>
                <w:sz w:val="18"/>
                <w:szCs w:val="18"/>
              </w:rPr>
              <w:t xml:space="preserve">An evaluation of Mana </w:t>
            </w:r>
            <w:proofErr w:type="spellStart"/>
            <w:r w:rsidRPr="00852078">
              <w:rPr>
                <w:rFonts w:cs="Calibri"/>
                <w:iCs/>
                <w:sz w:val="18"/>
                <w:szCs w:val="18"/>
              </w:rPr>
              <w:t>Whaikaha</w:t>
            </w:r>
            <w:proofErr w:type="spellEnd"/>
            <w:r w:rsidRPr="00852078">
              <w:rPr>
                <w:rFonts w:cs="Calibri"/>
                <w:iCs/>
                <w:sz w:val="18"/>
                <w:szCs w:val="18"/>
              </w:rPr>
              <w:t xml:space="preserve"> noted that there was also more to do in terms of understanding and responding to cultural needs and perspectives, including meeting obligations under </w:t>
            </w:r>
            <w:proofErr w:type="spellStart"/>
            <w:r w:rsidRPr="00852078">
              <w:rPr>
                <w:rFonts w:cs="Calibri"/>
                <w:iCs/>
                <w:sz w:val="18"/>
                <w:szCs w:val="18"/>
              </w:rPr>
              <w:t>Te</w:t>
            </w:r>
            <w:proofErr w:type="spellEnd"/>
            <w:r w:rsidRPr="00852078">
              <w:rPr>
                <w:rFonts w:cs="Calibri"/>
                <w:iCs/>
                <w:sz w:val="18"/>
                <w:szCs w:val="18"/>
              </w:rPr>
              <w:t xml:space="preserve"> </w:t>
            </w:r>
            <w:proofErr w:type="spellStart"/>
            <w:r w:rsidRPr="00852078">
              <w:rPr>
                <w:rFonts w:cs="Calibri"/>
                <w:iCs/>
                <w:sz w:val="18"/>
                <w:szCs w:val="18"/>
              </w:rPr>
              <w:t>Tiriti</w:t>
            </w:r>
            <w:proofErr w:type="spellEnd"/>
            <w:r w:rsidRPr="00852078">
              <w:rPr>
                <w:rFonts w:cs="Calibri"/>
                <w:iCs/>
                <w:sz w:val="18"/>
                <w:szCs w:val="18"/>
              </w:rPr>
              <w:t xml:space="preserve"> o Waitangi </w:t>
            </w:r>
            <w:r w:rsidRPr="00852078">
              <w:rPr>
                <w:rFonts w:cs="Calibri"/>
                <w:iCs/>
                <w:sz w:val="18"/>
                <w:szCs w:val="18"/>
              </w:rPr>
              <w:fldChar w:fldCharType="begin"/>
            </w:r>
            <w:r w:rsidR="009B0EC4">
              <w:rPr>
                <w:rFonts w:cs="Calibri"/>
                <w:iCs/>
                <w:sz w:val="18"/>
                <w:szCs w:val="18"/>
              </w:rPr>
              <w:instrText xml:space="preserve"> ADDIN ZOTERO_ITEM CSL_CITATION {"citationID":"bZVrnPr2","properties":{"formattedCitation":"(Lovelock 2020, 51)","plainCitation":"(Lovelock 2020, 51)","noteIndex":0},"citationItems":[{"id":17117,"uris":["http://zotero.org/groups/4801058/items/4699TLCJ"],"itemData":{"id":17117,"type":"report","note":"Allen+Clark","publisher":"Allen &amp; Clarke","title":"Implementation evaluation of Mana Whaikaha system transformation","URL":"https://manawhaikaha.co.nz/assets/Uploads/Mana-Whaikaha-Implementation-Evaluation-Final-Version-3-March-2020-002.pdf","author":[{"family":"Lovelock","given":"Kirsten"}],"accessed":{"date-parts":[["2022",11,22]]},"issued":{"date-parts":[["2020"]]}},"locator":"51","label":"page"}],"schema":"https://github.com/citation-style-language/schema/raw/master/csl-citation.json"} </w:instrText>
            </w:r>
            <w:r w:rsidRPr="00852078">
              <w:rPr>
                <w:rFonts w:cs="Calibri"/>
                <w:iCs/>
                <w:sz w:val="18"/>
                <w:szCs w:val="18"/>
              </w:rPr>
              <w:fldChar w:fldCharType="separate"/>
            </w:r>
            <w:r w:rsidRPr="00852078">
              <w:rPr>
                <w:rFonts w:cs="Calibri"/>
                <w:sz w:val="18"/>
                <w:szCs w:val="18"/>
              </w:rPr>
              <w:t>(Lovelock 2020, 51)</w:t>
            </w:r>
            <w:r w:rsidRPr="00852078">
              <w:rPr>
                <w:rFonts w:cs="Calibri"/>
                <w:iCs/>
                <w:sz w:val="18"/>
                <w:szCs w:val="18"/>
              </w:rPr>
              <w:fldChar w:fldCharType="end"/>
            </w:r>
            <w:r w:rsidRPr="00852078">
              <w:rPr>
                <w:rFonts w:cs="Calibri"/>
                <w:iCs/>
                <w:sz w:val="18"/>
                <w:szCs w:val="18"/>
              </w:rPr>
              <w:t xml:space="preserve">. That </w:t>
            </w:r>
            <w:proofErr w:type="gramStart"/>
            <w:r w:rsidRPr="00852078">
              <w:rPr>
                <w:rFonts w:cs="Calibri"/>
                <w:iCs/>
                <w:sz w:val="18"/>
                <w:szCs w:val="18"/>
              </w:rPr>
              <w:t>said,</w:t>
            </w:r>
            <w:proofErr w:type="gramEnd"/>
            <w:r w:rsidRPr="00852078">
              <w:rPr>
                <w:rFonts w:cs="Calibri"/>
                <w:iCs/>
                <w:sz w:val="18"/>
                <w:szCs w:val="18"/>
              </w:rPr>
              <w:t xml:space="preserve"> that demand so substantially outstripped supply suggests that disabled people and their families </w:t>
            </w:r>
            <w:r w:rsidRPr="00852078">
              <w:rPr>
                <w:rFonts w:cs="Calibri"/>
                <w:sz w:val="18"/>
                <w:szCs w:val="18"/>
              </w:rPr>
              <w:t xml:space="preserve">and whānau </w:t>
            </w:r>
            <w:r w:rsidRPr="00852078">
              <w:rPr>
                <w:rFonts w:cs="Calibri"/>
                <w:iCs/>
                <w:sz w:val="18"/>
                <w:szCs w:val="18"/>
              </w:rPr>
              <w:t>viewed the increase in choice and control as desirable.</w:t>
            </w:r>
          </w:p>
        </w:tc>
      </w:tr>
    </w:tbl>
    <w:p w14:paraId="12D90177" w14:textId="77777777" w:rsidR="007C397F" w:rsidRDefault="007C397F" w:rsidP="003979E9">
      <w:pPr>
        <w:pStyle w:val="USBodyText"/>
      </w:pPr>
    </w:p>
    <w:p w14:paraId="64014CE9" w14:textId="54BCBB07" w:rsidR="001E29AB" w:rsidRPr="00F543C1" w:rsidRDefault="0005485C" w:rsidP="003979E9">
      <w:pPr>
        <w:pStyle w:val="USBodyText"/>
      </w:pPr>
      <w:r>
        <w:fldChar w:fldCharType="begin"/>
      </w:r>
      <w:r>
        <w:instrText xml:space="preserve"> REF Box2 \r \h </w:instrText>
      </w:r>
      <w:r>
        <w:fldChar w:fldCharType="separate"/>
      </w:r>
      <w:r w:rsidR="00E06351">
        <w:t>Box 2</w:t>
      </w:r>
      <w:r>
        <w:fldChar w:fldCharType="end"/>
      </w:r>
      <w:r w:rsidR="007F738A">
        <w:t xml:space="preserve"> </w:t>
      </w:r>
      <w:r w:rsidR="00D03FD5" w:rsidRPr="00F543C1">
        <w:t xml:space="preserve">examines the </w:t>
      </w:r>
      <w:proofErr w:type="spellStart"/>
      <w:r w:rsidR="00D03FD5" w:rsidRPr="00F543C1">
        <w:t>Tagata</w:t>
      </w:r>
      <w:proofErr w:type="spellEnd"/>
      <w:r w:rsidR="00D03FD5" w:rsidRPr="00F543C1">
        <w:t xml:space="preserve"> </w:t>
      </w:r>
      <w:proofErr w:type="spellStart"/>
      <w:r w:rsidR="00D03FD5" w:rsidRPr="00F543C1">
        <w:t>Sa’ilimalo</w:t>
      </w:r>
      <w:proofErr w:type="spellEnd"/>
      <w:r w:rsidR="00D03FD5" w:rsidRPr="00F543C1">
        <w:t xml:space="preserve"> Strategic Framework developed by the grassroots </w:t>
      </w:r>
      <w:proofErr w:type="spellStart"/>
      <w:r w:rsidR="00D03FD5" w:rsidRPr="00F543C1">
        <w:t>Tōfā</w:t>
      </w:r>
      <w:proofErr w:type="spellEnd"/>
      <w:r w:rsidR="00D03FD5" w:rsidRPr="00F543C1">
        <w:t xml:space="preserve"> </w:t>
      </w:r>
      <w:proofErr w:type="spellStart"/>
      <w:r w:rsidR="00D03FD5" w:rsidRPr="00F543C1">
        <w:t>Mamao</w:t>
      </w:r>
      <w:proofErr w:type="spellEnd"/>
      <w:r w:rsidR="00D03FD5" w:rsidRPr="00F543C1">
        <w:t xml:space="preserve"> Collective.</w:t>
      </w:r>
      <w:r w:rsidR="003979E9" w:rsidRPr="00F543C1">
        <w:t xml:space="preserve"> </w:t>
      </w:r>
      <w:r w:rsidR="00D03FD5" w:rsidRPr="00F543C1">
        <w:t xml:space="preserve">The Collective drew on Enabling Good Lives principles embedded in Pacific values to build the future resilience of </w:t>
      </w:r>
      <w:proofErr w:type="spellStart"/>
      <w:r w:rsidR="00D03FD5" w:rsidRPr="00F543C1">
        <w:t>tagata</w:t>
      </w:r>
      <w:proofErr w:type="spellEnd"/>
      <w:r w:rsidR="00D03FD5" w:rsidRPr="00F543C1">
        <w:t xml:space="preserve"> </w:t>
      </w:r>
      <w:proofErr w:type="spellStart"/>
      <w:r w:rsidR="00D03FD5" w:rsidRPr="00F543C1">
        <w:t>sa</w:t>
      </w:r>
      <w:r w:rsidR="006D54E3" w:rsidRPr="00F543C1">
        <w:t>’</w:t>
      </w:r>
      <w:r w:rsidR="00D03FD5" w:rsidRPr="00F543C1">
        <w:t>ilimalo</w:t>
      </w:r>
      <w:proofErr w:type="spellEnd"/>
      <w:r w:rsidR="00D03FD5" w:rsidRPr="00F543C1">
        <w:t xml:space="preserve"> and Pacific communities and position them to lead </w:t>
      </w:r>
      <w:r w:rsidR="00D03FD5" w:rsidRPr="00F543C1">
        <w:fldChar w:fldCharType="begin"/>
      </w:r>
      <w:r w:rsidR="009B0EC4">
        <w:instrText xml:space="preserve"> ADDIN ZOTERO_ITEM CSL_CITATION {"citationID":"cnWiTjJ0","properties":{"formattedCitation":"(T\\uc0\\u333{}f\\uc0\\u257{} Mamao Collective 2022, 16)","plainCitation":"(Tōfā Mamao Collective 2022, 16)","noteIndex":0},"citationItems":[{"id":18124,"uris":["http://zotero.org/groups/4801058/items/P3CPBU4M"],"itemData":{"id":18124,"type":"report","title":"Tagata Sa’ilimalo Strategic Framework","author":[{"family":"Tōfā Mamao Collective","given":""}],"issued":{"date-parts":[["2022"]]}},"locator":"16","label":"page"}],"schema":"https://github.com/citation-style-language/schema/raw/master/csl-citation.json"} </w:instrText>
      </w:r>
      <w:r w:rsidR="00D03FD5" w:rsidRPr="00F543C1">
        <w:fldChar w:fldCharType="separate"/>
      </w:r>
      <w:r w:rsidR="00D03FD5" w:rsidRPr="00F543C1">
        <w:rPr>
          <w:rFonts w:cs="Calibri"/>
          <w:szCs w:val="24"/>
        </w:rPr>
        <w:t>(Tōfā Mamao Collective 2022, 16)</w:t>
      </w:r>
      <w:r w:rsidR="00D03FD5" w:rsidRPr="00F543C1">
        <w:fldChar w:fldCharType="end"/>
      </w:r>
      <w:r w:rsidR="00D03FD5" w:rsidRPr="00726346">
        <w:t>.</w:t>
      </w:r>
    </w:p>
    <w:tbl>
      <w:tblPr>
        <w:tblStyle w:val="TableDefault"/>
        <w:tblW w:w="7969" w:type="dxa"/>
        <w:tblBorders>
          <w:top w:val="none" w:sz="0" w:space="0" w:color="auto"/>
          <w:bottom w:val="none" w:sz="0" w:space="0" w:color="auto"/>
          <w:insideH w:val="none" w:sz="0" w:space="0" w:color="auto"/>
        </w:tblBorders>
        <w:shd w:val="clear" w:color="auto" w:fill="C0EFFF" w:themeFill="accent1" w:themeFillTint="33"/>
        <w:tblLook w:val="04A0" w:firstRow="1" w:lastRow="0" w:firstColumn="1" w:lastColumn="0" w:noHBand="0" w:noVBand="1"/>
      </w:tblPr>
      <w:tblGrid>
        <w:gridCol w:w="7969"/>
      </w:tblGrid>
      <w:tr w:rsidR="001E29AB" w:rsidRPr="00F543C1" w14:paraId="18B1E513" w14:textId="77777777" w:rsidTr="001330C6">
        <w:trPr>
          <w:cnfStyle w:val="100000000000" w:firstRow="1" w:lastRow="0" w:firstColumn="0" w:lastColumn="0" w:oddVBand="0" w:evenVBand="0" w:oddHBand="0" w:evenHBand="0" w:firstRowFirstColumn="0" w:firstRowLastColumn="0" w:lastRowFirstColumn="0" w:lastRowLastColumn="0"/>
        </w:trPr>
        <w:tc>
          <w:tcPr>
            <w:tcW w:w="7969" w:type="dxa"/>
            <w:shd w:val="clear" w:color="auto" w:fill="C0EFFF" w:themeFill="accent1" w:themeFillTint="33"/>
          </w:tcPr>
          <w:p w14:paraId="57D716A3" w14:textId="437274EB" w:rsidR="001E29AB" w:rsidRPr="00F543C1" w:rsidRDefault="001E29AB" w:rsidP="00084E7E">
            <w:pPr>
              <w:pStyle w:val="Box2"/>
            </w:pPr>
            <w:bookmarkStart w:id="75" w:name="_Toc126092154"/>
            <w:bookmarkStart w:id="76" w:name="_Toc126841253"/>
            <w:bookmarkStart w:id="77" w:name="Box2"/>
            <w:r w:rsidRPr="00F543C1">
              <w:lastRenderedPageBreak/>
              <w:t>Community-led transformation of disability assistance</w:t>
            </w:r>
            <w:bookmarkEnd w:id="75"/>
            <w:bookmarkEnd w:id="76"/>
          </w:p>
          <w:bookmarkEnd w:id="77"/>
          <w:p w14:paraId="718C51CA" w14:textId="465BE4AD" w:rsidR="001E29AB" w:rsidRPr="00852078" w:rsidRDefault="001E29AB" w:rsidP="00852078">
            <w:pPr>
              <w:pStyle w:val="USBodyText"/>
              <w:spacing w:line="240" w:lineRule="auto"/>
              <w:ind w:left="0"/>
              <w:rPr>
                <w:sz w:val="18"/>
                <w:szCs w:val="18"/>
              </w:rPr>
            </w:pPr>
            <w:r w:rsidRPr="00852078">
              <w:rPr>
                <w:sz w:val="18"/>
                <w:szCs w:val="18"/>
              </w:rPr>
              <w:t xml:space="preserve">Despite ongoing transformation in the sector, outcomes for </w:t>
            </w:r>
            <w:proofErr w:type="spellStart"/>
            <w:r w:rsidRPr="00852078">
              <w:rPr>
                <w:sz w:val="18"/>
                <w:szCs w:val="18"/>
              </w:rPr>
              <w:t>tagata</w:t>
            </w:r>
            <w:proofErr w:type="spellEnd"/>
            <w:r w:rsidRPr="00852078">
              <w:rPr>
                <w:sz w:val="18"/>
                <w:szCs w:val="18"/>
              </w:rPr>
              <w:t xml:space="preserve"> </w:t>
            </w:r>
            <w:proofErr w:type="spellStart"/>
            <w:r w:rsidRPr="00852078">
              <w:rPr>
                <w:sz w:val="18"/>
                <w:szCs w:val="18"/>
              </w:rPr>
              <w:t>sa’ilimalo</w:t>
            </w:r>
            <w:proofErr w:type="spellEnd"/>
            <w:r w:rsidRPr="00852078">
              <w:rPr>
                <w:sz w:val="18"/>
                <w:szCs w:val="18"/>
              </w:rPr>
              <w:t xml:space="preserve"> are “stubbornly suboptimal”. The </w:t>
            </w:r>
            <w:proofErr w:type="spellStart"/>
            <w:r w:rsidRPr="00852078">
              <w:rPr>
                <w:sz w:val="18"/>
                <w:szCs w:val="18"/>
              </w:rPr>
              <w:t>Tōfā</w:t>
            </w:r>
            <w:proofErr w:type="spellEnd"/>
            <w:r w:rsidRPr="00852078">
              <w:rPr>
                <w:sz w:val="18"/>
                <w:szCs w:val="18"/>
              </w:rPr>
              <w:t xml:space="preserve"> </w:t>
            </w:r>
            <w:proofErr w:type="spellStart"/>
            <w:r w:rsidRPr="00852078">
              <w:rPr>
                <w:sz w:val="18"/>
                <w:szCs w:val="18"/>
              </w:rPr>
              <w:t>Mamao</w:t>
            </w:r>
            <w:proofErr w:type="spellEnd"/>
            <w:r w:rsidRPr="00852078">
              <w:rPr>
                <w:sz w:val="18"/>
                <w:szCs w:val="18"/>
              </w:rPr>
              <w:t xml:space="preserve"> Collective explains how the community has responded:</w:t>
            </w:r>
            <w:r w:rsidRPr="009006D7">
              <w:rPr>
                <w:rStyle w:val="FootnoteReference"/>
              </w:rPr>
              <w:footnoteReference w:id="55"/>
            </w:r>
            <w:r w:rsidRPr="00852078">
              <w:rPr>
                <w:sz w:val="18"/>
                <w:szCs w:val="18"/>
              </w:rPr>
              <w:t xml:space="preserve"> </w:t>
            </w:r>
          </w:p>
          <w:p w14:paraId="2F2AA5C6" w14:textId="35DA30FF" w:rsidR="001E29AB" w:rsidRPr="00852078" w:rsidRDefault="001E29AB" w:rsidP="00852078">
            <w:pPr>
              <w:pStyle w:val="USBodyText"/>
              <w:spacing w:line="240" w:lineRule="auto"/>
              <w:ind w:left="390"/>
              <w:rPr>
                <w:i/>
                <w:iCs/>
                <w:sz w:val="18"/>
                <w:szCs w:val="18"/>
              </w:rPr>
            </w:pPr>
            <w:proofErr w:type="spellStart"/>
            <w:r w:rsidRPr="00852078">
              <w:rPr>
                <w:i/>
                <w:iCs/>
                <w:sz w:val="18"/>
                <w:szCs w:val="18"/>
              </w:rPr>
              <w:t>Tagata</w:t>
            </w:r>
            <w:proofErr w:type="spellEnd"/>
            <w:r w:rsidRPr="00852078">
              <w:rPr>
                <w:i/>
                <w:iCs/>
                <w:sz w:val="18"/>
                <w:szCs w:val="18"/>
              </w:rPr>
              <w:t xml:space="preserve"> </w:t>
            </w:r>
            <w:proofErr w:type="spellStart"/>
            <w:r w:rsidRPr="00852078">
              <w:rPr>
                <w:i/>
                <w:iCs/>
                <w:sz w:val="18"/>
                <w:szCs w:val="18"/>
              </w:rPr>
              <w:t>Sa’ilimalo</w:t>
            </w:r>
            <w:proofErr w:type="spellEnd"/>
            <w:r w:rsidRPr="00852078">
              <w:rPr>
                <w:i/>
                <w:iCs/>
                <w:sz w:val="18"/>
                <w:szCs w:val="18"/>
              </w:rPr>
              <w:t xml:space="preserve"> (</w:t>
            </w:r>
            <w:proofErr w:type="spellStart"/>
            <w:r w:rsidRPr="00852078">
              <w:rPr>
                <w:i/>
                <w:iCs/>
                <w:sz w:val="18"/>
                <w:szCs w:val="18"/>
              </w:rPr>
              <w:t>tagata</w:t>
            </w:r>
            <w:proofErr w:type="spellEnd"/>
            <w:r w:rsidRPr="00852078">
              <w:rPr>
                <w:i/>
                <w:iCs/>
                <w:sz w:val="18"/>
                <w:szCs w:val="18"/>
              </w:rPr>
              <w:t xml:space="preserve"> = people or </w:t>
            </w:r>
            <w:proofErr w:type="gramStart"/>
            <w:r w:rsidRPr="00852078">
              <w:rPr>
                <w:i/>
                <w:iCs/>
                <w:sz w:val="18"/>
                <w:szCs w:val="18"/>
              </w:rPr>
              <w:t>person</w:t>
            </w:r>
            <w:proofErr w:type="gramEnd"/>
            <w:r w:rsidRPr="00852078">
              <w:rPr>
                <w:i/>
                <w:iCs/>
                <w:sz w:val="18"/>
                <w:szCs w:val="18"/>
              </w:rPr>
              <w:t xml:space="preserve">, </w:t>
            </w:r>
            <w:proofErr w:type="spellStart"/>
            <w:r w:rsidRPr="00852078">
              <w:rPr>
                <w:i/>
                <w:iCs/>
                <w:sz w:val="18"/>
                <w:szCs w:val="18"/>
              </w:rPr>
              <w:t>sa’ilimalo</w:t>
            </w:r>
            <w:proofErr w:type="spellEnd"/>
            <w:r w:rsidRPr="00852078">
              <w:rPr>
                <w:i/>
                <w:iCs/>
                <w:sz w:val="18"/>
                <w:szCs w:val="18"/>
              </w:rPr>
              <w:t xml:space="preserve"> = pursuit of success) is a new vision of Pacific disability in Aotearoa and also a term of identity to replace “Pacific disabled people, their families, and carers/supporters.” </w:t>
            </w:r>
            <w:proofErr w:type="spellStart"/>
            <w:r w:rsidRPr="00852078">
              <w:rPr>
                <w:i/>
                <w:iCs/>
                <w:sz w:val="18"/>
                <w:szCs w:val="18"/>
              </w:rPr>
              <w:t>Tagata</w:t>
            </w:r>
            <w:proofErr w:type="spellEnd"/>
            <w:r w:rsidRPr="00852078">
              <w:rPr>
                <w:i/>
                <w:iCs/>
                <w:sz w:val="18"/>
                <w:szCs w:val="18"/>
              </w:rPr>
              <w:t xml:space="preserve"> </w:t>
            </w:r>
            <w:proofErr w:type="spellStart"/>
            <w:r w:rsidRPr="00852078">
              <w:rPr>
                <w:i/>
                <w:iCs/>
                <w:sz w:val="18"/>
                <w:szCs w:val="18"/>
              </w:rPr>
              <w:t>Sa’ilimalo</w:t>
            </w:r>
            <w:proofErr w:type="spellEnd"/>
            <w:r w:rsidRPr="00852078">
              <w:rPr>
                <w:i/>
                <w:iCs/>
                <w:sz w:val="18"/>
                <w:szCs w:val="18"/>
              </w:rPr>
              <w:t xml:space="preserve"> is an aspirational vision of the pursuit of success underpinned by sheer determination and sustained by the collective vitality of Pacific peoples. It is a vision that reflects the hopes of the disability community to imagine better for their future… The vision is inclusive of all Pacific peoples in Aotearoa and all disability types. </w:t>
            </w:r>
            <w:r w:rsidR="00333583" w:rsidRPr="00852078">
              <w:rPr>
                <w:rFonts w:cs="Calibri"/>
                <w:sz w:val="18"/>
                <w:szCs w:val="20"/>
                <w:u w:val="dash"/>
              </w:rPr>
              <w:fldChar w:fldCharType="begin"/>
            </w:r>
            <w:r w:rsidR="009B0EC4">
              <w:rPr>
                <w:rFonts w:cs="Calibri"/>
                <w:sz w:val="18"/>
                <w:szCs w:val="20"/>
                <w:u w:val="dash"/>
              </w:rPr>
              <w:instrText xml:space="preserve"> ADDIN ZOTERO_ITEM CSL_CITATION {"citationID":"fosQe6uw","properties":{"formattedCitation":"(T\\uc0\\u333{}f\\uc0\\u257{} Mamao Collective 2022)","plainCitation":"(Tōfā Mamao Collective 2022)","noteIndex":0},"citationItems":[{"id":18124,"uris":["http://zotero.org/groups/4801058/items/P3CPBU4M"],"itemData":{"id":18124,"type":"report","title":"Tagata Sa’ilimalo Strategic Framework","author":[{"family":"Tōfā Mamao Collective","given":""}],"issued":{"date-parts":[["2022"]]}}}],"schema":"https://github.com/citation-style-language/schema/raw/master/csl-citation.json"} </w:instrText>
            </w:r>
            <w:r w:rsidR="00333583" w:rsidRPr="00852078">
              <w:rPr>
                <w:rFonts w:cs="Calibri"/>
                <w:sz w:val="18"/>
                <w:szCs w:val="20"/>
                <w:u w:val="dash"/>
              </w:rPr>
              <w:fldChar w:fldCharType="separate"/>
            </w:r>
            <w:r w:rsidR="00333583" w:rsidRPr="00852078">
              <w:rPr>
                <w:rFonts w:cs="Calibri"/>
                <w:sz w:val="18"/>
                <w:szCs w:val="20"/>
              </w:rPr>
              <w:t>(Tōfā Mamao Collective 2022)</w:t>
            </w:r>
            <w:r w:rsidR="00333583" w:rsidRPr="00852078">
              <w:rPr>
                <w:rFonts w:cs="Calibri"/>
                <w:sz w:val="18"/>
                <w:szCs w:val="20"/>
                <w:u w:val="dash"/>
              </w:rPr>
              <w:fldChar w:fldCharType="end"/>
            </w:r>
          </w:p>
          <w:p w14:paraId="12266C48" w14:textId="0331388C" w:rsidR="001E29AB" w:rsidRPr="00852078" w:rsidRDefault="001E29AB" w:rsidP="00852078">
            <w:pPr>
              <w:pStyle w:val="USBodyText"/>
              <w:spacing w:line="240" w:lineRule="auto"/>
              <w:ind w:left="0"/>
              <w:rPr>
                <w:sz w:val="18"/>
                <w:szCs w:val="18"/>
              </w:rPr>
            </w:pPr>
            <w:r w:rsidRPr="00852078">
              <w:rPr>
                <w:sz w:val="18"/>
                <w:szCs w:val="18"/>
              </w:rPr>
              <w:t xml:space="preserve">Continued poor outcomes reflect an “uneasy fit” between the needs of </w:t>
            </w:r>
            <w:proofErr w:type="spellStart"/>
            <w:r w:rsidRPr="00852078">
              <w:rPr>
                <w:sz w:val="18"/>
                <w:szCs w:val="18"/>
              </w:rPr>
              <w:t>tagata</w:t>
            </w:r>
            <w:proofErr w:type="spellEnd"/>
            <w:r w:rsidRPr="00852078">
              <w:rPr>
                <w:sz w:val="18"/>
                <w:szCs w:val="18"/>
              </w:rPr>
              <w:t xml:space="preserve"> </w:t>
            </w:r>
            <w:proofErr w:type="spellStart"/>
            <w:r w:rsidRPr="00852078">
              <w:rPr>
                <w:sz w:val="18"/>
                <w:szCs w:val="18"/>
              </w:rPr>
              <w:t>sa’ilimalo</w:t>
            </w:r>
            <w:proofErr w:type="spellEnd"/>
            <w:r w:rsidRPr="00852078">
              <w:rPr>
                <w:sz w:val="18"/>
                <w:szCs w:val="18"/>
              </w:rPr>
              <w:t xml:space="preserve"> and the way the disability system operates </w:t>
            </w:r>
            <w:r w:rsidRPr="00852078">
              <w:rPr>
                <w:sz w:val="18"/>
                <w:szCs w:val="18"/>
              </w:rPr>
              <w:fldChar w:fldCharType="begin"/>
            </w:r>
            <w:r w:rsidR="009B0EC4">
              <w:rPr>
                <w:sz w:val="18"/>
                <w:szCs w:val="18"/>
              </w:rPr>
              <w:instrText xml:space="preserve"> ADDIN ZOTERO_ITEM CSL_CITATION {"citationID":"a1f9978vkb9","properties":{"formattedCitation":"(T\\uc0\\u333{}f\\uc0\\u257{} Mamao Collective 2022, 2)","plainCitation":"(Tōfā Mamao Collective 2022, 2)","noteIndex":0},"citationItems":[{"id":18124,"uris":["http://zotero.org/groups/4801058/items/P3CPBU4M"],"itemData":{"id":18124,"type":"report","title":"Tagata Sa’ilimalo Strategic Framework","author":[{"family":"Tōfā Mamao Collective","given":""}],"issued":{"date-parts":[["2022"]]}},"locator":"2","label":"page"}],"schema":"https://github.com/citation-style-language/schema/raw/master/csl-citation.json"} </w:instrText>
            </w:r>
            <w:r w:rsidRPr="00852078">
              <w:rPr>
                <w:sz w:val="18"/>
                <w:szCs w:val="18"/>
              </w:rPr>
              <w:fldChar w:fldCharType="separate"/>
            </w:r>
            <w:r w:rsidRPr="00852078">
              <w:rPr>
                <w:rFonts w:cs="Calibri"/>
                <w:sz w:val="18"/>
                <w:szCs w:val="20"/>
              </w:rPr>
              <w:t>(Tōfā Mamao Collective 2022, 2)</w:t>
            </w:r>
            <w:r w:rsidRPr="00852078">
              <w:rPr>
                <w:sz w:val="18"/>
                <w:szCs w:val="18"/>
              </w:rPr>
              <w:fldChar w:fldCharType="end"/>
            </w:r>
            <w:r w:rsidRPr="00852078">
              <w:rPr>
                <w:sz w:val="18"/>
                <w:szCs w:val="18"/>
              </w:rPr>
              <w:t>. It is part of a universal public system that is:</w:t>
            </w:r>
            <w:r w:rsidR="002050F2" w:rsidRPr="00852078">
              <w:rPr>
                <w:sz w:val="18"/>
                <w:szCs w:val="18"/>
              </w:rPr>
              <w:t xml:space="preserve"> </w:t>
            </w:r>
          </w:p>
          <w:p w14:paraId="6714C758" w14:textId="5D0DAD02" w:rsidR="001E29AB" w:rsidRPr="00852078" w:rsidRDefault="001E29AB" w:rsidP="00852078">
            <w:pPr>
              <w:pStyle w:val="USBodyText"/>
              <w:spacing w:line="240" w:lineRule="auto"/>
              <w:ind w:left="480"/>
              <w:rPr>
                <w:sz w:val="18"/>
                <w:szCs w:val="18"/>
              </w:rPr>
            </w:pPr>
            <w:r w:rsidRPr="00852078">
              <w:rPr>
                <w:i/>
                <w:iCs/>
                <w:sz w:val="18"/>
                <w:szCs w:val="18"/>
              </w:rPr>
              <w:t xml:space="preserve">…built around the needs of a nuclear family with individualistic aspirations [and] is less able to accommodate the collectivist needs of those that rely on extended family and community support to sustain their daily lives. In doing so, it misses opportunities to build on existing strengths and resources of the Pacific community </w:t>
            </w:r>
            <w:r w:rsidRPr="00852078">
              <w:rPr>
                <w:sz w:val="18"/>
                <w:szCs w:val="18"/>
              </w:rPr>
              <w:t>(</w:t>
            </w:r>
            <w:r w:rsidR="00070CBD" w:rsidRPr="00852078">
              <w:rPr>
                <w:sz w:val="18"/>
                <w:szCs w:val="18"/>
              </w:rPr>
              <w:t>i</w:t>
            </w:r>
            <w:r w:rsidRPr="00852078">
              <w:rPr>
                <w:sz w:val="18"/>
                <w:szCs w:val="18"/>
              </w:rPr>
              <w:t>bid</w:t>
            </w:r>
            <w:r w:rsidR="00912B8D" w:rsidRPr="00852078">
              <w:rPr>
                <w:sz w:val="18"/>
                <w:szCs w:val="18"/>
              </w:rPr>
              <w:t>.</w:t>
            </w:r>
            <w:r w:rsidRPr="00852078">
              <w:rPr>
                <w:sz w:val="18"/>
                <w:szCs w:val="18"/>
              </w:rPr>
              <w:t>).</w:t>
            </w:r>
          </w:p>
          <w:p w14:paraId="233055DC" w14:textId="594CE057" w:rsidR="001E29AB" w:rsidRPr="00852078" w:rsidRDefault="001E29AB" w:rsidP="00852078">
            <w:pPr>
              <w:pStyle w:val="USBodyText"/>
              <w:spacing w:line="240" w:lineRule="auto"/>
              <w:ind w:left="30"/>
              <w:rPr>
                <w:sz w:val="18"/>
                <w:szCs w:val="18"/>
              </w:rPr>
            </w:pPr>
            <w:r w:rsidRPr="00852078">
              <w:rPr>
                <w:sz w:val="18"/>
                <w:szCs w:val="18"/>
              </w:rPr>
              <w:t xml:space="preserve">As a result, it is unsurprising that, compared to the general population, </w:t>
            </w:r>
            <w:proofErr w:type="spellStart"/>
            <w:r w:rsidRPr="00852078">
              <w:rPr>
                <w:sz w:val="18"/>
                <w:szCs w:val="18"/>
              </w:rPr>
              <w:t>tagata</w:t>
            </w:r>
            <w:proofErr w:type="spellEnd"/>
            <w:r w:rsidRPr="00852078">
              <w:rPr>
                <w:sz w:val="18"/>
                <w:szCs w:val="18"/>
              </w:rPr>
              <w:t xml:space="preserve"> </w:t>
            </w:r>
            <w:proofErr w:type="spellStart"/>
            <w:r w:rsidRPr="00852078">
              <w:rPr>
                <w:sz w:val="18"/>
                <w:szCs w:val="18"/>
              </w:rPr>
              <w:t>sa’ilimalo</w:t>
            </w:r>
            <w:proofErr w:type="spellEnd"/>
            <w:r w:rsidRPr="00852078">
              <w:rPr>
                <w:sz w:val="18"/>
                <w:szCs w:val="18"/>
              </w:rPr>
              <w:t xml:space="preserve"> “underuse formal services, overuse informal home supports and are more likely to opt out of the disability service system altogether” (</w:t>
            </w:r>
            <w:r w:rsidR="00070CBD" w:rsidRPr="00852078">
              <w:rPr>
                <w:sz w:val="18"/>
                <w:szCs w:val="18"/>
              </w:rPr>
              <w:t>i</w:t>
            </w:r>
            <w:r w:rsidRPr="00852078">
              <w:rPr>
                <w:sz w:val="18"/>
                <w:szCs w:val="18"/>
              </w:rPr>
              <w:t>bid</w:t>
            </w:r>
            <w:r w:rsidR="00912B8D" w:rsidRPr="00852078">
              <w:rPr>
                <w:sz w:val="18"/>
                <w:szCs w:val="18"/>
              </w:rPr>
              <w:t>.</w:t>
            </w:r>
            <w:r w:rsidRPr="00852078">
              <w:rPr>
                <w:sz w:val="18"/>
                <w:szCs w:val="18"/>
              </w:rPr>
              <w:t xml:space="preserve">). </w:t>
            </w:r>
          </w:p>
          <w:p w14:paraId="2D607158" w14:textId="10FE21A7" w:rsidR="003D2F88" w:rsidRPr="00852078" w:rsidRDefault="003D2F88" w:rsidP="00852078">
            <w:pPr>
              <w:pStyle w:val="USBodyText"/>
              <w:spacing w:line="240" w:lineRule="auto"/>
              <w:ind w:left="30"/>
              <w:rPr>
                <w:sz w:val="18"/>
                <w:szCs w:val="18"/>
              </w:rPr>
            </w:pPr>
            <w:r w:rsidRPr="00852078">
              <w:rPr>
                <w:sz w:val="18"/>
                <w:szCs w:val="18"/>
              </w:rPr>
              <w:t xml:space="preserve">The </w:t>
            </w:r>
            <w:proofErr w:type="spellStart"/>
            <w:r w:rsidRPr="00852078">
              <w:rPr>
                <w:sz w:val="18"/>
                <w:szCs w:val="18"/>
              </w:rPr>
              <w:t>Tagata</w:t>
            </w:r>
            <w:proofErr w:type="spellEnd"/>
            <w:r w:rsidRPr="00852078">
              <w:rPr>
                <w:sz w:val="18"/>
                <w:szCs w:val="18"/>
              </w:rPr>
              <w:t xml:space="preserve"> </w:t>
            </w:r>
            <w:proofErr w:type="spellStart"/>
            <w:r w:rsidRPr="00852078">
              <w:rPr>
                <w:sz w:val="18"/>
                <w:szCs w:val="18"/>
              </w:rPr>
              <w:t>Sa’ilimalo</w:t>
            </w:r>
            <w:proofErr w:type="spellEnd"/>
            <w:r w:rsidRPr="00852078">
              <w:rPr>
                <w:sz w:val="18"/>
                <w:szCs w:val="18"/>
              </w:rPr>
              <w:t xml:space="preserve"> Strategic Framework envisages action based on </w:t>
            </w:r>
            <w:proofErr w:type="spellStart"/>
            <w:r w:rsidRPr="00852078">
              <w:rPr>
                <w:sz w:val="18"/>
                <w:szCs w:val="18"/>
              </w:rPr>
              <w:t>Soalaupule</w:t>
            </w:r>
            <w:proofErr w:type="spellEnd"/>
            <w:r w:rsidRPr="00852078">
              <w:rPr>
                <w:sz w:val="18"/>
                <w:szCs w:val="18"/>
              </w:rPr>
              <w:t xml:space="preserve"> (shared authority, responsibility and outcomes supported by </w:t>
            </w:r>
            <w:proofErr w:type="spellStart"/>
            <w:r w:rsidRPr="00852078">
              <w:rPr>
                <w:sz w:val="18"/>
                <w:szCs w:val="18"/>
              </w:rPr>
              <w:t>whakawhanaungatanga</w:t>
            </w:r>
            <w:proofErr w:type="spellEnd"/>
            <w:r w:rsidRPr="00852078">
              <w:rPr>
                <w:sz w:val="18"/>
                <w:szCs w:val="18"/>
              </w:rPr>
              <w:t xml:space="preserve"> and collective and inclusive Pacific ecosystems). Building consensus is key to informing and influencing government decision</w:t>
            </w:r>
            <w:r w:rsidR="00040E6C" w:rsidRPr="00852078">
              <w:rPr>
                <w:sz w:val="18"/>
                <w:szCs w:val="18"/>
              </w:rPr>
              <w:t>-</w:t>
            </w:r>
            <w:r w:rsidRPr="00852078">
              <w:rPr>
                <w:sz w:val="18"/>
                <w:szCs w:val="18"/>
              </w:rPr>
              <w:t xml:space="preserve">makers, developing initiatives and interventions that reflect community values and priorities, and spearheading </w:t>
            </w:r>
            <w:proofErr w:type="spellStart"/>
            <w:r w:rsidRPr="00852078">
              <w:rPr>
                <w:sz w:val="18"/>
                <w:szCs w:val="18"/>
              </w:rPr>
              <w:t>Tagata</w:t>
            </w:r>
            <w:proofErr w:type="spellEnd"/>
            <w:r w:rsidRPr="00852078">
              <w:rPr>
                <w:sz w:val="18"/>
                <w:szCs w:val="18"/>
              </w:rPr>
              <w:t xml:space="preserve"> </w:t>
            </w:r>
            <w:proofErr w:type="spellStart"/>
            <w:r w:rsidRPr="00852078">
              <w:rPr>
                <w:sz w:val="18"/>
                <w:szCs w:val="18"/>
              </w:rPr>
              <w:t>Sa’ilimalo</w:t>
            </w:r>
            <w:proofErr w:type="spellEnd"/>
            <w:r w:rsidRPr="00852078">
              <w:rPr>
                <w:sz w:val="18"/>
                <w:szCs w:val="18"/>
              </w:rPr>
              <w:t xml:space="preserve">-led service design. </w:t>
            </w:r>
          </w:p>
          <w:p w14:paraId="13149C03" w14:textId="416536FF" w:rsidR="001E29AB" w:rsidRPr="00F543C1" w:rsidRDefault="001E29AB" w:rsidP="00852078">
            <w:pPr>
              <w:pStyle w:val="USBodyText"/>
              <w:spacing w:line="240" w:lineRule="auto"/>
              <w:ind w:left="0"/>
            </w:pPr>
            <w:r w:rsidRPr="00852078">
              <w:rPr>
                <w:sz w:val="18"/>
                <w:szCs w:val="18"/>
              </w:rPr>
              <w:t xml:space="preserve">The Pacific community is </w:t>
            </w:r>
            <w:r w:rsidRPr="00852078">
              <w:rPr>
                <w:rStyle w:val="QuotationwithinSentence"/>
                <w:i w:val="0"/>
                <w:iCs/>
                <w:sz w:val="18"/>
                <w:szCs w:val="18"/>
              </w:rPr>
              <w:t>“a resilient network, tied by common values and motivated by a shared purpose to improve community wellbeing</w:t>
            </w:r>
            <w:r w:rsidRPr="00852078">
              <w:rPr>
                <w:i/>
                <w:iCs/>
                <w:sz w:val="18"/>
                <w:szCs w:val="18"/>
              </w:rPr>
              <w:t>”</w:t>
            </w:r>
            <w:r w:rsidR="006C293A" w:rsidRPr="00852078">
              <w:rPr>
                <w:sz w:val="18"/>
                <w:szCs w:val="18"/>
              </w:rPr>
              <w:t>,</w:t>
            </w:r>
            <w:r w:rsidRPr="00852078">
              <w:rPr>
                <w:sz w:val="18"/>
                <w:szCs w:val="18"/>
              </w:rPr>
              <w:t xml:space="preserve"> which can support systems change and realistically address equity objectives through community mobilisation and collective action </w:t>
            </w:r>
            <w:r w:rsidR="00F13A35" w:rsidRPr="00852078">
              <w:rPr>
                <w:sz w:val="18"/>
                <w:szCs w:val="18"/>
              </w:rPr>
              <w:t>(</w:t>
            </w:r>
            <w:r w:rsidR="00070CBD" w:rsidRPr="00852078">
              <w:rPr>
                <w:sz w:val="18"/>
                <w:szCs w:val="18"/>
              </w:rPr>
              <w:t>i</w:t>
            </w:r>
            <w:r w:rsidRPr="00852078">
              <w:rPr>
                <w:sz w:val="18"/>
                <w:szCs w:val="18"/>
              </w:rPr>
              <w:t>bid</w:t>
            </w:r>
            <w:r w:rsidR="00F13A35" w:rsidRPr="00852078">
              <w:rPr>
                <w:sz w:val="18"/>
                <w:szCs w:val="18"/>
              </w:rPr>
              <w:t>.</w:t>
            </w:r>
            <w:r w:rsidRPr="00852078">
              <w:rPr>
                <w:sz w:val="18"/>
                <w:szCs w:val="18"/>
              </w:rPr>
              <w:t>).</w:t>
            </w:r>
            <w:r w:rsidR="00340D4F" w:rsidRPr="00852078">
              <w:rPr>
                <w:sz w:val="18"/>
                <w:szCs w:val="18"/>
              </w:rPr>
              <w:t xml:space="preserve"> This was clearly demonstrated in 2021 when a partnership forged between government and the Pacific community supported the mobilisation of a resilient ‘for-Pacific-by-Pacific’ ecosystem that drove a rapid improvement in testing and vaccination rates for Pacific people during the pandemic.</w:t>
            </w:r>
          </w:p>
        </w:tc>
      </w:tr>
    </w:tbl>
    <w:p w14:paraId="7BADD667" w14:textId="77777777" w:rsidR="001E29AB" w:rsidRPr="00F543C1" w:rsidRDefault="001E29AB" w:rsidP="001E29AB">
      <w:pPr>
        <w:pStyle w:val="USBodyText"/>
      </w:pPr>
    </w:p>
    <w:p w14:paraId="3FD63D81" w14:textId="1F1483FD" w:rsidR="005F0FA7" w:rsidRPr="00F543C1" w:rsidRDefault="008F4DF7" w:rsidP="000C6F9C">
      <w:pPr>
        <w:pStyle w:val="Heading3"/>
      </w:pPr>
      <w:bookmarkStart w:id="78" w:name="_Toc126092091"/>
      <w:r w:rsidRPr="00F543C1">
        <w:t>Engaging with and responding to diverse communities</w:t>
      </w:r>
      <w:bookmarkEnd w:id="78"/>
    </w:p>
    <w:p w14:paraId="5A86D126" w14:textId="787365E5" w:rsidR="00B55B47" w:rsidRPr="00F543C1" w:rsidRDefault="001E29AB" w:rsidP="001E29AB">
      <w:pPr>
        <w:pStyle w:val="USBodyText"/>
      </w:pPr>
      <w:r w:rsidRPr="00F543C1">
        <w:t xml:space="preserve">Different communities in Aotearoa are at different stages </w:t>
      </w:r>
      <w:r w:rsidR="001330C6" w:rsidRPr="00F543C1">
        <w:t>when it comes to</w:t>
      </w:r>
      <w:r w:rsidRPr="00F543C1">
        <w:t xml:space="preserve"> identifying and responding to persistent disadvantage. </w:t>
      </w:r>
      <w:r w:rsidR="008165DA" w:rsidRPr="00F543C1">
        <w:t xml:space="preserve">As </w:t>
      </w:r>
      <w:r w:rsidR="00BA0AFF" w:rsidRPr="00F543C1">
        <w:t>the</w:t>
      </w:r>
      <w:r w:rsidR="008165DA" w:rsidRPr="00F543C1">
        <w:t xml:space="preserve"> </w:t>
      </w:r>
      <w:r w:rsidR="00DE490F" w:rsidRPr="00F543C1">
        <w:t>population</w:t>
      </w:r>
      <w:r w:rsidR="008165DA" w:rsidRPr="00F543C1">
        <w:t xml:space="preserve"> becomes more diverse, </w:t>
      </w:r>
      <w:r w:rsidR="00643A2B" w:rsidRPr="00F543C1">
        <w:t xml:space="preserve">the government and the public sector will need to adapt to ensure that </w:t>
      </w:r>
      <w:r w:rsidR="00DE490F" w:rsidRPr="00F543C1">
        <w:t xml:space="preserve">the </w:t>
      </w:r>
      <w:r w:rsidR="00643A2B" w:rsidRPr="00F543C1">
        <w:t>assistance</w:t>
      </w:r>
      <w:r w:rsidR="00DE490F" w:rsidRPr="00F543C1">
        <w:t xml:space="preserve"> they</w:t>
      </w:r>
      <w:r w:rsidR="00643A2B" w:rsidRPr="00F543C1">
        <w:t xml:space="preserve"> provide reflects the needs of the society they serve. This will require</w:t>
      </w:r>
      <w:r w:rsidR="003D4BE3" w:rsidRPr="00F543C1">
        <w:t xml:space="preserve"> </w:t>
      </w:r>
      <w:r w:rsidR="000D0319" w:rsidRPr="00F543C1">
        <w:t xml:space="preserve">building </w:t>
      </w:r>
      <w:r w:rsidR="000B2E66" w:rsidRPr="00F543C1">
        <w:t xml:space="preserve">trusted </w:t>
      </w:r>
      <w:r w:rsidR="000D0319" w:rsidRPr="00F543C1">
        <w:t xml:space="preserve">relationships with different communities, </w:t>
      </w:r>
      <w:r w:rsidR="000B2E66" w:rsidRPr="00F543C1">
        <w:t xml:space="preserve">taking the time to </w:t>
      </w:r>
      <w:r w:rsidR="00BB7ECA" w:rsidRPr="00F543C1">
        <w:t xml:space="preserve">listen and </w:t>
      </w:r>
      <w:r w:rsidR="000B2E66" w:rsidRPr="00F543C1">
        <w:t>understand their requirements, and collecting</w:t>
      </w:r>
      <w:r w:rsidR="003D4BE3" w:rsidRPr="00F543C1">
        <w:t xml:space="preserve"> data</w:t>
      </w:r>
      <w:r w:rsidR="00643A2B" w:rsidRPr="00F543C1">
        <w:t xml:space="preserve"> </w:t>
      </w:r>
      <w:r w:rsidR="00417B51" w:rsidRPr="00F543C1">
        <w:t xml:space="preserve">that enables the effectiveness of assistance to be assessed. </w:t>
      </w:r>
      <w:r w:rsidR="00D31900" w:rsidRPr="00F543C1">
        <w:t xml:space="preserve">Staff will need different skills, </w:t>
      </w:r>
      <w:r w:rsidR="00BA0AFF" w:rsidRPr="00F543C1">
        <w:t>including</w:t>
      </w:r>
      <w:r w:rsidR="00D31900" w:rsidRPr="00F543C1">
        <w:t xml:space="preserve"> greater cultural competence</w:t>
      </w:r>
      <w:r w:rsidR="002D4E09" w:rsidRPr="00F543C1">
        <w:t>,</w:t>
      </w:r>
      <w:r w:rsidR="00BA0AFF" w:rsidRPr="00F543C1">
        <w:t xml:space="preserve"> </w:t>
      </w:r>
      <w:r w:rsidR="00E94F40" w:rsidRPr="00F543C1">
        <w:t xml:space="preserve">to understand and respond to the lived experience of </w:t>
      </w:r>
      <w:r w:rsidR="006714BC" w:rsidRPr="00F543C1">
        <w:t>the people they are assisting.</w:t>
      </w:r>
      <w:r w:rsidR="00366F9C" w:rsidRPr="00F543C1">
        <w:t xml:space="preserve"> </w:t>
      </w:r>
    </w:p>
    <w:p w14:paraId="5B4E32EF" w14:textId="45AF9838" w:rsidR="00FC1E6E" w:rsidRDefault="00FC1E6E" w:rsidP="00FC1E6E">
      <w:pPr>
        <w:pStyle w:val="USBodyText"/>
      </w:pPr>
      <w:r w:rsidRPr="00F543C1">
        <w:t xml:space="preserve">At a minimum, professionals need to understand how people’s circumstances, culture and past experiences can influence how they approach receiving assistance. As well as </w:t>
      </w:r>
      <w:r w:rsidRPr="00F543C1">
        <w:lastRenderedPageBreak/>
        <w:t>demonstrating a commitment to equal opportunity employment, this can lead to better care and improved outcomes overall.</w:t>
      </w:r>
      <w:r w:rsidRPr="009006D7">
        <w:rPr>
          <w:rStyle w:val="FootnoteReference"/>
        </w:rPr>
        <w:footnoteReference w:id="56"/>
      </w:r>
      <w:r w:rsidRPr="00726346">
        <w:t xml:space="preserve"> For example, in some cultures, </w:t>
      </w:r>
      <w:r w:rsidR="00A609D5" w:rsidRPr="00F543C1">
        <w:t>the whole family will always make decisions about the care of a family member</w:t>
      </w:r>
      <w:r w:rsidRPr="00F543C1">
        <w:t xml:space="preserve">. If this is the case, professionals either </w:t>
      </w:r>
      <w:r w:rsidR="00625A2F" w:rsidRPr="00F543C1">
        <w:t>must</w:t>
      </w:r>
      <w:r w:rsidRPr="00F543C1">
        <w:t xml:space="preserve"> involve family members in consultations or at least allow their clients t</w:t>
      </w:r>
      <w:r w:rsidR="00A609D5" w:rsidRPr="00F543C1">
        <w:t>o do so before making</w:t>
      </w:r>
      <w:r w:rsidRPr="00F543C1">
        <w:t xml:space="preserve"> their final decision</w:t>
      </w:r>
      <w:r w:rsidR="00B47616">
        <w:t>,</w:t>
      </w:r>
      <w:r w:rsidR="009E15AA" w:rsidRPr="00F543C1">
        <w:t xml:space="preserve"> while ensuring this approach is safe and free from coercion</w:t>
      </w:r>
      <w:r w:rsidRPr="00F543C1">
        <w:t>.</w:t>
      </w:r>
      <w:r w:rsidRPr="009006D7">
        <w:rPr>
          <w:rStyle w:val="FootnoteReference"/>
        </w:rPr>
        <w:footnoteReference w:id="57"/>
      </w:r>
      <w:r w:rsidRPr="00726346">
        <w:t xml:space="preserve"> </w:t>
      </w:r>
    </w:p>
    <w:p w14:paraId="03E74F37" w14:textId="77777777" w:rsidR="00E5761B" w:rsidRPr="00E5761B" w:rsidRDefault="00E5761B" w:rsidP="00E5761B">
      <w:pPr>
        <w:pStyle w:val="Heading3"/>
      </w:pPr>
      <w:bookmarkStart w:id="79" w:name="_Ref126252916"/>
      <w:bookmarkStart w:id="80" w:name="_Ref126143975"/>
      <w:r w:rsidRPr="00E5761B">
        <w:t xml:space="preserve">Case study: </w:t>
      </w:r>
      <w:proofErr w:type="spellStart"/>
      <w:r w:rsidRPr="00E5761B">
        <w:t>Manaakitanga</w:t>
      </w:r>
      <w:proofErr w:type="spellEnd"/>
      <w:r w:rsidRPr="00E5761B">
        <w:t xml:space="preserve"> and migrants from countries in Asia</w:t>
      </w:r>
      <w:bookmarkEnd w:id="79"/>
      <w:r w:rsidRPr="00E5761B">
        <w:t xml:space="preserve"> </w:t>
      </w:r>
      <w:bookmarkEnd w:id="80"/>
    </w:p>
    <w:p w14:paraId="11C419CF" w14:textId="77777777" w:rsidR="00A43393" w:rsidRPr="00A43393" w:rsidRDefault="00A43393" w:rsidP="00070525">
      <w:pPr>
        <w:pStyle w:val="USBodyText"/>
      </w:pPr>
      <w:r w:rsidRPr="00A43393">
        <w:t>The more than 40 ethnic groups living in Aotearoa that are broadly categorised as ‘Asian’ in official statistics have diverse histories, risk factors, and experiences.</w:t>
      </w:r>
      <w:r w:rsidRPr="009006D7">
        <w:rPr>
          <w:rStyle w:val="FootnoteReference"/>
        </w:rPr>
        <w:footnoteReference w:id="58"/>
      </w:r>
      <w:r w:rsidRPr="00070525">
        <w:rPr>
          <w:rStyle w:val="FootnoteReference"/>
        </w:rPr>
        <w:t xml:space="preserve"> </w:t>
      </w:r>
      <w:r w:rsidRPr="00A43393">
        <w:t>Some are recent migrants, some arrived as children or are second or third generation New Zealanders, and others are descendants of people who arrived in the 19</w:t>
      </w:r>
      <w:r w:rsidRPr="00070525">
        <w:t>th</w:t>
      </w:r>
      <w:r w:rsidRPr="00A43393">
        <w:t xml:space="preserve"> century or earlier.</w:t>
      </w:r>
      <w:r w:rsidRPr="009006D7">
        <w:rPr>
          <w:rStyle w:val="FootnoteReference"/>
        </w:rPr>
        <w:footnoteReference w:id="59"/>
      </w:r>
      <w:r w:rsidRPr="00A43393">
        <w:t xml:space="preserve"> Many are from cultures with a strong collective emphasis on family loyalty and connection who have come to Aotearoa on their own as a result of immigration policy settings.</w:t>
      </w:r>
      <w:r w:rsidRPr="009006D7">
        <w:rPr>
          <w:rStyle w:val="FootnoteReference"/>
        </w:rPr>
        <w:footnoteReference w:id="60"/>
      </w:r>
    </w:p>
    <w:p w14:paraId="16D11D44" w14:textId="77777777" w:rsidR="00A43393" w:rsidRDefault="00A43393" w:rsidP="00070525">
      <w:pPr>
        <w:pStyle w:val="USBodyText"/>
      </w:pPr>
      <w:r>
        <w:t>The extent to which people identifying as Asian experience persistent disadvantage is difficult to determine. The Productivity Commission has identified challenges with aggregate statistics, and many agencies and service providers do not track ethnicity in sufficient detail.</w:t>
      </w:r>
      <w:r w:rsidRPr="009006D7">
        <w:rPr>
          <w:rStyle w:val="FootnoteReference"/>
        </w:rPr>
        <w:footnoteReference w:id="61"/>
      </w:r>
      <w:r>
        <w:t xml:space="preserve"> As a consequence, understanding of the needs of Asian people, families and communities is underdeveloped, along with appropriate responses to their experiences of persistent disadvantage.</w:t>
      </w:r>
      <w:r w:rsidRPr="009006D7">
        <w:rPr>
          <w:rStyle w:val="FootnoteReference"/>
        </w:rPr>
        <w:footnoteReference w:id="62"/>
      </w:r>
    </w:p>
    <w:p w14:paraId="6F5C817B" w14:textId="192FC067" w:rsidR="00A43393" w:rsidRPr="00E9360E" w:rsidRDefault="00A43393" w:rsidP="00070525">
      <w:pPr>
        <w:pStyle w:val="USBodyText"/>
      </w:pPr>
      <w:r w:rsidRPr="00E9360E">
        <w:lastRenderedPageBreak/>
        <w:t xml:space="preserve">Risk factors in Asian communities can include limited social interactions due to separation from family or lack of connection; physical and mental health issues (drug, alcohol or gambling addiction, chronic pain); and cultural, economic and environmental factors such as tensions over gender and gender identity, bullying, precarious employment, poverty, trauma from adverse childhood experiences, and racism and discrimination </w:t>
      </w:r>
      <w:r w:rsidRPr="00E9360E">
        <w:rPr>
          <w:i/>
        </w:rPr>
        <w:fldChar w:fldCharType="begin"/>
      </w:r>
      <w:r w:rsidR="009B0EC4">
        <w:instrText xml:space="preserve"> ADDIN ZOTERO_ITEM CSL_CITATION {"citationID":"a1quint3q2p","properties":{"formattedCitation":"(Suicide Mortality Review Committee 2019, 14)","plainCitation":"(Suicide Mortality Review Committee 2019, 14)","noteIndex":0},"citationItems":[{"id":17048,"uris":["http://zotero.org/groups/4801058/items/J9SPX2JF"],"itemData":{"id":17048,"type":"article-journal","language":"en","page":"44","source":"Zotero","title":"Understanding deaths by suicide in the Asian population of Aotearoa New Zealand | Te whakamārama i ngā mate whakamomori i te taupori Āhia i Aotearoa","author":[{"family":"Suicide Mortality Review Committee","given":""}],"issued":{"date-parts":[["2019"]]}},"locator":"14","label":"page"}],"schema":"https://github.com/citation-style-language/schema/raw/master/csl-citation.json"} </w:instrText>
      </w:r>
      <w:r w:rsidRPr="00E9360E">
        <w:rPr>
          <w:i/>
        </w:rPr>
        <w:fldChar w:fldCharType="separate"/>
      </w:r>
      <w:r w:rsidRPr="00E9360E">
        <w:t>(Suicide Mortality Review Committee 2019, 14)</w:t>
      </w:r>
      <w:r w:rsidRPr="00E9360E">
        <w:rPr>
          <w:i/>
        </w:rPr>
        <w:fldChar w:fldCharType="end"/>
      </w:r>
      <w:r w:rsidRPr="00E9360E">
        <w:t>.</w:t>
      </w:r>
      <w:r>
        <w:t xml:space="preserve"> </w:t>
      </w:r>
    </w:p>
    <w:p w14:paraId="0736AC08" w14:textId="3341E08C" w:rsidR="00826F74" w:rsidRPr="00826F74" w:rsidRDefault="00826F74" w:rsidP="00070525">
      <w:pPr>
        <w:pStyle w:val="USBodyText"/>
      </w:pPr>
      <w:r w:rsidRPr="00826F74">
        <w:t>Tensions between the culture and values of the country of origin and New Zealand can make it harder to get support. Young women and rainbow youth can face particular challenges.</w:t>
      </w:r>
      <w:r w:rsidRPr="009006D7">
        <w:rPr>
          <w:rStyle w:val="FootnoteReference"/>
        </w:rPr>
        <w:footnoteReference w:id="63"/>
      </w:r>
      <w:r w:rsidRPr="00826F74">
        <w:t xml:space="preserve"> Stigma and shame pose real constraints: almost 99 percent of Asian people </w:t>
      </w:r>
      <w:r w:rsidR="00B806A8">
        <w:t>responding to a recent survey</w:t>
      </w:r>
      <w:r w:rsidRPr="00826F74">
        <w:t xml:space="preserve"> believe the public “hold negative stereotypes against people with mental illness” </w:t>
      </w:r>
      <w:r w:rsidRPr="00826F74">
        <w:fldChar w:fldCharType="begin"/>
      </w:r>
      <w:r w:rsidR="009B0EC4">
        <w:instrText xml:space="preserve"> ADDIN ZOTERO_ITEM CSL_CITATION {"citationID":"a1jj8qi8vpr","properties":{"formattedCitation":"(Zhu 2021, 2)","plainCitation":"(Zhu 2021, 2)","noteIndex":0},"citationItems":[{"id":17043,"uris":["http://zotero.org/groups/4801058/items/UWBQUZHF"],"itemData":{"id":17043,"type":"webpage","title":"New Zealand Asian Wellbeing &amp; Mental Health Report 2021 - A snapshot survey","URL":"https://www.asianfamilyservices.nz/media/rsmi2s4a/asian-family-services-new-zealand-asian-wellbeing-mental-health-report-2021-trace-research.pdf","author":[{"family":"Zhu","given":"Andrew"}],"accessed":{"date-parts":[["2022",11,16]]},"issued":{"date-parts":[["2021"]]}},"locator":"2","label":"page"}],"schema":"https://github.com/citation-style-language/schema/raw/master/csl-citation.json"} </w:instrText>
      </w:r>
      <w:r w:rsidRPr="00826F74">
        <w:fldChar w:fldCharType="separate"/>
      </w:r>
      <w:r w:rsidRPr="00826F74">
        <w:t>(Zhu 2021, 2)</w:t>
      </w:r>
      <w:r w:rsidRPr="00826F74">
        <w:fldChar w:fldCharType="end"/>
      </w:r>
      <w:r w:rsidRPr="00826F74">
        <w:t>. Clinicians report Asian people are both reluctant to seek therapy and more likely to drop out.</w:t>
      </w:r>
      <w:r w:rsidRPr="009006D7">
        <w:rPr>
          <w:rStyle w:val="FootnoteReference"/>
        </w:rPr>
        <w:footnoteReference w:id="64"/>
      </w:r>
      <w:r w:rsidRPr="00826F74">
        <w:t xml:space="preserve"> At the same time, ethnic discrimination leads to reduced access to care, poorer patient experiences, and adverse impacts on wellbeing </w:t>
      </w:r>
      <w:r w:rsidRPr="00826F74">
        <w:fldChar w:fldCharType="begin"/>
      </w:r>
      <w:r w:rsidR="009B0EC4">
        <w:instrText xml:space="preserve"> ADDIN ZOTERO_ITEM CSL_CITATION {"citationID":"a1hpk1l0tfe","properties":{"formattedCitation":"(Suicide Mortality Review Committee 2019, 14)","plainCitation":"(Suicide Mortality Review Committee 2019, 14)","noteIndex":0},"citationItems":[{"id":17048,"uris":["http://zotero.org/groups/4801058/items/J9SPX2JF"],"itemData":{"id":17048,"type":"article-journal","language":"en","page":"44","source":"Zotero","title":"Understanding deaths by suicide in the Asian population of Aotearoa New Zealand | Te whakamārama i ngā mate whakamomori i te taupori Āhia i Aotearoa","author":[{"family":"Suicide Mortality Review Committee","given":""}],"issued":{"date-parts":[["2019"]]}},"locator":"14","label":"page"}],"schema":"https://github.com/citation-style-language/schema/raw/master/csl-citation.json"} </w:instrText>
      </w:r>
      <w:r w:rsidRPr="00826F74">
        <w:fldChar w:fldCharType="separate"/>
      </w:r>
      <w:r w:rsidRPr="00826F74">
        <w:t>(Suicide Mortality Review Committee 2019, 14)</w:t>
      </w:r>
      <w:r w:rsidRPr="00826F74">
        <w:fldChar w:fldCharType="end"/>
      </w:r>
      <w:r w:rsidRPr="00826F74">
        <w:t>.</w:t>
      </w:r>
    </w:p>
    <w:p w14:paraId="6B8C2E90" w14:textId="77777777" w:rsidR="00A42483" w:rsidRDefault="00826F74" w:rsidP="00FF0A89">
      <w:pPr>
        <w:pStyle w:val="USBodyText"/>
      </w:pPr>
      <w:r w:rsidRPr="00826F74">
        <w:t>A submission to the Productivity Commission from Asian Family Services noted that:</w:t>
      </w:r>
      <w:r w:rsidR="00070525">
        <w:t xml:space="preserve"> </w:t>
      </w:r>
    </w:p>
    <w:p w14:paraId="78A02788" w14:textId="06A73204" w:rsidR="00826F74" w:rsidRPr="00E9360E" w:rsidRDefault="00826F74" w:rsidP="00070525">
      <w:pPr>
        <w:pStyle w:val="Quotation"/>
        <w:ind w:left="1170"/>
        <w:rPr>
          <w:color w:val="auto"/>
        </w:rPr>
      </w:pPr>
      <w:r w:rsidRPr="00070525">
        <w:t>Asian people had lower access to screening services, mental health services, disability support and aged residential care. Compared with other ethnic groups, Asian people were also less likely to have a primary healthcare provider, to have seen a family doctor or any other health</w:t>
      </w:r>
      <w:r w:rsidRPr="00E9360E">
        <w:rPr>
          <w:color w:val="auto"/>
        </w:rPr>
        <w:t xml:space="preserve"> professional in the past year, and to have used a public hospital in the past year.</w:t>
      </w:r>
      <w:r w:rsidRPr="00E9360E">
        <w:rPr>
          <w:i w:val="0"/>
          <w:iCs/>
          <w:color w:val="auto"/>
        </w:rPr>
        <w:t xml:space="preserve"> </w:t>
      </w:r>
      <w:r w:rsidRPr="00E9360E">
        <w:rPr>
          <w:i w:val="0"/>
          <w:iCs/>
          <w:color w:val="auto"/>
        </w:rPr>
        <w:fldChar w:fldCharType="begin"/>
      </w:r>
      <w:r w:rsidR="009B0EC4">
        <w:rPr>
          <w:i w:val="0"/>
          <w:iCs/>
          <w:color w:val="auto"/>
        </w:rPr>
        <w:instrText xml:space="preserve"> ADDIN ZOTERO_ITEM CSL_CITATION {"citationID":"a240gn5fvsq","properties":{"formattedCitation":"(Asian Family Services 2022a, 6)","plainCitation":"(Asian Family Services 2022a, 6)","noteIndex":0},"citationItems":[{"id":16937,"uris":["http://zotero.org/groups/4801058/items/WSYV5AYU"],"itemData":{"id":16937,"type":"webpage","title":"A fair chance for all - Breaking the disadvantage cycle submission","URL":"https://www.productivity.govt.nz/assets/Submission-Documents/a-fair-chance-for-all/Sub-026-Asian-Family-Services.pdf","author":[{"family":"Asian Family Services","given":""}],"accessed":{"date-parts":[["2022",11,3]]},"issued":{"date-parts":[["2022"]]}},"locator":"6","label":"page"}],"schema":"https://github.com/citation-style-language/schema/raw/master/csl-citation.json"} </w:instrText>
      </w:r>
      <w:r w:rsidRPr="00E9360E">
        <w:rPr>
          <w:i w:val="0"/>
          <w:iCs/>
          <w:color w:val="auto"/>
        </w:rPr>
        <w:fldChar w:fldCharType="separate"/>
      </w:r>
      <w:r w:rsidRPr="00E9360E">
        <w:rPr>
          <w:rFonts w:cs="Calibri"/>
          <w:i w:val="0"/>
          <w:iCs/>
          <w:color w:val="auto"/>
        </w:rPr>
        <w:t>(Asian Family Services 2022a, 6)</w:t>
      </w:r>
      <w:r w:rsidRPr="00E9360E">
        <w:rPr>
          <w:i w:val="0"/>
          <w:iCs/>
          <w:color w:val="auto"/>
        </w:rPr>
        <w:fldChar w:fldCharType="end"/>
      </w:r>
    </w:p>
    <w:p w14:paraId="1A1260A8" w14:textId="26EB8ED5" w:rsidR="00667F81" w:rsidRDefault="00826F74" w:rsidP="00826F74">
      <w:pPr>
        <w:pStyle w:val="USBodyText"/>
      </w:pPr>
      <w:r>
        <w:t xml:space="preserve">It has been clear for some time that structural issues such as racial and institutional discrimination in the housing and labour markets, immigration policies that undermine the family and community connections needed to support wellbeing, and access to culturally competent services including translation need to be addressed </w:t>
      </w:r>
      <w:r>
        <w:fldChar w:fldCharType="begin"/>
      </w:r>
      <w:r w:rsidR="009B0EC4">
        <w:instrText xml:space="preserve"> ADDIN ZOTERO_ITEM CSL_CITATION {"citationID":"a2okfbj495m","properties":{"formattedCitation":"(Ministry of Health 2006; Yong 2018)","plainCitation":"(Ministry of Health 2006; Yong 2018)","noteIndex":0},"citationItems":[{"id":17037,"uris":["http://zotero.org/groups/4801058/items/QJU3KNM7"],"itemData":{"id":17037,"type":"article-journal","language":"en","page":"140","source":"Zotero","title":"Asian Health Chart Book 2006","author":[{"family":"Ministry of Health","given":""}],"issued":{"date-parts":[["2006"]]}}},{"id":17036,"uris":["http://zotero.org/groups/4801058/items/97NDD33I"],"itemData":{"id":17036,"type":"report","event-place":"Wellington","genre":"New Zealand Treasury Discussion Paper","number":"18/10","publisher":"The Treasury","publisher-place":"Wellington","title":"An Asian Perspective and the New Zealand Treasury Living Standards Framework, New Zealand Treasury Discussion Paper 18/10","URL":"https://www.treasury.govt.nz/sites/default/files/2018-09/dp18-10.pdf","author":[{"family":"Yong","given":"Sue"}],"accessed":{"date-parts":[["2022",11,17]]},"issued":{"date-parts":[["2018"]]}},"label":"page"}],"schema":"https://github.com/citation-style-language/schema/raw/master/csl-citation.json"} </w:instrText>
      </w:r>
      <w:r>
        <w:fldChar w:fldCharType="separate"/>
      </w:r>
      <w:r w:rsidRPr="0068332A">
        <w:rPr>
          <w:rFonts w:cs="Calibri"/>
          <w:szCs w:val="24"/>
        </w:rPr>
        <w:t>(Ministry of Health 2006; Yong 2018)</w:t>
      </w:r>
      <w:r>
        <w:fldChar w:fldCharType="end"/>
      </w:r>
      <w:r>
        <w:t xml:space="preserve">. Assistance needs to be accountable: it should seek to build genuine rapport and connection; be targeted to specific Asian communities, not generic; and focus on the full range of issues needed, including health promotion and advocacy, service delivery and workforce development </w:t>
      </w:r>
      <w:r>
        <w:fldChar w:fldCharType="begin"/>
      </w:r>
      <w:r w:rsidR="009B0EC4">
        <w:instrText xml:space="preserve"> ADDIN ZOTERO_ITEM CSL_CITATION {"citationID":"a1t78eqh2it","properties":{"formattedCitation":"(Ning and Feng 2021)","plainCitation":"(Ning and Feng 2021)","noteIndex":0},"citationItems":[{"id":17035,"uris":["http://zotero.org/groups/4801058/items/6CAARWND"],"itemData":{"id":17035,"type":"report","language":"en","source":"Zotero","title":"Gaps, challenges and pathways to improve Asian mental wellbeing","author":[{"family":"Ning","given":"Bo"},{"family":"Feng","given":"Kelly"}],"issued":{"date-parts":[["2021"]]}},"label":"page"}],"schema":"https://github.com/citation-style-language/schema/raw/master/csl-citation.json"} </w:instrText>
      </w:r>
      <w:r>
        <w:fldChar w:fldCharType="separate"/>
      </w:r>
      <w:r w:rsidRPr="0068332A">
        <w:rPr>
          <w:rFonts w:cs="Calibri"/>
          <w:szCs w:val="24"/>
        </w:rPr>
        <w:t>(Ning and Feng 2021)</w:t>
      </w:r>
      <w:r>
        <w:fldChar w:fldCharType="end"/>
      </w:r>
      <w:r>
        <w:t>.</w:t>
      </w:r>
    </w:p>
    <w:p w14:paraId="6EA42A21" w14:textId="65E220BB" w:rsidR="001E29AB" w:rsidRPr="00F543C1" w:rsidRDefault="001E29AB" w:rsidP="00AC5DEA">
      <w:pPr>
        <w:pStyle w:val="Heading3"/>
      </w:pPr>
      <w:r w:rsidRPr="00F543C1">
        <w:t xml:space="preserve"> </w:t>
      </w:r>
      <w:bookmarkStart w:id="81" w:name="_Ref125961989"/>
      <w:bookmarkStart w:id="82" w:name="_Toc126092092"/>
      <w:r w:rsidRPr="00F543C1">
        <w:t xml:space="preserve">A series of mindset shifts </w:t>
      </w:r>
      <w:r w:rsidR="00F1230D" w:rsidRPr="00F543C1">
        <w:t>is</w:t>
      </w:r>
      <w:r w:rsidR="00B87D59" w:rsidRPr="00F543C1">
        <w:t xml:space="preserve"> </w:t>
      </w:r>
      <w:proofErr w:type="gramStart"/>
      <w:r w:rsidR="0013779C" w:rsidRPr="00F543C1">
        <w:t>needed</w:t>
      </w:r>
      <w:bookmarkEnd w:id="81"/>
      <w:bookmarkEnd w:id="82"/>
      <w:proofErr w:type="gramEnd"/>
    </w:p>
    <w:p w14:paraId="36B41269" w14:textId="4AD52382" w:rsidR="00CD761C" w:rsidRPr="00F543C1" w:rsidRDefault="004B454B" w:rsidP="004B454B">
      <w:pPr>
        <w:pStyle w:val="USBodyText"/>
      </w:pPr>
      <w:r w:rsidRPr="00F543C1">
        <w:t xml:space="preserve">Overcoming persistent disadvantage </w:t>
      </w:r>
      <w:r w:rsidR="00F416B6" w:rsidRPr="00F543C1">
        <w:t>will require</w:t>
      </w:r>
      <w:r w:rsidR="006C094C" w:rsidRPr="00F543C1">
        <w:t xml:space="preserve"> a</w:t>
      </w:r>
      <w:r w:rsidR="00B87D59" w:rsidRPr="00F543C1">
        <w:t xml:space="preserve">ddressing deep-seated systemic issues, including power imbalances; improving the design, administration, </w:t>
      </w:r>
      <w:proofErr w:type="gramStart"/>
      <w:r w:rsidR="00B87D59" w:rsidRPr="00F543C1">
        <w:t>delivery</w:t>
      </w:r>
      <w:proofErr w:type="gramEnd"/>
      <w:r w:rsidR="00B87D59" w:rsidRPr="00F543C1">
        <w:t xml:space="preserve"> and </w:t>
      </w:r>
      <w:r w:rsidR="00B87D59" w:rsidRPr="00F543C1">
        <w:lastRenderedPageBreak/>
        <w:t>assessment of assistance; and strengthening</w:t>
      </w:r>
      <w:r w:rsidR="009F113E" w:rsidRPr="00F543C1">
        <w:t xml:space="preserve"> accountability arrangements. </w:t>
      </w:r>
      <w:r w:rsidR="00242975" w:rsidRPr="00F543C1">
        <w:t>It will also require a series of mindset shifts.</w:t>
      </w:r>
      <w:r w:rsidR="00242975" w:rsidRPr="00F543C1" w:rsidDel="009F113E">
        <w:t xml:space="preserve"> </w:t>
      </w:r>
    </w:p>
    <w:p w14:paraId="2B148EFF" w14:textId="7C5CECB7" w:rsidR="007C35BD" w:rsidRPr="00F543C1" w:rsidRDefault="00CA3287" w:rsidP="00F96040">
      <w:pPr>
        <w:pStyle w:val="USBodyText"/>
      </w:pPr>
      <w:r w:rsidRPr="00F543C1">
        <w:t xml:space="preserve">Many </w:t>
      </w:r>
      <w:r w:rsidR="00CF2737" w:rsidRPr="00F543C1">
        <w:t>g</w:t>
      </w:r>
      <w:r w:rsidR="00CD761C" w:rsidRPr="00F543C1">
        <w:t xml:space="preserve">overnments in Aotearoa New Zealand have </w:t>
      </w:r>
      <w:r w:rsidR="009B6686" w:rsidRPr="00F543C1">
        <w:t xml:space="preserve">had </w:t>
      </w:r>
      <w:r w:rsidR="00CD761C" w:rsidRPr="00F543C1">
        <w:t xml:space="preserve">a </w:t>
      </w:r>
      <w:r w:rsidR="00B36AB2" w:rsidRPr="00F543C1">
        <w:t xml:space="preserve">proud </w:t>
      </w:r>
      <w:r w:rsidR="00CD761C" w:rsidRPr="00F543C1">
        <w:t xml:space="preserve">history of </w:t>
      </w:r>
      <w:r w:rsidR="001769CA" w:rsidRPr="00F543C1">
        <w:t>leadership</w:t>
      </w:r>
      <w:r w:rsidR="00DA36ED" w:rsidRPr="00F543C1">
        <w:t xml:space="preserve"> on important issues where </w:t>
      </w:r>
      <w:proofErr w:type="gramStart"/>
      <w:r w:rsidR="00B87D59" w:rsidRPr="00F543C1">
        <w:t xml:space="preserve">the </w:t>
      </w:r>
      <w:r w:rsidR="00DA36ED" w:rsidRPr="00F543C1">
        <w:t xml:space="preserve">majority </w:t>
      </w:r>
      <w:r w:rsidR="00B87D59" w:rsidRPr="00F543C1">
        <w:t>of</w:t>
      </w:r>
      <w:proofErr w:type="gramEnd"/>
      <w:r w:rsidR="00B87D59" w:rsidRPr="00F543C1">
        <w:t xml:space="preserve"> </w:t>
      </w:r>
      <w:r w:rsidR="00DA36ED" w:rsidRPr="00F543C1">
        <w:t>public op</w:t>
      </w:r>
      <w:r w:rsidR="00E353C6" w:rsidRPr="00F543C1">
        <w:t>inion does not yet align</w:t>
      </w:r>
      <w:r w:rsidR="00E81D00" w:rsidRPr="00F543C1">
        <w:t xml:space="preserve"> with their </w:t>
      </w:r>
      <w:r w:rsidR="00242975" w:rsidRPr="00F543C1">
        <w:t>views and</w:t>
      </w:r>
      <w:r w:rsidR="00053EDB" w:rsidRPr="00F543C1">
        <w:t xml:space="preserve"> backing themselves to change people’s minds.</w:t>
      </w:r>
      <w:r w:rsidR="00E81D00" w:rsidRPr="00F543C1">
        <w:t xml:space="preserve"> </w:t>
      </w:r>
      <w:r w:rsidR="00053EDB" w:rsidRPr="00F543C1">
        <w:t xml:space="preserve">Examples include </w:t>
      </w:r>
      <w:r w:rsidR="00AA3259" w:rsidRPr="00F543C1">
        <w:t>making Aotearoa nuclear, smoke and predator free</w:t>
      </w:r>
      <w:r w:rsidR="000A4DFF" w:rsidRPr="00F543C1">
        <w:t>,</w:t>
      </w:r>
      <w:r w:rsidR="00AA3259" w:rsidRPr="00F543C1">
        <w:t xml:space="preserve"> </w:t>
      </w:r>
      <w:r w:rsidR="00302777" w:rsidRPr="00F543C1">
        <w:t xml:space="preserve">starting to settle Treaty </w:t>
      </w:r>
      <w:r w:rsidR="00A6520E" w:rsidRPr="00F543C1">
        <w:t>breaches</w:t>
      </w:r>
      <w:r w:rsidR="00CF2737" w:rsidRPr="00F543C1">
        <w:t xml:space="preserve"> and</w:t>
      </w:r>
      <w:r w:rsidR="00302777" w:rsidRPr="00F543C1">
        <w:t xml:space="preserve"> recognising same-sex marriage</w:t>
      </w:r>
      <w:r w:rsidR="00A6520E" w:rsidRPr="00F543C1">
        <w:t>.</w:t>
      </w:r>
      <w:r w:rsidR="00BF782F" w:rsidRPr="00F543C1">
        <w:t xml:space="preserve"> There have also been successful </w:t>
      </w:r>
      <w:r w:rsidR="005862E8" w:rsidRPr="00F543C1">
        <w:t xml:space="preserve">collaborative efforts where </w:t>
      </w:r>
      <w:r w:rsidR="006F61A2" w:rsidRPr="00F543C1">
        <w:t xml:space="preserve">political parties in </w:t>
      </w:r>
      <w:r w:rsidR="00A6520E" w:rsidRPr="00F543C1">
        <w:t>parliament have</w:t>
      </w:r>
      <w:r w:rsidR="005862E8" w:rsidRPr="00F543C1">
        <w:t xml:space="preserve"> jointly </w:t>
      </w:r>
      <w:r w:rsidR="00C517ED" w:rsidRPr="00F543C1">
        <w:t xml:space="preserve">committed to maintaining prudent levels of debt, </w:t>
      </w:r>
      <w:r w:rsidR="007C35BD" w:rsidRPr="00F543C1">
        <w:t xml:space="preserve">reducing child </w:t>
      </w:r>
      <w:proofErr w:type="gramStart"/>
      <w:r w:rsidR="007C35BD" w:rsidRPr="00F543C1">
        <w:t>poverty</w:t>
      </w:r>
      <w:proofErr w:type="gramEnd"/>
      <w:r w:rsidR="007C35BD" w:rsidRPr="00F543C1">
        <w:t xml:space="preserve"> and </w:t>
      </w:r>
      <w:r w:rsidR="00791A65">
        <w:t xml:space="preserve">starting to </w:t>
      </w:r>
      <w:r w:rsidR="00C517ED" w:rsidRPr="00F543C1">
        <w:t>address climate change</w:t>
      </w:r>
      <w:r w:rsidR="007C35BD" w:rsidRPr="00F543C1">
        <w:t>.</w:t>
      </w:r>
    </w:p>
    <w:p w14:paraId="2F7F6BE9" w14:textId="37D2675B" w:rsidR="002328A6" w:rsidRPr="00726346" w:rsidRDefault="007C35BD" w:rsidP="00CD0A54">
      <w:pPr>
        <w:pStyle w:val="USBodyText"/>
      </w:pPr>
      <w:r w:rsidRPr="00F543C1">
        <w:t xml:space="preserve">In each of these cases, </w:t>
      </w:r>
      <w:r w:rsidR="00F96040" w:rsidRPr="00F543C1">
        <w:t xml:space="preserve">support for </w:t>
      </w:r>
      <w:r w:rsidR="00ED1326" w:rsidRPr="00F543C1">
        <w:t xml:space="preserve">change </w:t>
      </w:r>
      <w:r w:rsidR="005D7C5A" w:rsidRPr="00F543C1">
        <w:t>was underpinned by shifting public mindsets</w:t>
      </w:r>
      <w:r w:rsidR="0033153F" w:rsidRPr="00F543C1">
        <w:t>, often supported by Parliament passing laws</w:t>
      </w:r>
      <w:r w:rsidR="00EF2700" w:rsidRPr="00F543C1">
        <w:t xml:space="preserve"> with cross-party support to bind future governments to be accountable for </w:t>
      </w:r>
      <w:r w:rsidR="002328A6" w:rsidRPr="00F543C1">
        <w:t>the policy</w:t>
      </w:r>
      <w:r w:rsidR="00A6520E" w:rsidRPr="00F543C1">
        <w:t xml:space="preserve"> change</w:t>
      </w:r>
      <w:r w:rsidR="00E431FC" w:rsidRPr="00F543C1">
        <w:t>.</w:t>
      </w:r>
      <w:r w:rsidR="00A11CFD" w:rsidRPr="009006D7">
        <w:rPr>
          <w:rStyle w:val="FootnoteReference"/>
        </w:rPr>
        <w:footnoteReference w:id="65"/>
      </w:r>
    </w:p>
    <w:p w14:paraId="437DA64B" w14:textId="795791C0" w:rsidR="00CD0A54" w:rsidRPr="00F543C1" w:rsidRDefault="00242975" w:rsidP="00CD0A54">
      <w:pPr>
        <w:pStyle w:val="USBodyText"/>
      </w:pPr>
      <w:r w:rsidRPr="00F543C1">
        <w:t xml:space="preserve">We set out </w:t>
      </w:r>
      <w:r w:rsidR="00BF01A6" w:rsidRPr="00F543C1">
        <w:t xml:space="preserve">below </w:t>
      </w:r>
      <w:r w:rsidRPr="00F543C1">
        <w:t xml:space="preserve">the series of mindset shifts that are needed to </w:t>
      </w:r>
      <w:r w:rsidR="00364CB8" w:rsidRPr="00F543C1">
        <w:t xml:space="preserve">make progress towards </w:t>
      </w:r>
      <w:r w:rsidRPr="00F543C1">
        <w:t>overcom</w:t>
      </w:r>
      <w:r w:rsidR="00364CB8" w:rsidRPr="00F543C1">
        <w:t>ing</w:t>
      </w:r>
      <w:r w:rsidRPr="00F543C1">
        <w:t xml:space="preserve"> persistent disadvantage</w:t>
      </w:r>
      <w:r w:rsidR="00CD0A54" w:rsidRPr="00F543C1">
        <w:t>:</w:t>
      </w:r>
    </w:p>
    <w:p w14:paraId="28AB2CE3" w14:textId="0F5AB6C9" w:rsidR="00D37690" w:rsidRPr="00F543C1" w:rsidRDefault="00EB529D" w:rsidP="00330577">
      <w:pPr>
        <w:pStyle w:val="USBullet1"/>
      </w:pPr>
      <w:r w:rsidRPr="00F543C1">
        <w:t>Committing to addressing underlying causes of disadvantage</w:t>
      </w:r>
    </w:p>
    <w:p w14:paraId="708035BB" w14:textId="759B6CA2" w:rsidR="00EB529D" w:rsidRPr="00F543C1" w:rsidRDefault="00EB529D" w:rsidP="00330577">
      <w:pPr>
        <w:pStyle w:val="USBullet1"/>
      </w:pPr>
      <w:r w:rsidRPr="00F543C1">
        <w:t>Prioritising trusted relationships</w:t>
      </w:r>
    </w:p>
    <w:p w14:paraId="4575220A" w14:textId="0F62868C" w:rsidR="00EB529D" w:rsidRPr="00F543C1" w:rsidRDefault="00E75AD5" w:rsidP="00330577">
      <w:pPr>
        <w:pStyle w:val="USBullet1"/>
      </w:pPr>
      <w:r w:rsidRPr="00F543C1">
        <w:t xml:space="preserve">Understanding the impacts of abuse, </w:t>
      </w:r>
      <w:proofErr w:type="gramStart"/>
      <w:r w:rsidRPr="00F543C1">
        <w:t>dysfunction</w:t>
      </w:r>
      <w:proofErr w:type="gramEnd"/>
      <w:r w:rsidRPr="00F543C1">
        <w:t xml:space="preserve"> and distrust </w:t>
      </w:r>
    </w:p>
    <w:p w14:paraId="628DECD5" w14:textId="51F6167A" w:rsidR="00E133B4" w:rsidRPr="00F543C1" w:rsidRDefault="00E133B4" w:rsidP="00AE2734">
      <w:pPr>
        <w:pStyle w:val="USBullet1"/>
      </w:pPr>
      <w:r w:rsidRPr="00F543C1">
        <w:t>Grounding service provision in the reality of people’s lives</w:t>
      </w:r>
      <w:r w:rsidR="00803739" w:rsidRPr="00F543C1">
        <w:t xml:space="preserve"> and</w:t>
      </w:r>
    </w:p>
    <w:p w14:paraId="281149E9" w14:textId="7635C41D" w:rsidR="00803739" w:rsidRPr="00F543C1" w:rsidRDefault="00803739" w:rsidP="00AE2734">
      <w:pPr>
        <w:pStyle w:val="USBullet1"/>
      </w:pPr>
      <w:r w:rsidRPr="00F543C1">
        <w:t>Embedding learning and systems thinking at all levels.</w:t>
      </w:r>
    </w:p>
    <w:p w14:paraId="7E447D65" w14:textId="749AC794" w:rsidR="001E29AB" w:rsidRPr="00F543C1" w:rsidRDefault="00FE1E61" w:rsidP="00E034F9">
      <w:pPr>
        <w:pStyle w:val="Heading4"/>
      </w:pPr>
      <w:r w:rsidRPr="00F543C1">
        <w:t xml:space="preserve">Committing to </w:t>
      </w:r>
      <w:r w:rsidR="004055B7" w:rsidRPr="00F543C1">
        <w:t xml:space="preserve">addressing underlying causes </w:t>
      </w:r>
      <w:r w:rsidR="001C0DFE" w:rsidRPr="00F543C1">
        <w:t>of dis</w:t>
      </w:r>
      <w:r w:rsidR="00826A69" w:rsidRPr="00F543C1">
        <w:t>advantage</w:t>
      </w:r>
    </w:p>
    <w:p w14:paraId="6FAE37AB" w14:textId="56F43608" w:rsidR="001B0A6C" w:rsidRPr="00F543C1" w:rsidRDefault="001B0A6C" w:rsidP="00E034F9">
      <w:pPr>
        <w:pStyle w:val="USBodyText"/>
      </w:pPr>
      <w:r w:rsidRPr="00F543C1">
        <w:t xml:space="preserve">We </w:t>
      </w:r>
      <w:r w:rsidR="002C3E17" w:rsidRPr="00F543C1">
        <w:t>discuss the</w:t>
      </w:r>
      <w:r w:rsidRPr="00F543C1">
        <w:t xml:space="preserve"> need for the Crown and its agents to honour their obligations under </w:t>
      </w:r>
      <w:proofErr w:type="spellStart"/>
      <w:r w:rsidRPr="00F543C1">
        <w:t>Te</w:t>
      </w:r>
      <w:proofErr w:type="spellEnd"/>
      <w:r w:rsidRPr="00F543C1">
        <w:t xml:space="preserve"> </w:t>
      </w:r>
      <w:proofErr w:type="spellStart"/>
      <w:r w:rsidRPr="00F543C1">
        <w:t>Tiriti</w:t>
      </w:r>
      <w:proofErr w:type="spellEnd"/>
      <w:r w:rsidRPr="00F543C1">
        <w:t xml:space="preserve"> o Waitangi in more detail in </w:t>
      </w:r>
      <w:r w:rsidR="0015584D" w:rsidRPr="00F543C1">
        <w:t>s</w:t>
      </w:r>
      <w:r w:rsidR="002C3E17" w:rsidRPr="00F543C1">
        <w:t xml:space="preserve">ection </w:t>
      </w:r>
      <w:r w:rsidRPr="00F543C1">
        <w:t>3.</w:t>
      </w:r>
      <w:r w:rsidR="00F80CB7" w:rsidRPr="00F543C1">
        <w:t>6</w:t>
      </w:r>
      <w:r w:rsidRPr="00F543C1">
        <w:t xml:space="preserve">. Failure to do so </w:t>
      </w:r>
      <w:r w:rsidR="00E034F9" w:rsidRPr="00F543C1">
        <w:t xml:space="preserve">is </w:t>
      </w:r>
      <w:r w:rsidRPr="00F543C1">
        <w:t xml:space="preserve">one of </w:t>
      </w:r>
      <w:r w:rsidR="00625A2F" w:rsidRPr="00F543C1">
        <w:t>several</w:t>
      </w:r>
      <w:r w:rsidRPr="00F543C1">
        <w:t xml:space="preserve"> </w:t>
      </w:r>
      <w:r w:rsidR="00073264" w:rsidRPr="00F543C1">
        <w:t xml:space="preserve">deep-seated and enduring </w:t>
      </w:r>
      <w:r w:rsidRPr="00F543C1">
        <w:t>underlying causes of disadvantage repeatedly emphasised in submissions received by the Productivity Commission:</w:t>
      </w:r>
    </w:p>
    <w:p w14:paraId="099A9901" w14:textId="4AE8E166" w:rsidR="001B0A6C" w:rsidRPr="00726346" w:rsidRDefault="001B0A6C" w:rsidP="00E034F9">
      <w:pPr>
        <w:pStyle w:val="Quotation"/>
        <w:rPr>
          <w:i w:val="0"/>
          <w:iCs/>
        </w:rPr>
      </w:pPr>
      <w:r w:rsidRPr="00F543C1">
        <w:t xml:space="preserve">…the impacts of colonisation and the failure of the Crown to honour and meet its obligations under </w:t>
      </w:r>
      <w:proofErr w:type="spellStart"/>
      <w:r w:rsidRPr="00F543C1">
        <w:t>Te</w:t>
      </w:r>
      <w:proofErr w:type="spellEnd"/>
      <w:r w:rsidRPr="00F543C1">
        <w:t xml:space="preserve"> </w:t>
      </w:r>
      <w:proofErr w:type="spellStart"/>
      <w:r w:rsidRPr="00F543C1">
        <w:t>Tiriti</w:t>
      </w:r>
      <w:proofErr w:type="spellEnd"/>
      <w:r w:rsidRPr="00F543C1">
        <w:t xml:space="preserve"> o Waitangi; institutional racism; discrimination against ethnic, social and cultural cohorts; sexism, ageism and ableism... a lack of access to resources, and the resulting toxic stress… the critical role of safe, warm, secure and affordable housing as a foundation for improving wellbeing. </w:t>
      </w:r>
      <w:r w:rsidRPr="00F543C1">
        <w:rPr>
          <w:i w:val="0"/>
          <w:iCs/>
        </w:rPr>
        <w:fldChar w:fldCharType="begin"/>
      </w:r>
      <w:r w:rsidR="009B0EC4">
        <w:rPr>
          <w:i w:val="0"/>
          <w:iCs/>
        </w:rPr>
        <w:instrText xml:space="preserve"> ADDIN ZOTERO_ITEM CSL_CITATION {"citationID":"caGvrocG","properties":{"formattedCitation":"(New Zealand Productivity Commission 2022a, 11)","plainCitation":"(New Zealand Productivity Commission 2022a, 11)","noteIndex":0},"citationItems":[{"id":16621,"uris":["http://zotero.org/groups/4801058/items/WYNPCXJD"],"itemData":{"id":16621,"type":"report","event-place":"Wellington","publisher":"New Zealand Productivity Commission","publisher-place":"Wellington","title":"Fair Chance for All Interim Report - Breaking the Cycle of Persistent Disadvantage","author":[{"family":"New Zealand Productivity Commission","given":""}],"issued":{"date-parts":[["2022"]]}},"locator":"11","label":"page"}],"schema":"https://github.com/citation-style-language/schema/raw/master/csl-citation.json"} </w:instrText>
      </w:r>
      <w:r w:rsidRPr="00F543C1">
        <w:rPr>
          <w:i w:val="0"/>
          <w:iCs/>
        </w:rPr>
        <w:fldChar w:fldCharType="separate"/>
      </w:r>
      <w:r w:rsidRPr="00F543C1">
        <w:rPr>
          <w:i w:val="0"/>
          <w:iCs/>
        </w:rPr>
        <w:t>(New Zealand Productivity Commission 2022a, 11)</w:t>
      </w:r>
      <w:r w:rsidRPr="00F543C1">
        <w:rPr>
          <w:i w:val="0"/>
          <w:iCs/>
        </w:rPr>
        <w:fldChar w:fldCharType="end"/>
      </w:r>
    </w:p>
    <w:p w14:paraId="456DCCDA" w14:textId="4CCA2FC8" w:rsidR="00E034F9" w:rsidRPr="00F543C1" w:rsidRDefault="00770606" w:rsidP="00173F74">
      <w:pPr>
        <w:pStyle w:val="USBodyText"/>
      </w:pPr>
      <w:r w:rsidRPr="00F543C1">
        <w:t xml:space="preserve">We do not suggest that </w:t>
      </w:r>
      <w:r w:rsidR="00264887" w:rsidRPr="00F543C1">
        <w:t>grappling with</w:t>
      </w:r>
      <w:r w:rsidRPr="00F543C1">
        <w:t xml:space="preserve"> these underlying causes and systemic issues, including who holds power, will be simple. </w:t>
      </w:r>
      <w:r w:rsidR="0054105C" w:rsidRPr="00F543C1">
        <w:t>T</w:t>
      </w:r>
      <w:r w:rsidR="001631A0" w:rsidRPr="00F543C1">
        <w:t xml:space="preserve">he </w:t>
      </w:r>
      <w:r w:rsidR="001B0A6C" w:rsidRPr="00F543C1">
        <w:t>Commission has acknowledged</w:t>
      </w:r>
      <w:r w:rsidR="0054105C" w:rsidRPr="00F543C1">
        <w:t xml:space="preserve"> that making progress </w:t>
      </w:r>
      <w:r w:rsidR="00600F05" w:rsidRPr="00F543C1">
        <w:t xml:space="preserve">will </w:t>
      </w:r>
      <w:r w:rsidR="001B0A6C" w:rsidRPr="00F543C1">
        <w:t>require bravery and often confronting conversations (</w:t>
      </w:r>
      <w:r w:rsidR="00070CBD">
        <w:t>i</w:t>
      </w:r>
      <w:r w:rsidR="001B0A6C" w:rsidRPr="00F543C1">
        <w:t>bid., 1).</w:t>
      </w:r>
      <w:r w:rsidR="00537957" w:rsidRPr="00F543C1">
        <w:t xml:space="preserve"> </w:t>
      </w:r>
      <w:r w:rsidR="00264887" w:rsidRPr="00F543C1">
        <w:t xml:space="preserve">But </w:t>
      </w:r>
      <w:r w:rsidR="00F3689F" w:rsidRPr="00F543C1">
        <w:t xml:space="preserve">there are encouraging signs </w:t>
      </w:r>
      <w:r w:rsidR="00CA3F02" w:rsidRPr="00F543C1">
        <w:t>that societal values are be</w:t>
      </w:r>
      <w:r w:rsidR="002476B7" w:rsidRPr="00F543C1">
        <w:t>ginning to shift</w:t>
      </w:r>
      <w:r w:rsidR="00E772EE" w:rsidRPr="00F543C1">
        <w:t xml:space="preserve"> in Aotearoa</w:t>
      </w:r>
      <w:r w:rsidR="002476B7" w:rsidRPr="00F543C1">
        <w:t>.</w:t>
      </w:r>
      <w:r w:rsidR="00F3689F" w:rsidRPr="00F543C1">
        <w:t xml:space="preserve"> </w:t>
      </w:r>
      <w:r w:rsidR="001E2451" w:rsidRPr="00F543C1">
        <w:t>For example, the World Values Survey shows</w:t>
      </w:r>
      <w:r w:rsidR="00445A09" w:rsidRPr="00F543C1">
        <w:t xml:space="preserve"> </w:t>
      </w:r>
      <w:r w:rsidR="001B6867" w:rsidRPr="00F543C1">
        <w:t>increasing recognition that “the Treaty is important or very important”</w:t>
      </w:r>
      <w:r w:rsidR="00237B9D" w:rsidRPr="00F543C1">
        <w:t xml:space="preserve"> </w:t>
      </w:r>
      <w:r w:rsidR="00237B9D" w:rsidRPr="00F543C1">
        <w:fldChar w:fldCharType="begin"/>
      </w:r>
      <w:r w:rsidR="009B0EC4">
        <w:instrText xml:space="preserve"> ADDIN ZOTERO_ITEM CSL_CITATION {"citationID":"9lrChvos","properties":{"formattedCitation":"(Perry and Yeung 2021, 12)","plainCitation":"(Perry and Yeung 2021, 12)","noteIndex":0},"citationItems":[{"id":18503,"uris":["http://zotero.org/groups/4623831/items/BPFQUEYJ"],"itemData":{"id":18503,"type":"article-journal","abstract":"A brief review of the World Values Survey (WVS) is presented. Seven waves of the survey have occurred since the 1980’s, in between 50 and 80 different countries, using a common questionnaire of several hundred items covering a wide range of social and political views.  The WVS in New Zealand is then described, having completed six waves between 1985 and the latest survey in 2019. New Zealand social researchers are urged to make use of the WVS data, which is freely available on the WVS website, for all waves. WVS data can be used for cross-national comparisons, examining issues within New Zealand and to consider changes in social views over time.  Examples of some the most evident social trends over time in New Zealand are presented.  These include increasing environmental concern, social tolerance, support for gender equality, and increasing value placed on the Treaty of Waitangi. Declines can be seen in religiosity, active participation in some types of voluntary organisations, a willingness to fight for the country and the use of traditional media as a source of news. Several illustrative cross-national comparisons are also presented including a dramatic difference in attitudes towards migrants between New Zealand and Australia.","container-title":"Aotearoa New Zealand Journal of Social Issues","DOI":"10.24135/anzjsi.v1i.52","ISSN":"2744-4554","language":"en","license":"Copyright (c) 2021 Aotearoa New Zealand Journal of Social Issues","source":"ojs.aut.ac.nz","title":"Keeping New Zealand in the World Values Survey, 1985-2019:A Brief Project History and Selected New Zealand Social Trends from the World’s Largest Non-Commercial Social Survey","title-short":"Keeping New Zealand in the World Values Survey, 1985-2019","URL":"https://ojs.aut.ac.nz/anzjsi/article/view/52","volume":"1","author":[{"family":"Perry","given":"Paul"},{"family":"Yeung","given":"Polly"}],"accessed":{"date-parts":[["2023",1,18]]},"issued":{"date-parts":[["2021",10,13]]}},"locator":"12","label":"page"}],"schema":"https://github.com/citation-style-language/schema/raw/master/csl-citation.json"} </w:instrText>
      </w:r>
      <w:r w:rsidR="00237B9D" w:rsidRPr="00F543C1">
        <w:fldChar w:fldCharType="separate"/>
      </w:r>
      <w:r w:rsidR="00237B9D" w:rsidRPr="00F543C1">
        <w:t>(Perry and Yeung 2021, 12)</w:t>
      </w:r>
      <w:r w:rsidR="00237B9D" w:rsidRPr="00F543C1">
        <w:fldChar w:fldCharType="end"/>
      </w:r>
      <w:r w:rsidR="001E7675" w:rsidRPr="00726346">
        <w:t>.</w:t>
      </w:r>
      <w:r w:rsidR="001E7675" w:rsidRPr="009006D7">
        <w:rPr>
          <w:rStyle w:val="FootnoteReference"/>
        </w:rPr>
        <w:footnoteReference w:id="66"/>
      </w:r>
      <w:r w:rsidR="001E7675" w:rsidRPr="00726346">
        <w:t xml:space="preserve"> </w:t>
      </w:r>
    </w:p>
    <w:p w14:paraId="0532669A" w14:textId="1948F66C" w:rsidR="008373CF" w:rsidRPr="00F543C1" w:rsidRDefault="00361973" w:rsidP="00811ADD">
      <w:pPr>
        <w:pStyle w:val="USBodyText"/>
      </w:pPr>
      <w:r w:rsidRPr="00F543C1">
        <w:lastRenderedPageBreak/>
        <w:t>E</w:t>
      </w:r>
      <w:r w:rsidR="005360C9" w:rsidRPr="00F543C1">
        <w:t>ffectively addressing persistent disadvantage is likely to involve both additional upfront investment</w:t>
      </w:r>
      <w:r w:rsidR="00430AE2" w:rsidRPr="00F543C1">
        <w:t xml:space="preserve"> for conventional programmes (such as Working-for-Families and housing assistance</w:t>
      </w:r>
      <w:r w:rsidR="0053651F" w:rsidRPr="00F543C1">
        <w:t>)</w:t>
      </w:r>
      <w:r w:rsidR="005360C9" w:rsidRPr="00F543C1">
        <w:t xml:space="preserve"> </w:t>
      </w:r>
      <w:r w:rsidR="00D34B45" w:rsidRPr="00F543C1">
        <w:t>and</w:t>
      </w:r>
      <w:r w:rsidR="00DD5548">
        <w:t xml:space="preserve"> </w:t>
      </w:r>
      <w:r w:rsidR="00194DC8" w:rsidRPr="00F543C1">
        <w:t>the provision of more assistance that is co-designed with people experiencing persistent disadvantage</w:t>
      </w:r>
      <w:r w:rsidR="00662074" w:rsidRPr="00F543C1">
        <w:t xml:space="preserve"> to better help them change their lives. </w:t>
      </w:r>
    </w:p>
    <w:p w14:paraId="73919848" w14:textId="547DC5C4" w:rsidR="00205E4E" w:rsidRPr="00F543C1" w:rsidRDefault="00205E4E" w:rsidP="00F93933">
      <w:pPr>
        <w:pStyle w:val="Heading4"/>
      </w:pPr>
      <w:r w:rsidRPr="00F543C1">
        <w:t>Prioritising</w:t>
      </w:r>
      <w:r w:rsidR="00383849" w:rsidRPr="00F543C1">
        <w:t xml:space="preserve"> trusted relationships</w:t>
      </w:r>
    </w:p>
    <w:p w14:paraId="248B88AC" w14:textId="7B7784C0" w:rsidR="001E29AB" w:rsidRPr="00F543C1" w:rsidRDefault="00205E4E" w:rsidP="00F23DC5">
      <w:pPr>
        <w:pStyle w:val="USBodyText"/>
      </w:pPr>
      <w:r w:rsidRPr="00F543C1">
        <w:t xml:space="preserve">Too often, trust is regarded </w:t>
      </w:r>
      <w:r w:rsidR="00EB289C" w:rsidRPr="00F543C1">
        <w:t xml:space="preserve">by funders and providers </w:t>
      </w:r>
      <w:r w:rsidRPr="00F543C1">
        <w:t>as something nice to have but too expensive or impractical to develop and maintain.</w:t>
      </w:r>
      <w:r w:rsidR="00147F51" w:rsidRPr="009006D7">
        <w:rPr>
          <w:rStyle w:val="FootnoteReference"/>
        </w:rPr>
        <w:footnoteReference w:id="67"/>
      </w:r>
      <w:r w:rsidR="00383849" w:rsidRPr="00726346">
        <w:t xml:space="preserve"> </w:t>
      </w:r>
      <w:r w:rsidR="00A55A4F" w:rsidRPr="00F543C1">
        <w:t>But w</w:t>
      </w:r>
      <w:r w:rsidRPr="00F543C1">
        <w:t xml:space="preserve">hen it comes to getting assistance right, trusted relationships </w:t>
      </w:r>
      <w:r w:rsidR="00A55A4F" w:rsidRPr="00F543C1">
        <w:t xml:space="preserve">that </w:t>
      </w:r>
      <w:r w:rsidR="00383849" w:rsidRPr="00F543C1">
        <w:t>cent</w:t>
      </w:r>
      <w:r w:rsidR="00F96040" w:rsidRPr="00F543C1">
        <w:t>re</w:t>
      </w:r>
      <w:r w:rsidR="00383849" w:rsidRPr="00F543C1">
        <w:t xml:space="preserve"> the voice</w:t>
      </w:r>
      <w:r w:rsidR="004A7D53" w:rsidRPr="00F543C1">
        <w:t>s</w:t>
      </w:r>
      <w:r w:rsidR="00383849" w:rsidRPr="00F543C1">
        <w:t xml:space="preserve"> of people </w:t>
      </w:r>
      <w:r w:rsidR="00AB4C61" w:rsidRPr="00F543C1">
        <w:t>experiencing disadvantage</w:t>
      </w:r>
      <w:r w:rsidR="00A55A4F" w:rsidRPr="00F543C1">
        <w:t xml:space="preserve"> are</w:t>
      </w:r>
      <w:r w:rsidR="00F847E8">
        <w:t xml:space="preserve"> critical</w:t>
      </w:r>
      <w:r w:rsidR="00A55A4F" w:rsidRPr="00F543C1">
        <w:t xml:space="preserve">. </w:t>
      </w:r>
      <w:r w:rsidR="007869BA" w:rsidRPr="00F543C1">
        <w:t>P</w:t>
      </w:r>
      <w:r w:rsidR="00B81D8D" w:rsidRPr="00F543C1">
        <w:t>eople</w:t>
      </w:r>
      <w:r w:rsidR="007869BA" w:rsidRPr="00F543C1">
        <w:t xml:space="preserve"> who do not trust those </w:t>
      </w:r>
      <w:proofErr w:type="gramStart"/>
      <w:r w:rsidR="007869BA" w:rsidRPr="00F543C1">
        <w:t>providing assistance</w:t>
      </w:r>
      <w:proofErr w:type="gramEnd"/>
      <w:r w:rsidR="00B81D8D" w:rsidRPr="00F543C1">
        <w:t xml:space="preserve"> may</w:t>
      </w:r>
      <w:r w:rsidR="004A6272" w:rsidRPr="00F543C1">
        <w:t xml:space="preserve"> </w:t>
      </w:r>
      <w:r w:rsidR="0013498B" w:rsidRPr="00F543C1">
        <w:t xml:space="preserve">avoid seeking support, fail to share what is really going on in their lives, </w:t>
      </w:r>
      <w:r w:rsidR="00B81D8D" w:rsidRPr="00F543C1">
        <w:t xml:space="preserve">and </w:t>
      </w:r>
      <w:r w:rsidR="007869BA" w:rsidRPr="00F543C1">
        <w:t>miss out on the help they need.</w:t>
      </w:r>
    </w:p>
    <w:p w14:paraId="5AACEE7F" w14:textId="46B19393" w:rsidR="00B259E8" w:rsidRPr="00F543C1" w:rsidRDefault="00B259E8" w:rsidP="00F23DC5">
      <w:pPr>
        <w:pStyle w:val="USBodyText"/>
      </w:pPr>
      <w:r w:rsidRPr="00F543C1">
        <w:t>Prioritising trust means providing adequate</w:t>
      </w:r>
      <w:r w:rsidR="0094791D" w:rsidRPr="00F543C1">
        <w:t xml:space="preserve"> levels of committed resourcing. </w:t>
      </w:r>
      <w:r w:rsidR="006B1B0F" w:rsidRPr="00F543C1">
        <w:t>There have been</w:t>
      </w:r>
      <w:r w:rsidR="002F3D5B" w:rsidRPr="00F543C1">
        <w:t xml:space="preserve"> too</w:t>
      </w:r>
      <w:r w:rsidR="006B1B0F" w:rsidRPr="00F543C1">
        <w:t xml:space="preserve"> many </w:t>
      </w:r>
      <w:r w:rsidR="00F847E8">
        <w:t>instances</w:t>
      </w:r>
      <w:r w:rsidR="00F847E8" w:rsidRPr="00F543C1">
        <w:t xml:space="preserve"> </w:t>
      </w:r>
      <w:r w:rsidR="006B1B0F" w:rsidRPr="00F543C1">
        <w:t xml:space="preserve">where </w:t>
      </w:r>
      <w:r w:rsidR="002F3D5B" w:rsidRPr="00F543C1">
        <w:t xml:space="preserve">devoting </w:t>
      </w:r>
      <w:r w:rsidR="006B1B0F" w:rsidRPr="00F543C1">
        <w:t>insufficient resources</w:t>
      </w:r>
      <w:r w:rsidR="0016726A" w:rsidRPr="00F543C1">
        <w:t xml:space="preserve"> to relationship </w:t>
      </w:r>
      <w:r w:rsidR="00AB0702" w:rsidRPr="00F543C1">
        <w:t>building or</w:t>
      </w:r>
      <w:r w:rsidR="0016726A" w:rsidRPr="00F543C1">
        <w:t xml:space="preserve"> </w:t>
      </w:r>
      <w:r w:rsidR="00300AA7" w:rsidRPr="00F543C1">
        <w:t>discontinuing funding,</w:t>
      </w:r>
      <w:r w:rsidR="008E22A1" w:rsidRPr="00F543C1">
        <w:t xml:space="preserve"> either temporarily or permanently,</w:t>
      </w:r>
      <w:r w:rsidR="00300AA7" w:rsidRPr="00F543C1">
        <w:t xml:space="preserve"> </w:t>
      </w:r>
      <w:r w:rsidR="00F609BF" w:rsidRPr="00F543C1">
        <w:t xml:space="preserve">has </w:t>
      </w:r>
      <w:r w:rsidR="00747D83" w:rsidRPr="00F543C1">
        <w:t>damaged relationships and</w:t>
      </w:r>
      <w:r w:rsidR="00300AA7" w:rsidRPr="00F543C1">
        <w:t xml:space="preserve"> eroded trust.</w:t>
      </w:r>
      <w:r w:rsidR="00190125" w:rsidRPr="009006D7">
        <w:rPr>
          <w:rStyle w:val="FootnoteReference"/>
        </w:rPr>
        <w:footnoteReference w:id="68"/>
      </w:r>
      <w:r w:rsidR="00300AA7" w:rsidRPr="00726346">
        <w:t xml:space="preserve"> </w:t>
      </w:r>
    </w:p>
    <w:p w14:paraId="5EFC715F" w14:textId="65782084" w:rsidR="004A77B4" w:rsidRPr="00F543C1" w:rsidRDefault="003A116E" w:rsidP="00F23DC5">
      <w:pPr>
        <w:pStyle w:val="USBodyText"/>
      </w:pPr>
      <w:r w:rsidRPr="00F543C1">
        <w:t>T</w:t>
      </w:r>
      <w:r w:rsidR="004A77B4" w:rsidRPr="00F543C1">
        <w:t>rusted relationships</w:t>
      </w:r>
      <w:r w:rsidRPr="00F543C1">
        <w:t xml:space="preserve"> also play a key role in building protective factors and strengthening resilience,</w:t>
      </w:r>
      <w:r w:rsidR="009946BF" w:rsidRPr="00F543C1">
        <w:t xml:space="preserve"> which are</w:t>
      </w:r>
      <w:r w:rsidRPr="00F543C1">
        <w:t xml:space="preserve"> discussed</w:t>
      </w:r>
      <w:r w:rsidR="004A77B4" w:rsidRPr="00F543C1">
        <w:t xml:space="preserve"> in section </w:t>
      </w:r>
      <w:r w:rsidR="0037496D" w:rsidRPr="00F543C1">
        <w:fldChar w:fldCharType="begin"/>
      </w:r>
      <w:r w:rsidR="0037496D" w:rsidRPr="00F543C1">
        <w:instrText xml:space="preserve"> REF _Ref125444552 \r \h </w:instrText>
      </w:r>
      <w:r w:rsidR="0051637B" w:rsidRPr="00F543C1">
        <w:instrText xml:space="preserve"> \* MERGEFORMAT </w:instrText>
      </w:r>
      <w:r w:rsidR="0037496D" w:rsidRPr="00F543C1">
        <w:fldChar w:fldCharType="separate"/>
      </w:r>
      <w:r w:rsidR="00E06351">
        <w:t>2.5.7</w:t>
      </w:r>
      <w:r w:rsidR="0037496D" w:rsidRPr="00F543C1">
        <w:fldChar w:fldCharType="end"/>
      </w:r>
      <w:r w:rsidR="00CC64E7" w:rsidRPr="00726346">
        <w:t>.</w:t>
      </w:r>
    </w:p>
    <w:p w14:paraId="1807076D" w14:textId="7C86CC26" w:rsidR="001E29AB" w:rsidRPr="00F543C1" w:rsidRDefault="00CD74AA" w:rsidP="00F93933">
      <w:pPr>
        <w:pStyle w:val="Heading4"/>
      </w:pPr>
      <w:r w:rsidRPr="00F543C1">
        <w:t>Understand</w:t>
      </w:r>
      <w:r w:rsidR="00BF1BE2" w:rsidRPr="00F543C1">
        <w:t>ing</w:t>
      </w:r>
      <w:r w:rsidR="00F92C20" w:rsidRPr="00F543C1">
        <w:t xml:space="preserve"> </w:t>
      </w:r>
      <w:r w:rsidR="00B1035A" w:rsidRPr="00F543C1">
        <w:t xml:space="preserve">the </w:t>
      </w:r>
      <w:r w:rsidR="00AB0ACF" w:rsidRPr="00F543C1">
        <w:t>impacts</w:t>
      </w:r>
      <w:r w:rsidR="00B1035A" w:rsidRPr="00F543C1">
        <w:t xml:space="preserve"> of abuse, </w:t>
      </w:r>
      <w:proofErr w:type="gramStart"/>
      <w:r w:rsidR="00B1035A" w:rsidRPr="00F543C1">
        <w:t>dysfunction</w:t>
      </w:r>
      <w:proofErr w:type="gramEnd"/>
      <w:r w:rsidR="00B1035A" w:rsidRPr="00F543C1">
        <w:t xml:space="preserve"> and distrust</w:t>
      </w:r>
    </w:p>
    <w:p w14:paraId="5CDE4E43" w14:textId="56500DA5" w:rsidR="00B1035A" w:rsidRPr="00F543C1" w:rsidRDefault="002236C4" w:rsidP="00F23DC5">
      <w:pPr>
        <w:pStyle w:val="USBodyText"/>
      </w:pPr>
      <w:r w:rsidRPr="00F543C1">
        <w:t xml:space="preserve">The lives of </w:t>
      </w:r>
      <w:r w:rsidR="00007C99" w:rsidRPr="00F543C1">
        <w:t>p</w:t>
      </w:r>
      <w:r w:rsidR="005A101A" w:rsidRPr="00F543C1">
        <w:t xml:space="preserve">eople experiencing persistent disadvantage </w:t>
      </w:r>
      <w:r w:rsidR="00007C99" w:rsidRPr="00F543C1">
        <w:t xml:space="preserve">are </w:t>
      </w:r>
      <w:r w:rsidRPr="00F543C1">
        <w:t xml:space="preserve">often </w:t>
      </w:r>
      <w:r w:rsidR="00007C99" w:rsidRPr="00F543C1">
        <w:t xml:space="preserve">complex and chaotic. </w:t>
      </w:r>
      <w:r w:rsidR="00CB13DF" w:rsidRPr="00F543C1">
        <w:t>Responding with</w:t>
      </w:r>
      <w:r w:rsidR="004A2D03" w:rsidRPr="00F543C1">
        <w:t xml:space="preserve"> </w:t>
      </w:r>
      <w:r w:rsidR="00CB13DF" w:rsidRPr="00F543C1">
        <w:t>‘</w:t>
      </w:r>
      <w:r w:rsidR="00F03A0B" w:rsidRPr="00F543C1">
        <w:t>egalitarian</w:t>
      </w:r>
      <w:r w:rsidR="00CB13DF" w:rsidRPr="00F543C1">
        <w:t>’</w:t>
      </w:r>
      <w:r w:rsidR="00F03A0B" w:rsidRPr="00F543C1">
        <w:t xml:space="preserve"> standardised services </w:t>
      </w:r>
      <w:r w:rsidR="00397407" w:rsidRPr="00F543C1">
        <w:t xml:space="preserve">is </w:t>
      </w:r>
      <w:r w:rsidR="00F03A0B" w:rsidRPr="00F543C1">
        <w:t xml:space="preserve">misguided at best and patronising </w:t>
      </w:r>
      <w:r w:rsidR="00397407" w:rsidRPr="00F543C1">
        <w:t xml:space="preserve">and ineffective </w:t>
      </w:r>
      <w:r w:rsidR="00F03A0B" w:rsidRPr="00F543C1">
        <w:t>at worst.</w:t>
      </w:r>
      <w:r w:rsidR="00CC64E7" w:rsidRPr="00F543C1">
        <w:t xml:space="preserve"> </w:t>
      </w:r>
      <w:r w:rsidR="00B1035A" w:rsidRPr="00F543C1">
        <w:t xml:space="preserve">Judging </w:t>
      </w:r>
      <w:r w:rsidR="00F92C20" w:rsidRPr="00F543C1">
        <w:t xml:space="preserve">someone’s </w:t>
      </w:r>
      <w:r w:rsidR="00B1035A" w:rsidRPr="00F543C1">
        <w:t>behaviour based on what it might mean if a person without experience of persistent disadvantage did it is unlikely to be illuminating or helpful. What might appear to be an absence of ‘compliance’ or interest in being helped when viewed from this perspective is often more appropriately seen as a response to trauma or the complexity of a person’s circumstances</w:t>
      </w:r>
      <w:r w:rsidR="007E4364" w:rsidRPr="00F543C1">
        <w:t xml:space="preserve"> leading to impossible choices</w:t>
      </w:r>
      <w:r w:rsidR="00B1035A" w:rsidRPr="00F543C1">
        <w:t xml:space="preserve">, or a deep and often justified distrust of the government in general or a specific agency in particular </w:t>
      </w:r>
      <w:proofErr w:type="gramStart"/>
      <w:r w:rsidR="00B1035A" w:rsidRPr="00F543C1">
        <w:t>as a result of</w:t>
      </w:r>
      <w:proofErr w:type="gramEnd"/>
      <w:r w:rsidR="00B1035A" w:rsidRPr="00F543C1">
        <w:t xml:space="preserve"> negative past experiences</w:t>
      </w:r>
      <w:r w:rsidR="007E4364" w:rsidRPr="00F543C1">
        <w:t>.</w:t>
      </w:r>
      <w:r w:rsidR="00B1035A" w:rsidRPr="009006D7">
        <w:rPr>
          <w:rStyle w:val="FootnoteReference"/>
        </w:rPr>
        <w:footnoteReference w:id="69"/>
      </w:r>
      <w:r w:rsidR="00B1035A" w:rsidRPr="00726346">
        <w:t xml:space="preserve"> </w:t>
      </w:r>
    </w:p>
    <w:p w14:paraId="576D4498" w14:textId="53182D6F" w:rsidR="00B1035A" w:rsidRPr="00F543C1" w:rsidRDefault="00B1035A" w:rsidP="00F23DC5">
      <w:pPr>
        <w:pStyle w:val="USBodyText"/>
      </w:pPr>
      <w:r w:rsidRPr="00F543C1">
        <w:t xml:space="preserve">Rather than presuming a person or whānau is </w:t>
      </w:r>
      <w:r w:rsidR="00B52508" w:rsidRPr="00F543C1">
        <w:t xml:space="preserve">‘being </w:t>
      </w:r>
      <w:r w:rsidRPr="00F543C1">
        <w:t>difficult</w:t>
      </w:r>
      <w:r w:rsidR="00B52508" w:rsidRPr="00F543C1">
        <w:t>’</w:t>
      </w:r>
      <w:r w:rsidRPr="00F543C1">
        <w:t xml:space="preserve"> or does not want assistance, those looking to support people experiencing persistent disadvantage need to be prepared to find different ways to build trust, engage and assist. This might mean providing information in different ways or locations, being prepared to follow up without judgement, and taking the time to build trusted relationships, check for understanding and adapt to the needs of the person, their whānau and </w:t>
      </w:r>
      <w:r w:rsidR="00C64DD0" w:rsidRPr="00F543C1">
        <w:t xml:space="preserve">the </w:t>
      </w:r>
      <w:r w:rsidRPr="00F543C1">
        <w:t>wider community.</w:t>
      </w:r>
      <w:r w:rsidR="0020255A" w:rsidRPr="009006D7">
        <w:rPr>
          <w:rStyle w:val="FootnoteReference"/>
        </w:rPr>
        <w:footnoteReference w:id="70"/>
      </w:r>
      <w:r w:rsidRPr="00726346">
        <w:t xml:space="preserve"> </w:t>
      </w:r>
      <w:r w:rsidR="0020255A" w:rsidRPr="00F543C1">
        <w:t>T</w:t>
      </w:r>
      <w:r w:rsidRPr="00F543C1">
        <w:t>his can be an iterative process</w:t>
      </w:r>
      <w:r w:rsidR="0020255A" w:rsidRPr="00F543C1">
        <w:t>.</w:t>
      </w:r>
    </w:p>
    <w:p w14:paraId="0FAE3063" w14:textId="74D36E13" w:rsidR="00F93933" w:rsidRPr="00F543C1" w:rsidRDefault="00AB0ACF" w:rsidP="00F23DC5">
      <w:pPr>
        <w:pStyle w:val="Heading4"/>
      </w:pPr>
      <w:r w:rsidRPr="00F543C1">
        <w:lastRenderedPageBreak/>
        <w:t>Ground</w:t>
      </w:r>
      <w:r w:rsidR="00CD74AA" w:rsidRPr="00F543C1">
        <w:t>ing</w:t>
      </w:r>
      <w:r w:rsidRPr="00F543C1">
        <w:t xml:space="preserve"> service provision in the reality of people’s lives</w:t>
      </w:r>
    </w:p>
    <w:p w14:paraId="42A67889" w14:textId="0D7CC697" w:rsidR="00A00570" w:rsidRPr="00F543C1" w:rsidRDefault="00A00570" w:rsidP="00E034F9">
      <w:pPr>
        <w:pStyle w:val="USBodyText"/>
      </w:pPr>
      <w:r w:rsidRPr="00F543C1">
        <w:t>Where</w:t>
      </w:r>
      <w:r w:rsidR="00602904" w:rsidRPr="00F543C1">
        <w:t>ver</w:t>
      </w:r>
      <w:r w:rsidRPr="00F543C1">
        <w:t xml:space="preserve"> possible, centring the needs of the person and their whānau rather than those of the service provider is likely to lead to improved outcomes.</w:t>
      </w:r>
      <w:r w:rsidR="00602904" w:rsidRPr="009006D7">
        <w:rPr>
          <w:rStyle w:val="FootnoteReference"/>
        </w:rPr>
        <w:footnoteReference w:id="71"/>
      </w:r>
      <w:r w:rsidRPr="00726346">
        <w:t xml:space="preserve"> People with multiple, complex needs can experience providers making things worse rather than better through a l</w:t>
      </w:r>
      <w:r w:rsidRPr="00F543C1">
        <w:t>ack of flexibility and understanding (for example, someone who needs to choose between a mandatory court appearance and taking their baby to a long-awaited surgical appointment loses either way).</w:t>
      </w:r>
    </w:p>
    <w:p w14:paraId="19A855C5" w14:textId="340C566A" w:rsidR="00E0773E" w:rsidRPr="00F543C1" w:rsidRDefault="000D52A3" w:rsidP="00E034F9">
      <w:pPr>
        <w:pStyle w:val="USBodyText"/>
      </w:pPr>
      <w:r w:rsidRPr="00F543C1">
        <w:t>I</w:t>
      </w:r>
      <w:r w:rsidR="00E0773E" w:rsidRPr="00F543C1">
        <w:t xml:space="preserve">nstead of viewing diversity of provision and flexibility as potentially inefficient and wasteful, </w:t>
      </w:r>
      <w:r w:rsidR="008D02B3" w:rsidRPr="00F543C1">
        <w:t xml:space="preserve">these </w:t>
      </w:r>
      <w:r w:rsidR="00E0773E" w:rsidRPr="00F543C1">
        <w:t>should be seen as essential component</w:t>
      </w:r>
      <w:r w:rsidR="008D02B3" w:rsidRPr="00F543C1">
        <w:t>s</w:t>
      </w:r>
      <w:r w:rsidR="00E0773E" w:rsidRPr="00F543C1">
        <w:t xml:space="preserve"> of </w:t>
      </w:r>
      <w:proofErr w:type="gramStart"/>
      <w:r w:rsidR="00E0773E" w:rsidRPr="00F543C1">
        <w:t>providing assistance</w:t>
      </w:r>
      <w:proofErr w:type="gramEnd"/>
      <w:r w:rsidR="00E0773E" w:rsidRPr="00F543C1">
        <w:t xml:space="preserve"> that will reach </w:t>
      </w:r>
      <w:r w:rsidR="00A00570" w:rsidRPr="00F543C1">
        <w:t>people</w:t>
      </w:r>
      <w:r w:rsidR="00E0773E" w:rsidRPr="00F543C1">
        <w:t xml:space="preserve"> experiencing persistent disadvantage</w:t>
      </w:r>
      <w:r w:rsidR="00F56417" w:rsidRPr="00F543C1">
        <w:t xml:space="preserve"> and help them to improve their lives</w:t>
      </w:r>
      <w:r w:rsidR="00E0773E" w:rsidRPr="00F543C1">
        <w:t xml:space="preserve">. </w:t>
      </w:r>
    </w:p>
    <w:p w14:paraId="6C87E98A" w14:textId="4CD2AF5C" w:rsidR="00A06F64" w:rsidRPr="00F543C1" w:rsidRDefault="00CD0774" w:rsidP="00E034F9">
      <w:pPr>
        <w:pStyle w:val="USBodyText"/>
      </w:pPr>
      <w:r w:rsidRPr="00F543C1">
        <w:t xml:space="preserve">In practice, </w:t>
      </w:r>
      <w:r w:rsidR="00A8311E" w:rsidRPr="00F543C1">
        <w:t>this</w:t>
      </w:r>
      <w:r w:rsidR="00E8150B" w:rsidRPr="00F543C1">
        <w:t xml:space="preserve"> </w:t>
      </w:r>
      <w:r w:rsidR="008D75D0" w:rsidRPr="00F543C1">
        <w:t xml:space="preserve">will often </w:t>
      </w:r>
      <w:r w:rsidR="00E8150B" w:rsidRPr="00F543C1">
        <w:t xml:space="preserve">mean </w:t>
      </w:r>
      <w:r w:rsidR="008D0C61" w:rsidRPr="00F543C1">
        <w:t xml:space="preserve">building </w:t>
      </w:r>
      <w:r w:rsidR="00E93E98" w:rsidRPr="00726346">
        <w:t xml:space="preserve">additional </w:t>
      </w:r>
      <w:r w:rsidR="008D0C61" w:rsidRPr="00F543C1">
        <w:t>capacity</w:t>
      </w:r>
      <w:r w:rsidR="00E93E98" w:rsidRPr="00F543C1">
        <w:t xml:space="preserve"> </w:t>
      </w:r>
      <w:r w:rsidR="006D54E3" w:rsidRPr="00F543C1">
        <w:t xml:space="preserve">and </w:t>
      </w:r>
      <w:r w:rsidR="004A2D03" w:rsidRPr="00F543C1">
        <w:t xml:space="preserve">contingency </w:t>
      </w:r>
      <w:r w:rsidR="00780460" w:rsidRPr="00F543C1">
        <w:t>capability and</w:t>
      </w:r>
      <w:r w:rsidR="00E337FC" w:rsidRPr="00F543C1">
        <w:t xml:space="preserve"> </w:t>
      </w:r>
      <w:r w:rsidR="001D7FC0" w:rsidRPr="00F543C1">
        <w:t>supporting</w:t>
      </w:r>
      <w:r w:rsidR="00A8311E" w:rsidRPr="00F543C1">
        <w:t xml:space="preserve"> a choice of providers</w:t>
      </w:r>
      <w:r w:rsidR="008D75D0" w:rsidRPr="00F543C1">
        <w:t xml:space="preserve">. Some people </w:t>
      </w:r>
      <w:r w:rsidR="001A4F2D" w:rsidRPr="00F543C1">
        <w:t xml:space="preserve">will prefer to engage with an iwi-led </w:t>
      </w:r>
      <w:r w:rsidR="00BE6546" w:rsidRPr="00F543C1">
        <w:t xml:space="preserve">or </w:t>
      </w:r>
      <w:r w:rsidR="00AF41C4" w:rsidRPr="00F543C1">
        <w:t>an</w:t>
      </w:r>
      <w:r w:rsidR="00BE6546" w:rsidRPr="00F543C1">
        <w:t xml:space="preserve">other </w:t>
      </w:r>
      <w:r w:rsidR="001A4F2D" w:rsidRPr="00F543C1">
        <w:t>provider</w:t>
      </w:r>
      <w:r w:rsidR="00BE6546" w:rsidRPr="00F543C1">
        <w:t xml:space="preserve"> </w:t>
      </w:r>
      <w:r w:rsidR="002F6BD7" w:rsidRPr="00F543C1">
        <w:t>from their ethnic or cultural background</w:t>
      </w:r>
      <w:r w:rsidR="00E128D5" w:rsidRPr="00F543C1">
        <w:t>.</w:t>
      </w:r>
      <w:r w:rsidR="001A4F2D" w:rsidRPr="00F543C1">
        <w:t xml:space="preserve"> </w:t>
      </w:r>
      <w:r w:rsidR="00E128D5" w:rsidRPr="00F543C1">
        <w:t>O</w:t>
      </w:r>
      <w:r w:rsidR="001A4F2D" w:rsidRPr="00F543C1">
        <w:t xml:space="preserve">thers might want </w:t>
      </w:r>
      <w:r w:rsidR="00C42783" w:rsidRPr="00F543C1">
        <w:t>a</w:t>
      </w:r>
      <w:r w:rsidR="001A4F2D" w:rsidRPr="00F543C1">
        <w:t xml:space="preserve"> faith-based service </w:t>
      </w:r>
      <w:r w:rsidR="00202831" w:rsidRPr="00F543C1">
        <w:t xml:space="preserve">or </w:t>
      </w:r>
      <w:r w:rsidR="00E94554" w:rsidRPr="00F543C1">
        <w:t xml:space="preserve">support from an </w:t>
      </w:r>
      <w:r w:rsidR="00AF6C8F" w:rsidRPr="00F543C1">
        <w:t>organisation</w:t>
      </w:r>
      <w:r w:rsidR="00E94554" w:rsidRPr="00F543C1">
        <w:t xml:space="preserve"> that provides a range of services in one location. </w:t>
      </w:r>
    </w:p>
    <w:p w14:paraId="2F7EA7FC" w14:textId="5A6AB439" w:rsidR="003B6CE6" w:rsidRPr="00F543C1" w:rsidRDefault="003B6CE6" w:rsidP="00E034F9">
      <w:pPr>
        <w:pStyle w:val="USBodyText"/>
      </w:pPr>
      <w:r w:rsidRPr="00F543C1">
        <w:t xml:space="preserve">It may also mean loosening </w:t>
      </w:r>
      <w:r w:rsidR="00A354D1" w:rsidRPr="00F543C1">
        <w:t xml:space="preserve">– </w:t>
      </w:r>
      <w:r w:rsidRPr="00F543C1">
        <w:t>or</w:t>
      </w:r>
      <w:r w:rsidR="00A354D1" w:rsidRPr="00F543C1">
        <w:t xml:space="preserve"> even entirely</w:t>
      </w:r>
      <w:r w:rsidRPr="00F543C1">
        <w:t xml:space="preserve"> moving away from</w:t>
      </w:r>
      <w:r w:rsidR="00A354D1" w:rsidRPr="00F543C1">
        <w:t xml:space="preserve"> </w:t>
      </w:r>
      <w:r w:rsidR="00DE15C1" w:rsidRPr="00F543C1">
        <w:t xml:space="preserve">– </w:t>
      </w:r>
      <w:r w:rsidR="00A354D1" w:rsidRPr="00F543C1">
        <w:t>strict</w:t>
      </w:r>
      <w:r w:rsidRPr="00F543C1">
        <w:t xml:space="preserve"> eligibility criteria</w:t>
      </w:r>
      <w:r w:rsidR="00D47408" w:rsidRPr="00F543C1">
        <w:t xml:space="preserve"> </w:t>
      </w:r>
      <w:r w:rsidRPr="00F543C1">
        <w:t xml:space="preserve">for </w:t>
      </w:r>
      <w:r w:rsidR="001D7FC0" w:rsidRPr="00F543C1">
        <w:t xml:space="preserve">services </w:t>
      </w:r>
      <w:r w:rsidR="00ED5F08" w:rsidRPr="00F543C1">
        <w:t>for people experiencing persistent disadvantage</w:t>
      </w:r>
      <w:r w:rsidR="00913A2C" w:rsidRPr="00F543C1">
        <w:t xml:space="preserve"> </w:t>
      </w:r>
      <w:r w:rsidR="001D7FC0" w:rsidRPr="00F543C1">
        <w:t>and</w:t>
      </w:r>
      <w:r w:rsidR="00A354D1" w:rsidRPr="00F543C1">
        <w:t xml:space="preserve"> trusting providers to </w:t>
      </w:r>
      <w:r w:rsidR="000977EF" w:rsidRPr="00F543C1">
        <w:t>do the right thing.</w:t>
      </w:r>
      <w:r w:rsidR="00913A2C" w:rsidRPr="009006D7">
        <w:rPr>
          <w:rStyle w:val="FootnoteReference"/>
        </w:rPr>
        <w:footnoteReference w:id="72"/>
      </w:r>
      <w:r w:rsidR="001A7AC6" w:rsidRPr="00726346">
        <w:t xml:space="preserve"> This would, however, create a new eligibility </w:t>
      </w:r>
      <w:r w:rsidR="0051622A" w:rsidRPr="00F543C1">
        <w:t xml:space="preserve">boundary between those </w:t>
      </w:r>
      <w:r w:rsidR="00EC7EA1" w:rsidRPr="00F543C1">
        <w:t>experiencing persistent disadvantage and those not, which would also lead to equity concerns that</w:t>
      </w:r>
      <w:r w:rsidR="0051622A" w:rsidRPr="00F543C1">
        <w:t xml:space="preserve"> need to be addressed.</w:t>
      </w:r>
      <w:r w:rsidR="000977EF" w:rsidRPr="00F543C1">
        <w:t xml:space="preserve"> </w:t>
      </w:r>
    </w:p>
    <w:p w14:paraId="15399132" w14:textId="3ECC40D7" w:rsidR="00172702" w:rsidRPr="00F543C1" w:rsidRDefault="000977EF" w:rsidP="00E034F9">
      <w:pPr>
        <w:pStyle w:val="USBodyText"/>
      </w:pPr>
      <w:r w:rsidRPr="00F543C1">
        <w:t>This is where the right accountability framework is key</w:t>
      </w:r>
      <w:r w:rsidR="00172702" w:rsidRPr="00F543C1">
        <w:t xml:space="preserve">, as it is through accountability that limits on what is and is not acceptable are developed and applied. For example, an accountability regime can </w:t>
      </w:r>
      <w:r w:rsidR="006C23F3" w:rsidRPr="00F543C1">
        <w:t>ensure that</w:t>
      </w:r>
      <w:r w:rsidR="00101B41">
        <w:t xml:space="preserve"> a wider range of assistance </w:t>
      </w:r>
      <w:r w:rsidR="00C331B9">
        <w:t xml:space="preserve">is </w:t>
      </w:r>
      <w:r w:rsidR="00C331B9" w:rsidRPr="00F543C1">
        <w:t>provided</w:t>
      </w:r>
      <w:r w:rsidR="006C23F3" w:rsidRPr="00F543C1">
        <w:t xml:space="preserve"> within a fixed</w:t>
      </w:r>
      <w:r w:rsidR="00172702" w:rsidRPr="00F543C1">
        <w:t xml:space="preserve"> budget.</w:t>
      </w:r>
    </w:p>
    <w:p w14:paraId="440BD274" w14:textId="20E4F8D2" w:rsidR="00EB1522" w:rsidRPr="00F543C1" w:rsidRDefault="000977EF" w:rsidP="00E034F9">
      <w:pPr>
        <w:pStyle w:val="USBodyText"/>
      </w:pPr>
      <w:r w:rsidRPr="00F543C1">
        <w:t xml:space="preserve">There are </w:t>
      </w:r>
      <w:r w:rsidR="008E1A4B" w:rsidRPr="00F543C1">
        <w:t>already</w:t>
      </w:r>
      <w:r w:rsidR="00004EAA" w:rsidRPr="00F543C1">
        <w:t xml:space="preserve"> </w:t>
      </w:r>
      <w:r w:rsidRPr="00F543C1">
        <w:t xml:space="preserve">examples of </w:t>
      </w:r>
      <w:r w:rsidR="00532CAA" w:rsidRPr="00F543C1">
        <w:t xml:space="preserve">organisations </w:t>
      </w:r>
      <w:r w:rsidR="006C23F3" w:rsidRPr="00F543C1">
        <w:t xml:space="preserve">that </w:t>
      </w:r>
      <w:r w:rsidRPr="00F543C1">
        <w:t xml:space="preserve">manage </w:t>
      </w:r>
      <w:r w:rsidR="00FE31B6" w:rsidRPr="00F543C1">
        <w:t xml:space="preserve">this kind of </w:t>
      </w:r>
      <w:r w:rsidR="00E80A3F" w:rsidRPr="00F543C1">
        <w:t xml:space="preserve">flexibility well. </w:t>
      </w:r>
      <w:r w:rsidR="00C5571D" w:rsidRPr="00F543C1">
        <w:t xml:space="preserve">As </w:t>
      </w:r>
      <w:r w:rsidR="00E80A3F" w:rsidRPr="00F543C1">
        <w:t xml:space="preserve">Manaaki </w:t>
      </w:r>
      <w:proofErr w:type="spellStart"/>
      <w:r w:rsidR="00E80A3F" w:rsidRPr="00F543C1">
        <w:t>Tairāwhiti</w:t>
      </w:r>
      <w:proofErr w:type="spellEnd"/>
      <w:r w:rsidR="00E80A3F" w:rsidRPr="00F543C1">
        <w:t xml:space="preserve"> </w:t>
      </w:r>
      <w:r w:rsidR="00D31969" w:rsidRPr="00F543C1">
        <w:t xml:space="preserve">Programme Lead </w:t>
      </w:r>
      <w:proofErr w:type="spellStart"/>
      <w:r w:rsidR="00D31969" w:rsidRPr="00F543C1">
        <w:t>Leslynne</w:t>
      </w:r>
      <w:proofErr w:type="spellEnd"/>
      <w:r w:rsidR="00D31969" w:rsidRPr="00F543C1">
        <w:t xml:space="preserve"> Jackson said</w:t>
      </w:r>
      <w:r w:rsidR="00EB1522" w:rsidRPr="00F543C1">
        <w:t>:</w:t>
      </w:r>
    </w:p>
    <w:p w14:paraId="0FACE098" w14:textId="77777777" w:rsidR="00172702" w:rsidRPr="00F543C1" w:rsidRDefault="00EB1522" w:rsidP="00172702">
      <w:pPr>
        <w:pStyle w:val="Quotation"/>
      </w:pPr>
      <w:r w:rsidRPr="00F543C1">
        <w:rPr>
          <w:shd w:val="clear" w:color="auto" w:fill="FFFFFF"/>
        </w:rPr>
        <w:t>Why would people ask for help if they don’t need it? It’s not really a big problem. </w:t>
      </w:r>
      <w:r w:rsidR="003203CB" w:rsidRPr="00F543C1">
        <w:rPr>
          <w:shd w:val="clear" w:color="auto" w:fill="FFFFFF"/>
        </w:rPr>
        <w:t>W</w:t>
      </w:r>
      <w:r w:rsidRPr="00F543C1">
        <w:rPr>
          <w:shd w:val="clear" w:color="auto" w:fill="FFFFFF"/>
        </w:rPr>
        <w:t xml:space="preserve">e trust the judgement of those practitioners who have a trusted relationship with </w:t>
      </w:r>
      <w:proofErr w:type="spellStart"/>
      <w:r w:rsidRPr="00F543C1">
        <w:rPr>
          <w:shd w:val="clear" w:color="auto" w:fill="FFFFFF"/>
        </w:rPr>
        <w:t>whan</w:t>
      </w:r>
      <w:r w:rsidR="00396B02" w:rsidRPr="00F543C1">
        <w:t>ā</w:t>
      </w:r>
      <w:r w:rsidRPr="00F543C1">
        <w:rPr>
          <w:shd w:val="clear" w:color="auto" w:fill="FFFFFF"/>
        </w:rPr>
        <w:t>u</w:t>
      </w:r>
      <w:proofErr w:type="spellEnd"/>
      <w:r w:rsidRPr="00F543C1">
        <w:rPr>
          <w:shd w:val="clear" w:color="auto" w:fill="FFFFFF"/>
        </w:rPr>
        <w:t xml:space="preserve"> to know </w:t>
      </w:r>
      <w:r w:rsidR="003203CB" w:rsidRPr="00F543C1">
        <w:rPr>
          <w:shd w:val="clear" w:color="auto" w:fill="FFFFFF"/>
        </w:rPr>
        <w:t>how</w:t>
      </w:r>
      <w:r w:rsidRPr="00F543C1">
        <w:rPr>
          <w:shd w:val="clear" w:color="auto" w:fill="FFFFFF"/>
        </w:rPr>
        <w:t xml:space="preserve"> to allocate their time most effectively. Practitioners know that their time is a limited resource.</w:t>
      </w:r>
      <w:r w:rsidR="000F47A6" w:rsidRPr="009006D7">
        <w:rPr>
          <w:rStyle w:val="FootnoteReference"/>
        </w:rPr>
        <w:footnoteReference w:id="73"/>
      </w:r>
      <w:r w:rsidR="00396B02" w:rsidRPr="00726346">
        <w:rPr>
          <w:i w:val="0"/>
          <w:iCs/>
          <w:shd w:val="clear" w:color="auto" w:fill="FFFFFF"/>
        </w:rPr>
        <w:t xml:space="preserve"> </w:t>
      </w:r>
      <w:r w:rsidR="005222E0" w:rsidRPr="00F543C1">
        <w:t xml:space="preserve"> </w:t>
      </w:r>
    </w:p>
    <w:p w14:paraId="434476A2" w14:textId="2C929D64" w:rsidR="00C820BC" w:rsidRPr="00F543C1" w:rsidRDefault="00CB6507" w:rsidP="002A26B1">
      <w:pPr>
        <w:pStyle w:val="USBodyText"/>
      </w:pPr>
      <w:r w:rsidRPr="00F543C1">
        <w:t xml:space="preserve">There are also instances of </w:t>
      </w:r>
      <w:r w:rsidR="006459C5" w:rsidRPr="00F543C1">
        <w:t>perverse outcomes</w:t>
      </w:r>
      <w:r w:rsidR="00E37801" w:rsidRPr="00F543C1">
        <w:t xml:space="preserve"> </w:t>
      </w:r>
      <w:r w:rsidR="00C820BC" w:rsidRPr="00F543C1">
        <w:t>occurring</w:t>
      </w:r>
      <w:r w:rsidR="00C3329D" w:rsidRPr="00F543C1">
        <w:t xml:space="preserve"> under contract</w:t>
      </w:r>
      <w:r w:rsidR="00855D73" w:rsidRPr="00F543C1">
        <w:t>s</w:t>
      </w:r>
      <w:r w:rsidR="00C3329D" w:rsidRPr="00F543C1">
        <w:t xml:space="preserve"> that fund on a fee</w:t>
      </w:r>
      <w:r w:rsidR="00C820BC" w:rsidRPr="00F543C1">
        <w:t>-</w:t>
      </w:r>
      <w:r w:rsidR="00C3329D" w:rsidRPr="00F543C1">
        <w:t>for</w:t>
      </w:r>
      <w:r w:rsidR="00C820BC" w:rsidRPr="00F543C1">
        <w:t>-</w:t>
      </w:r>
      <w:r w:rsidR="00C3329D" w:rsidRPr="00F543C1">
        <w:t xml:space="preserve">service or service volumes basis </w:t>
      </w:r>
      <w:r w:rsidR="00E87A1B" w:rsidRPr="00F543C1">
        <w:t xml:space="preserve">– such as people with disabilities being </w:t>
      </w:r>
      <w:r w:rsidR="001D6D89" w:rsidRPr="00F543C1">
        <w:t>ke</w:t>
      </w:r>
      <w:r w:rsidR="00E37801" w:rsidRPr="00F543C1">
        <w:t xml:space="preserve">pt in </w:t>
      </w:r>
      <w:r w:rsidR="001D6D89" w:rsidRPr="00F543C1">
        <w:lastRenderedPageBreak/>
        <w:t>states of learned helplessness so that providers continue to be funded for ongoing services.</w:t>
      </w:r>
      <w:r w:rsidR="00C820BC" w:rsidRPr="009006D7">
        <w:rPr>
          <w:rStyle w:val="FootnoteReference"/>
        </w:rPr>
        <w:footnoteReference w:id="74"/>
      </w:r>
      <w:r w:rsidR="001D6D89" w:rsidRPr="00726346">
        <w:t xml:space="preserve"> </w:t>
      </w:r>
    </w:p>
    <w:p w14:paraId="3D31995E" w14:textId="4C85698F" w:rsidR="001D124C" w:rsidRPr="00F543C1" w:rsidRDefault="004B263F" w:rsidP="00172702">
      <w:pPr>
        <w:pStyle w:val="Heading4"/>
      </w:pPr>
      <w:r w:rsidRPr="00F543C1">
        <w:t>Embedding</w:t>
      </w:r>
      <w:r w:rsidR="00B41ADF" w:rsidRPr="00F543C1">
        <w:t xml:space="preserve"> ongoing</w:t>
      </w:r>
      <w:r w:rsidRPr="00F543C1">
        <w:t xml:space="preserve"> learning and systems thinking at all levels</w:t>
      </w:r>
      <w:r w:rsidR="00FA167F" w:rsidRPr="00F543C1">
        <w:t xml:space="preserve"> </w:t>
      </w:r>
    </w:p>
    <w:p w14:paraId="3B048D05" w14:textId="098C4A2B" w:rsidR="00CC2183" w:rsidRPr="00F543C1" w:rsidRDefault="00FA167F" w:rsidP="00B336C8">
      <w:pPr>
        <w:pStyle w:val="USBodyText"/>
      </w:pPr>
      <w:r w:rsidRPr="00F543C1">
        <w:t>T</w:t>
      </w:r>
      <w:r w:rsidR="005666E4" w:rsidRPr="00F543C1">
        <w:t xml:space="preserve">he atomised nature of current approaches to ‘service delivery’ </w:t>
      </w:r>
      <w:r w:rsidR="009133D7" w:rsidRPr="00F543C1">
        <w:t>is</w:t>
      </w:r>
      <w:r w:rsidR="008D0A7B" w:rsidRPr="00F543C1">
        <w:t>,</w:t>
      </w:r>
      <w:r w:rsidR="009133D7" w:rsidRPr="00F543C1">
        <w:t xml:space="preserve"> in part</w:t>
      </w:r>
      <w:r w:rsidR="008D0A7B" w:rsidRPr="00F543C1">
        <w:t>,</w:t>
      </w:r>
      <w:r w:rsidR="009133D7" w:rsidRPr="00F543C1">
        <w:t xml:space="preserve"> a natural result </w:t>
      </w:r>
      <w:r w:rsidR="00730084" w:rsidRPr="00F543C1">
        <w:t>of</w:t>
      </w:r>
      <w:r w:rsidR="009133D7" w:rsidRPr="00F543C1">
        <w:t xml:space="preserve"> a system of government that is organised in specialist </w:t>
      </w:r>
      <w:r w:rsidR="00AD0DD2">
        <w:t xml:space="preserve">government agencies (a mix of departments and various types of Crown </w:t>
      </w:r>
      <w:r w:rsidR="000E5658">
        <w:t>entries</w:t>
      </w:r>
      <w:r w:rsidR="0089605F">
        <w:t>)</w:t>
      </w:r>
      <w:r w:rsidR="009133D7" w:rsidRPr="00F543C1">
        <w:t xml:space="preserve">, operating under a vertical chain of accountability (see </w:t>
      </w:r>
      <w:r w:rsidR="009133D7" w:rsidRPr="00F543C1">
        <w:fldChar w:fldCharType="begin"/>
      </w:r>
      <w:r w:rsidR="009133D7" w:rsidRPr="00F543C1">
        <w:instrText xml:space="preserve"> REF _Ref124878359 \h </w:instrText>
      </w:r>
      <w:r w:rsidR="009133D7" w:rsidRPr="00F543C1">
        <w:fldChar w:fldCharType="separate"/>
      </w:r>
      <w:r w:rsidR="00E06351" w:rsidRPr="00F543C1">
        <w:t>Figure </w:t>
      </w:r>
      <w:r w:rsidR="00E06351">
        <w:rPr>
          <w:noProof/>
        </w:rPr>
        <w:t>10</w:t>
      </w:r>
      <w:r w:rsidR="009133D7" w:rsidRPr="00F543C1">
        <w:fldChar w:fldCharType="end"/>
      </w:r>
      <w:r w:rsidR="009133D7" w:rsidRPr="00726346">
        <w:t xml:space="preserve"> </w:t>
      </w:r>
      <w:r w:rsidR="00DF3456" w:rsidRPr="00F543C1">
        <w:t>on</w:t>
      </w:r>
      <w:r w:rsidR="009133D7" w:rsidRPr="00F543C1">
        <w:t xml:space="preserve"> page </w:t>
      </w:r>
      <w:r w:rsidR="009133D7" w:rsidRPr="00F543C1">
        <w:fldChar w:fldCharType="begin"/>
      </w:r>
      <w:r w:rsidR="009133D7" w:rsidRPr="00F543C1">
        <w:instrText xml:space="preserve"> PAGEREF _Ref125486413 \h </w:instrText>
      </w:r>
      <w:r w:rsidR="009133D7" w:rsidRPr="00F543C1">
        <w:fldChar w:fldCharType="separate"/>
      </w:r>
      <w:r w:rsidR="00E06351">
        <w:rPr>
          <w:noProof/>
        </w:rPr>
        <w:t>75</w:t>
      </w:r>
      <w:r w:rsidR="009133D7" w:rsidRPr="00F543C1">
        <w:fldChar w:fldCharType="end"/>
      </w:r>
      <w:r w:rsidR="009133D7" w:rsidRPr="00726346">
        <w:t xml:space="preserve">). </w:t>
      </w:r>
      <w:r w:rsidR="007B0D1F" w:rsidRPr="00F543C1">
        <w:t>W</w:t>
      </w:r>
      <w:r w:rsidR="002B7949" w:rsidRPr="00F543C1">
        <w:t>hile efforts to improve coordination</w:t>
      </w:r>
      <w:r w:rsidR="00540A4F" w:rsidRPr="00F543C1">
        <w:t>, including through the use of navigators,</w:t>
      </w:r>
      <w:r w:rsidR="002B7949" w:rsidRPr="00F543C1">
        <w:t xml:space="preserve"> are welcome</w:t>
      </w:r>
      <w:r w:rsidR="003F665F" w:rsidRPr="00726346">
        <w:t>,</w:t>
      </w:r>
      <w:r w:rsidR="002B7949" w:rsidRPr="00F543C1">
        <w:t xml:space="preserve"> </w:t>
      </w:r>
      <w:r w:rsidR="00343397" w:rsidRPr="00F543C1">
        <w:t>t</w:t>
      </w:r>
      <w:r w:rsidR="00455A76" w:rsidRPr="00F543C1">
        <w:t xml:space="preserve">his </w:t>
      </w:r>
      <w:r w:rsidR="00343397" w:rsidRPr="00F543C1">
        <w:t>system</w:t>
      </w:r>
      <w:r w:rsidR="00283481" w:rsidRPr="00F543C1">
        <w:t xml:space="preserve"> </w:t>
      </w:r>
      <w:r w:rsidR="00013019" w:rsidRPr="00F543C1">
        <w:t>struggles to</w:t>
      </w:r>
      <w:r w:rsidR="00CC2183" w:rsidRPr="00F543C1">
        <w:t xml:space="preserve"> incorporate </w:t>
      </w:r>
      <w:r w:rsidR="0075409B" w:rsidRPr="00F543C1">
        <w:t xml:space="preserve">the kind of flexible, adaptive, trust-based </w:t>
      </w:r>
      <w:r w:rsidR="008E3C98" w:rsidRPr="00F543C1">
        <w:t>mindsets</w:t>
      </w:r>
      <w:r w:rsidR="0075409B" w:rsidRPr="00F543C1">
        <w:t xml:space="preserve"> </w:t>
      </w:r>
      <w:r w:rsidR="008E3C98" w:rsidRPr="00F543C1">
        <w:t xml:space="preserve">outlined </w:t>
      </w:r>
      <w:r w:rsidR="005816DE" w:rsidRPr="00F543C1">
        <w:t>above</w:t>
      </w:r>
      <w:r w:rsidR="00FD0694">
        <w:t xml:space="preserve">, see Fry </w:t>
      </w:r>
      <w:r w:rsidR="00FD0694" w:rsidRPr="00F543C1">
        <w:fldChar w:fldCharType="begin"/>
      </w:r>
      <w:r w:rsidR="009B0EC4">
        <w:instrText xml:space="preserve"> ADDIN ZOTERO_ITEM CSL_CITATION {"citationID":"BzLFsrjU","properties":{"formattedCitation":"(2022)","plainCitation":"(2022)","noteIndex":0},"citationItems":[{"id":18461,"uris":["http://zotero.org/groups/4801058/items/Y4XY6L7J"],"itemData":{"id":18461,"type":"report","event-place":"Wellington","publisher":"Productivity Commission","publisher-place":"Wellington","title":"Together alone: A review of joined-up social services","URL":"https://www.productivity.govt.nz/assets/Documents/Together-alone_A-review-of-joined-up-social-services.pdf","author":[{"family":"Fry","given":"Julie"}],"accessed":{"date-parts":[["2023",1,15]]},"issued":{"date-parts":[["2022"]]}},"suppress-author":true}],"schema":"https://github.com/citation-style-language/schema/raw/master/csl-citation.json"} </w:instrText>
      </w:r>
      <w:r w:rsidR="00FD0694" w:rsidRPr="00F543C1">
        <w:fldChar w:fldCharType="separate"/>
      </w:r>
      <w:r w:rsidR="00660BDF" w:rsidRPr="00660BDF">
        <w:rPr>
          <w:rFonts w:cs="Calibri"/>
        </w:rPr>
        <w:t>(2022)</w:t>
      </w:r>
      <w:r w:rsidR="00FD0694" w:rsidRPr="00F543C1">
        <w:fldChar w:fldCharType="end"/>
      </w:r>
    </w:p>
    <w:p w14:paraId="3C3DBC25" w14:textId="10707A13" w:rsidR="006F3C77" w:rsidRPr="00F543C1" w:rsidRDefault="002904D9" w:rsidP="00E034F9">
      <w:pPr>
        <w:pStyle w:val="USBodyText"/>
      </w:pPr>
      <w:r w:rsidRPr="00F543C1">
        <w:t>As a result,</w:t>
      </w:r>
      <w:r w:rsidR="005816DE" w:rsidRPr="00F543C1">
        <w:t xml:space="preserve"> </w:t>
      </w:r>
      <w:r w:rsidR="00DD3328" w:rsidRPr="00F543C1">
        <w:t xml:space="preserve">a parallel approach </w:t>
      </w:r>
      <w:r w:rsidR="00CC2183" w:rsidRPr="00F543C1">
        <w:t>is</w:t>
      </w:r>
      <w:r w:rsidR="00844BD5" w:rsidRPr="00F543C1">
        <w:t xml:space="preserve"> </w:t>
      </w:r>
      <w:r w:rsidR="00DD3328" w:rsidRPr="00F543C1">
        <w:t>needed</w:t>
      </w:r>
      <w:r w:rsidR="003F665F" w:rsidRPr="00F543C1">
        <w:t xml:space="preserve"> to</w:t>
      </w:r>
      <w:r w:rsidR="009A6D85" w:rsidRPr="00F543C1">
        <w:t xml:space="preserve"> </w:t>
      </w:r>
      <w:r w:rsidR="00C46094" w:rsidRPr="00F543C1">
        <w:t xml:space="preserve">improve the lives </w:t>
      </w:r>
      <w:r w:rsidR="009A6D85" w:rsidRPr="00F543C1">
        <w:t>of people experiencing persistent disadvantage.</w:t>
      </w:r>
      <w:r w:rsidR="00CC2183" w:rsidRPr="00F543C1">
        <w:t xml:space="preserve"> I</w:t>
      </w:r>
      <w:r w:rsidR="00EE24E4" w:rsidRPr="00F543C1">
        <w:t xml:space="preserve">n section </w:t>
      </w:r>
      <w:r w:rsidR="006C39CC">
        <w:fldChar w:fldCharType="begin"/>
      </w:r>
      <w:r w:rsidR="006C39CC">
        <w:instrText xml:space="preserve"> REF _Ref124945256 \r \h </w:instrText>
      </w:r>
      <w:r w:rsidR="006C39CC">
        <w:fldChar w:fldCharType="separate"/>
      </w:r>
      <w:r w:rsidR="00E06351">
        <w:t>2.5.1</w:t>
      </w:r>
      <w:r w:rsidR="006C39CC">
        <w:fldChar w:fldCharType="end"/>
      </w:r>
      <w:r w:rsidR="00EE24E4" w:rsidRPr="00F543C1">
        <w:t xml:space="preserve">, we provide </w:t>
      </w:r>
      <w:r w:rsidR="00455C31">
        <w:t xml:space="preserve">a </w:t>
      </w:r>
      <w:r w:rsidR="00EE24E4" w:rsidRPr="00F543C1">
        <w:t>detailed case stud</w:t>
      </w:r>
      <w:r w:rsidR="00455C31">
        <w:t>y</w:t>
      </w:r>
      <w:r w:rsidR="00EE24E4" w:rsidRPr="00F543C1">
        <w:t xml:space="preserve"> of </w:t>
      </w:r>
      <w:r w:rsidR="00FC05B7" w:rsidRPr="00F543C1">
        <w:t xml:space="preserve">two </w:t>
      </w:r>
      <w:r w:rsidR="000717EA">
        <w:t>PBIs</w:t>
      </w:r>
      <w:r w:rsidR="00FC05B7" w:rsidRPr="00F543C1">
        <w:t xml:space="preserve">, Manaaki </w:t>
      </w:r>
      <w:proofErr w:type="spellStart"/>
      <w:r w:rsidR="00FC05B7" w:rsidRPr="00F543C1">
        <w:t>Tairāwhiti</w:t>
      </w:r>
      <w:proofErr w:type="spellEnd"/>
      <w:r w:rsidR="00FC05B7" w:rsidRPr="00F543C1">
        <w:t xml:space="preserve"> and the South Auckland Social Wellbeing Board</w:t>
      </w:r>
      <w:r w:rsidR="00894775" w:rsidRPr="00F543C1">
        <w:t>,</w:t>
      </w:r>
      <w:r w:rsidR="00DB2694" w:rsidRPr="00F543C1">
        <w:t xml:space="preserve"> which </w:t>
      </w:r>
      <w:r w:rsidR="00910A6C" w:rsidRPr="00F543C1">
        <w:t xml:space="preserve">demonstrate </w:t>
      </w:r>
      <w:r w:rsidR="00143E72" w:rsidRPr="00F543C1">
        <w:t xml:space="preserve">how this approach can work in practice. </w:t>
      </w:r>
      <w:r w:rsidR="001F7EF7" w:rsidRPr="00F543C1">
        <w:t>Both</w:t>
      </w:r>
      <w:r w:rsidR="00180620" w:rsidRPr="00F543C1">
        <w:t xml:space="preserve"> embody</w:t>
      </w:r>
      <w:r w:rsidR="001F7EF7" w:rsidRPr="00F543C1">
        <w:t xml:space="preserve"> a </w:t>
      </w:r>
      <w:r w:rsidR="00165D16" w:rsidRPr="00F543C1">
        <w:t>‘test, learn and adapt’</w:t>
      </w:r>
      <w:r w:rsidR="003468DE" w:rsidRPr="00F543C1">
        <w:t xml:space="preserve"> approach</w:t>
      </w:r>
      <w:r w:rsidR="00180620" w:rsidRPr="00F543C1">
        <w:t xml:space="preserve"> in</w:t>
      </w:r>
      <w:r w:rsidR="003468DE" w:rsidRPr="00F543C1">
        <w:t xml:space="preserve"> their way of working,</w:t>
      </w:r>
      <w:r w:rsidR="00165D16" w:rsidRPr="00F543C1">
        <w:t xml:space="preserve"> and</w:t>
      </w:r>
      <w:r w:rsidR="00B41ADF" w:rsidRPr="00F543C1">
        <w:t xml:space="preserve"> </w:t>
      </w:r>
      <w:r w:rsidR="003468DE" w:rsidRPr="00F543C1">
        <w:t xml:space="preserve">have </w:t>
      </w:r>
      <w:r w:rsidR="00B41ADF" w:rsidRPr="00F543C1">
        <w:t>identif</w:t>
      </w:r>
      <w:r w:rsidR="003468DE" w:rsidRPr="00F543C1">
        <w:t>ied</w:t>
      </w:r>
      <w:r w:rsidR="00B41ADF" w:rsidRPr="00F543C1">
        <w:t xml:space="preserve"> </w:t>
      </w:r>
      <w:r w:rsidR="00FE375E" w:rsidRPr="00F543C1">
        <w:t xml:space="preserve">numerous </w:t>
      </w:r>
      <w:r w:rsidR="00B41ADF" w:rsidRPr="00F543C1">
        <w:t>systems challenges</w:t>
      </w:r>
      <w:r w:rsidR="002749DF" w:rsidRPr="00F543C1">
        <w:t xml:space="preserve"> that need to be addressed.</w:t>
      </w:r>
      <w:r w:rsidR="00775529" w:rsidRPr="00F543C1">
        <w:t xml:space="preserve"> </w:t>
      </w:r>
      <w:r w:rsidR="003F6041" w:rsidRPr="00F543C1">
        <w:t>But i</w:t>
      </w:r>
      <w:r w:rsidR="006F3C77" w:rsidRPr="00F543C1">
        <w:t>dentifying these challenges has</w:t>
      </w:r>
      <w:r w:rsidR="00775529" w:rsidRPr="00F543C1">
        <w:t xml:space="preserve"> so far</w:t>
      </w:r>
      <w:r w:rsidR="006F3C77" w:rsidRPr="00F543C1">
        <w:t xml:space="preserve"> failed to lead to systems change</w:t>
      </w:r>
      <w:r w:rsidR="00775529" w:rsidRPr="00F543C1">
        <w:t xml:space="preserve">. </w:t>
      </w:r>
    </w:p>
    <w:p w14:paraId="54E8CF84" w14:textId="25258D55" w:rsidR="00FA167F" w:rsidRPr="00F543C1" w:rsidRDefault="00774B05" w:rsidP="00E034F9">
      <w:pPr>
        <w:pStyle w:val="USBodyText"/>
      </w:pPr>
      <w:r w:rsidRPr="00F543C1">
        <w:t>A commitment to o</w:t>
      </w:r>
      <w:r w:rsidR="00CE1557" w:rsidRPr="00F543C1">
        <w:t xml:space="preserve">ngoing testing, </w:t>
      </w:r>
      <w:proofErr w:type="gramStart"/>
      <w:r w:rsidR="00CE1557" w:rsidRPr="00F543C1">
        <w:t>learning</w:t>
      </w:r>
      <w:proofErr w:type="gramEnd"/>
      <w:r w:rsidR="00CE1557" w:rsidRPr="00F543C1">
        <w:t xml:space="preserve"> and adapting, </w:t>
      </w:r>
      <w:r w:rsidRPr="00F543C1">
        <w:t xml:space="preserve">and </w:t>
      </w:r>
      <w:r w:rsidR="00CE1557" w:rsidRPr="00F543C1">
        <w:t>addressing identi</w:t>
      </w:r>
      <w:r w:rsidRPr="00F543C1">
        <w:t>fied</w:t>
      </w:r>
      <w:r w:rsidR="00CE1557" w:rsidRPr="00F543C1">
        <w:t xml:space="preserve"> systems issues </w:t>
      </w:r>
      <w:r w:rsidR="00986A46" w:rsidRPr="00F543C1">
        <w:t xml:space="preserve">need to be embedded at all </w:t>
      </w:r>
      <w:r w:rsidR="00043831" w:rsidRPr="00F543C1">
        <w:t>levels of the social assistance system</w:t>
      </w:r>
      <w:r w:rsidR="00685A32" w:rsidRPr="00F543C1">
        <w:t xml:space="preserve"> </w:t>
      </w:r>
      <w:r w:rsidR="009B5039" w:rsidRPr="00F543C1">
        <w:t xml:space="preserve">if </w:t>
      </w:r>
      <w:r w:rsidR="00685A32" w:rsidRPr="00F543C1">
        <w:t xml:space="preserve">the potential of this parallel system </w:t>
      </w:r>
      <w:r w:rsidR="00E32350" w:rsidRPr="00F543C1">
        <w:t xml:space="preserve">is </w:t>
      </w:r>
      <w:r w:rsidR="00685A32" w:rsidRPr="00F543C1">
        <w:t>to be</w:t>
      </w:r>
      <w:r w:rsidR="009B5039" w:rsidRPr="00F543C1">
        <w:t xml:space="preserve"> realised</w:t>
      </w:r>
      <w:r w:rsidR="00043831" w:rsidRPr="00F543C1">
        <w:t xml:space="preserve">. </w:t>
      </w:r>
      <w:r w:rsidR="000B6A25">
        <w:t>T</w:t>
      </w:r>
      <w:r w:rsidR="00846E71" w:rsidRPr="00F543C1">
        <w:t xml:space="preserve">his </w:t>
      </w:r>
      <w:r w:rsidR="0053471D" w:rsidRPr="00F543C1">
        <w:t xml:space="preserve">mindset </w:t>
      </w:r>
      <w:r w:rsidR="00047579" w:rsidRPr="00F543C1">
        <w:t>shift</w:t>
      </w:r>
      <w:r w:rsidR="00846E71" w:rsidRPr="00F543C1">
        <w:t xml:space="preserve"> needs to be supported</w:t>
      </w:r>
      <w:r w:rsidR="005008C2" w:rsidRPr="00F543C1">
        <w:t xml:space="preserve"> and reinforced</w:t>
      </w:r>
      <w:r w:rsidR="00846E71" w:rsidRPr="00F543C1">
        <w:t xml:space="preserve"> by </w:t>
      </w:r>
      <w:r w:rsidR="005008C2" w:rsidRPr="00F543C1">
        <w:t>changes to accountability. Until</w:t>
      </w:r>
      <w:r w:rsidR="004271D4" w:rsidRPr="00F543C1">
        <w:t xml:space="preserve"> that happens, </w:t>
      </w:r>
      <w:r w:rsidR="00536082" w:rsidRPr="00F543C1">
        <w:t xml:space="preserve">system failures will </w:t>
      </w:r>
      <w:r w:rsidR="00047579" w:rsidRPr="00F543C1">
        <w:t xml:space="preserve">continue to go undiagnosed and untreated. </w:t>
      </w:r>
    </w:p>
    <w:p w14:paraId="42E98C02" w14:textId="77777777" w:rsidR="001E29AB" w:rsidRPr="00F543C1" w:rsidRDefault="001E29AB" w:rsidP="001E29AB">
      <w:pPr>
        <w:pStyle w:val="Heading3"/>
      </w:pPr>
      <w:bookmarkStart w:id="83" w:name="_Ref125444552"/>
      <w:bookmarkStart w:id="84" w:name="_Toc126092093"/>
      <w:r w:rsidRPr="00F543C1">
        <w:t>Building protective factors and strengthening resilience</w:t>
      </w:r>
      <w:bookmarkEnd w:id="83"/>
      <w:bookmarkEnd w:id="84"/>
    </w:p>
    <w:p w14:paraId="14AD124E" w14:textId="77777777" w:rsidR="001E29AB" w:rsidRPr="00F543C1" w:rsidRDefault="001E29AB" w:rsidP="001E29AB">
      <w:pPr>
        <w:pStyle w:val="USBodyText"/>
      </w:pPr>
      <w:r w:rsidRPr="00F543C1">
        <w:t xml:space="preserve">One advantage to a more personalised and dynamic approach to addressing persistent disadvantage is the opportunity it provides to focus on prevention, including through addressing underlying systemic issues, developing protective </w:t>
      </w:r>
      <w:proofErr w:type="gramStart"/>
      <w:r w:rsidRPr="00F543C1">
        <w:t>factors</w:t>
      </w:r>
      <w:proofErr w:type="gramEnd"/>
      <w:r w:rsidRPr="00F543C1">
        <w:t xml:space="preserve"> and strengthening resilience, rather than primarily delivering crisis responses. </w:t>
      </w:r>
    </w:p>
    <w:p w14:paraId="4EA3EB30" w14:textId="1A5DE4B3" w:rsidR="001E29AB" w:rsidRPr="00F543C1" w:rsidRDefault="001E29AB" w:rsidP="001E29AB">
      <w:pPr>
        <w:pStyle w:val="USBodyText"/>
      </w:pPr>
      <w:r w:rsidRPr="00F543C1">
        <w:t xml:space="preserve">Submissions received by the Commission and summarised in their interim report </w:t>
      </w:r>
      <w:r w:rsidR="008E1A2D" w:rsidRPr="00F543C1">
        <w:t xml:space="preserve">identified </w:t>
      </w:r>
      <w:r w:rsidRPr="00F543C1">
        <w:t xml:space="preserve">a number of protective factors, including “stable, trusted relationships, resilient mental health, culture and identity, connection, and a sense of belonging to a whānau and/or community” </w:t>
      </w:r>
      <w:r w:rsidRPr="00F543C1">
        <w:fldChar w:fldCharType="begin"/>
      </w:r>
      <w:r w:rsidR="009B0EC4">
        <w:instrText xml:space="preserve"> ADDIN ZOTERO_ITEM CSL_CITATION {"citationID":"zR6Qqhke","properties":{"formattedCitation":"(New Zealand Productivity Commission 2022a, 11)","plainCitation":"(New Zealand Productivity Commission 2022a, 11)","noteIndex":0},"citationItems":[{"id":16621,"uris":["http://zotero.org/groups/4801058/items/WYNPCXJD"],"itemData":{"id":16621,"type":"report","event-place":"Wellington","publisher":"New Zealand Productivity Commission","publisher-place":"Wellington","title":"Fair Chance for All Interim Report - Breaking the Cycle of Persistent Disadvantage","author":[{"family":"New Zealand Productivity Commission","given":""}],"issued":{"date-parts":[["2022"]]}},"locator":"11","label":"page"}],"schema":"https://github.com/citation-style-language/schema/raw/master/csl-citation.json"} </w:instrText>
      </w:r>
      <w:r w:rsidRPr="00F543C1">
        <w:fldChar w:fldCharType="separate"/>
      </w:r>
      <w:r w:rsidRPr="00F543C1">
        <w:rPr>
          <w:rFonts w:cs="Calibri"/>
        </w:rPr>
        <w:t>(New Zealand Productivity Commission 2022a, 11)</w:t>
      </w:r>
      <w:r w:rsidRPr="00F543C1">
        <w:fldChar w:fldCharType="end"/>
      </w:r>
      <w:r w:rsidRPr="00726346">
        <w:t>.</w:t>
      </w:r>
    </w:p>
    <w:p w14:paraId="01827AC4" w14:textId="10A0B44A" w:rsidR="001E29AB" w:rsidRPr="00F543C1" w:rsidRDefault="001E29AB" w:rsidP="001E29AB">
      <w:pPr>
        <w:pStyle w:val="USBodyText"/>
      </w:pPr>
      <w:r w:rsidRPr="00F543C1">
        <w:t xml:space="preserve">Taking the time to understand the </w:t>
      </w:r>
      <w:r w:rsidR="001D124C" w:rsidRPr="00F543C1">
        <w:t xml:space="preserve">history, </w:t>
      </w:r>
      <w:proofErr w:type="gramStart"/>
      <w:r w:rsidRPr="00F543C1">
        <w:t>values</w:t>
      </w:r>
      <w:proofErr w:type="gramEnd"/>
      <w:r w:rsidRPr="00F543C1">
        <w:t xml:space="preserve"> and complex needs of a person or whānau experiencing persistent disadvantage means assistance can be tailored to actual, not perceived priorities, and focus on strengths (</w:t>
      </w:r>
      <w:r w:rsidR="00070CBD">
        <w:t>i</w:t>
      </w:r>
      <w:r w:rsidRPr="00F543C1">
        <w:t>bid</w:t>
      </w:r>
      <w:r w:rsidR="009A52B1">
        <w:t>.</w:t>
      </w:r>
      <w:r w:rsidRPr="00F543C1">
        <w:t xml:space="preserve">). </w:t>
      </w:r>
    </w:p>
    <w:p w14:paraId="05AC5B04" w14:textId="3B050F36" w:rsidR="001E29AB" w:rsidRPr="00F543C1" w:rsidRDefault="001E29AB" w:rsidP="001E29AB">
      <w:pPr>
        <w:pStyle w:val="USBodyText"/>
      </w:pPr>
      <w:r w:rsidRPr="00F543C1">
        <w:t xml:space="preserve">Effective assistance requires both </w:t>
      </w:r>
      <w:r w:rsidR="008E1A2D" w:rsidRPr="00F543C1">
        <w:t xml:space="preserve">a </w:t>
      </w:r>
      <w:r w:rsidRPr="00F543C1">
        <w:t xml:space="preserve">deep understanding of where people are currently at in their lives and a willingness to work with them to expand their future options and outcomes. Empowering whānau to envisage and build a different future takes longer than simply telling them to accept a service that may or may not meet their needs, but it can be significantly more effective. </w:t>
      </w:r>
    </w:p>
    <w:p w14:paraId="402C6991" w14:textId="75FB41B4" w:rsidR="001E29AB" w:rsidRPr="00F543C1" w:rsidRDefault="001E29AB" w:rsidP="001E29AB">
      <w:pPr>
        <w:pStyle w:val="USBodyText"/>
      </w:pPr>
      <w:r w:rsidRPr="00F543C1">
        <w:t xml:space="preserve">This can be a delicate process that requires those </w:t>
      </w:r>
      <w:proofErr w:type="gramStart"/>
      <w:r w:rsidRPr="00F543C1">
        <w:t>providing assistance to</w:t>
      </w:r>
      <w:proofErr w:type="gramEnd"/>
      <w:r w:rsidRPr="00F543C1">
        <w:t xml:space="preserve"> make space for </w:t>
      </w:r>
      <w:r w:rsidR="008E1A2D" w:rsidRPr="00F543C1">
        <w:t xml:space="preserve">a </w:t>
      </w:r>
      <w:r w:rsidRPr="00F543C1">
        <w:t xml:space="preserve">diversity of priorities while at the same time encouraging people to dream bigger </w:t>
      </w:r>
      <w:r w:rsidRPr="00F543C1">
        <w:lastRenderedPageBreak/>
        <w:t xml:space="preserve">dreams. There is a fine line between pressuring people to suppress or change who they are </w:t>
      </w:r>
      <w:proofErr w:type="gramStart"/>
      <w:r w:rsidRPr="00F543C1">
        <w:t>in order to</w:t>
      </w:r>
      <w:proofErr w:type="gramEnd"/>
      <w:r w:rsidRPr="00F543C1">
        <w:t xml:space="preserve"> ‘progress’ and </w:t>
      </w:r>
      <w:r w:rsidR="000C6509">
        <w:t xml:space="preserve">supporting </w:t>
      </w:r>
      <w:r w:rsidR="000C6509" w:rsidRPr="00F543C1">
        <w:t>them</w:t>
      </w:r>
      <w:r w:rsidRPr="00F543C1">
        <w:t xml:space="preserve"> to live better lives. </w:t>
      </w:r>
    </w:p>
    <w:p w14:paraId="0BDFCA7D" w14:textId="5D0C5835" w:rsidR="00897219" w:rsidRPr="00F543C1" w:rsidRDefault="001E29AB" w:rsidP="001E29AB">
      <w:pPr>
        <w:pStyle w:val="USBodyText"/>
      </w:pPr>
      <w:r w:rsidRPr="00F543C1">
        <w:t xml:space="preserve">Research on ambition in New Zealand </w:t>
      </w:r>
      <w:r w:rsidR="007367E5" w:rsidRPr="00F543C1">
        <w:t xml:space="preserve">indicates </w:t>
      </w:r>
      <w:r w:rsidRPr="00F543C1">
        <w:t>a</w:t>
      </w:r>
      <w:r w:rsidR="00135E3A" w:rsidRPr="00F543C1">
        <w:t xml:space="preserve"> wide</w:t>
      </w:r>
      <w:r w:rsidRPr="00F543C1">
        <w:t xml:space="preserve"> range of potential responses to persistent disadvantage </w:t>
      </w:r>
      <w:r w:rsidRPr="00F543C1">
        <w:fldChar w:fldCharType="begin"/>
      </w:r>
      <w:r w:rsidR="009B0EC4">
        <w:instrText xml:space="preserve"> ADDIN ZOTERO_ITEM CSL_CITATION {"citationID":"vJFGXxr7","properties":{"formattedCitation":"(Fry and Glass 2019)","plainCitation":"(Fry and Glass 2019)","noteIndex":0},"citationItems":[{"id":16990,"uris":["http://zotero.org/groups/4801058/items/8V7WBB2J"],"itemData":{"id":16990,"type":"book","publisher":"AmbitionNZ","title":"Ambition: What New Zealanders think and why it matters","author":[{"family":"Fry","given":"Julie"},{"family":"Glass","given":"Hayden"}],"issued":{"date-parts":[["2019"]]}}}],"schema":"https://github.com/citation-style-language/schema/raw/master/csl-citation.json"} </w:instrText>
      </w:r>
      <w:r w:rsidRPr="00F543C1">
        <w:fldChar w:fldCharType="separate"/>
      </w:r>
      <w:r w:rsidRPr="00F543C1">
        <w:rPr>
          <w:rFonts w:cs="Calibri"/>
        </w:rPr>
        <w:t>(Fry and Glass 2019)</w:t>
      </w:r>
      <w:r w:rsidRPr="00F543C1">
        <w:fldChar w:fldCharType="end"/>
      </w:r>
      <w:r w:rsidRPr="00726346">
        <w:t>. Some people ‘lower their sights’ when faced with overwhelming challenges.</w:t>
      </w:r>
      <w:r w:rsidR="00A87F25" w:rsidRPr="009006D7">
        <w:rPr>
          <w:rStyle w:val="FootnoteReference"/>
        </w:rPr>
        <w:footnoteReference w:id="75"/>
      </w:r>
      <w:r w:rsidR="00567933" w:rsidRPr="00726346">
        <w:t xml:space="preserve"> </w:t>
      </w:r>
      <w:r w:rsidR="00173967" w:rsidRPr="00F543C1">
        <w:t>Engagement</w:t>
      </w:r>
      <w:r w:rsidR="00AD5AC9" w:rsidRPr="00F543C1">
        <w:t xml:space="preserve"> with Māori on</w:t>
      </w:r>
      <w:r w:rsidR="00173967" w:rsidRPr="00F543C1">
        <w:t xml:space="preserve"> behalf of the Commission</w:t>
      </w:r>
      <w:r w:rsidR="00AD5AC9" w:rsidRPr="00F543C1">
        <w:t xml:space="preserve"> </w:t>
      </w:r>
      <w:r w:rsidR="00FD2D15" w:rsidRPr="00F543C1">
        <w:t>also highlights this, referring to a “poverty mindset” (</w:t>
      </w:r>
      <w:proofErr w:type="spellStart"/>
      <w:r w:rsidR="00FD2D15" w:rsidRPr="00F543C1">
        <w:t>Haemata</w:t>
      </w:r>
      <w:proofErr w:type="spellEnd"/>
      <w:r w:rsidR="00FD2D15" w:rsidRPr="00F543C1">
        <w:t xml:space="preserve"> Limited, forthcoming). </w:t>
      </w:r>
      <w:r w:rsidRPr="00F543C1">
        <w:t>Others, particularly those with access to support from their whānau or community, use difficulties as a ‘spur’.</w:t>
      </w:r>
      <w:r w:rsidRPr="009006D7">
        <w:rPr>
          <w:rStyle w:val="FootnoteReference"/>
        </w:rPr>
        <w:footnoteReference w:id="76"/>
      </w:r>
      <w:r w:rsidRPr="00726346">
        <w:t xml:space="preserve"> Providing support, </w:t>
      </w:r>
      <w:proofErr w:type="gramStart"/>
      <w:r w:rsidRPr="00726346">
        <w:t>identifying</w:t>
      </w:r>
      <w:proofErr w:type="gramEnd"/>
      <w:r w:rsidRPr="00F543C1">
        <w:t xml:space="preserve"> and helping address barriers, making connections and increasing exposure to options that may not have previously been on someone’s ‘radar’ can </w:t>
      </w:r>
      <w:r w:rsidR="0024638D" w:rsidRPr="00F543C1">
        <w:t>help people experiencing persistent disadvantage expand their options</w:t>
      </w:r>
      <w:r w:rsidRPr="00F543C1">
        <w:t>. That said, there are real limits to what even the most ambitious person can achieve in their life in the face of systemic barriers.</w:t>
      </w:r>
      <w:r w:rsidR="00173CBF" w:rsidRPr="00F543C1">
        <w:t xml:space="preserve"> </w:t>
      </w:r>
    </w:p>
    <w:p w14:paraId="02DABF19" w14:textId="3A51F9BA" w:rsidR="001E29AB" w:rsidRPr="00F543C1" w:rsidRDefault="00897219" w:rsidP="001E29AB">
      <w:pPr>
        <w:pStyle w:val="USBodyText"/>
      </w:pPr>
      <w:r w:rsidRPr="00F543C1">
        <w:t xml:space="preserve">In </w:t>
      </w:r>
      <w:r w:rsidR="003D70D9" w:rsidRPr="00F543C1">
        <w:t>s</w:t>
      </w:r>
      <w:r w:rsidRPr="00F543C1">
        <w:t xml:space="preserve">ection </w:t>
      </w:r>
      <w:r w:rsidRPr="00F543C1">
        <w:fldChar w:fldCharType="begin"/>
      </w:r>
      <w:r w:rsidRPr="00F543C1">
        <w:instrText xml:space="preserve"> REF _Ref125369044 \r \h </w:instrText>
      </w:r>
      <w:r w:rsidRPr="00F543C1">
        <w:fldChar w:fldCharType="separate"/>
      </w:r>
      <w:r w:rsidR="00E06351">
        <w:t>2.5.9</w:t>
      </w:r>
      <w:r w:rsidRPr="00F543C1">
        <w:fldChar w:fldCharType="end"/>
      </w:r>
      <w:r w:rsidRPr="00726346">
        <w:t>, we introduce the idea that assisting people experienci</w:t>
      </w:r>
      <w:r w:rsidRPr="00F543C1">
        <w:t xml:space="preserve">ng persistent disadvantage requires a ‘co-production’ approach, where both the person and </w:t>
      </w:r>
      <w:r w:rsidR="0028678D" w:rsidRPr="00F543C1">
        <w:t xml:space="preserve">providers (in a very broad sense) must work together to bring about the changes people </w:t>
      </w:r>
      <w:r w:rsidR="00A97CC6">
        <w:t>want</w:t>
      </w:r>
      <w:r w:rsidR="0028678D" w:rsidRPr="00F543C1">
        <w:t xml:space="preserve"> to make in their lives.</w:t>
      </w:r>
    </w:p>
    <w:p w14:paraId="7CB99A91" w14:textId="29E0E066" w:rsidR="00E820D1" w:rsidRPr="00F543C1" w:rsidRDefault="00E820D1" w:rsidP="00E820D1">
      <w:pPr>
        <w:pStyle w:val="Heading3"/>
      </w:pPr>
      <w:bookmarkStart w:id="85" w:name="_Toc126092094"/>
      <w:r w:rsidRPr="00F543C1">
        <w:t>Doing good within limits</w:t>
      </w:r>
      <w:bookmarkEnd w:id="85"/>
    </w:p>
    <w:p w14:paraId="330CF03B" w14:textId="7B5639A2" w:rsidR="0061338A" w:rsidRPr="00F543C1" w:rsidRDefault="0061338A" w:rsidP="004004A3">
      <w:pPr>
        <w:pStyle w:val="USBodyText"/>
      </w:pPr>
      <w:r w:rsidRPr="00F543C1">
        <w:t>People convert the resources available to them into actions across many different parts of their lives. They use resources to do things such as buy food, send their children to school, and build and maintain friendships and relationships. What people become at a personal level</w:t>
      </w:r>
      <w:r w:rsidR="00CE196F" w:rsidRPr="00F543C1">
        <w:t>,</w:t>
      </w:r>
      <w:r w:rsidRPr="00F543C1">
        <w:t xml:space="preserve"> such as being parents, family members and friends</w:t>
      </w:r>
      <w:r w:rsidR="00CE196F" w:rsidRPr="00F543C1">
        <w:t>,</w:t>
      </w:r>
      <w:r w:rsidRPr="00F543C1">
        <w:t xml:space="preserve"> take</w:t>
      </w:r>
      <w:r w:rsidR="00F53CC5" w:rsidRPr="00F543C1">
        <w:t>s</w:t>
      </w:r>
      <w:r w:rsidRPr="00F543C1">
        <w:t xml:space="preserve"> resources, including time and </w:t>
      </w:r>
      <w:r w:rsidR="005E6933">
        <w:t>what economi</w:t>
      </w:r>
      <w:r w:rsidR="007F4A0A">
        <w:t>sts</w:t>
      </w:r>
      <w:r w:rsidR="005E6933">
        <w:t xml:space="preserve"> call ‘social capital’</w:t>
      </w:r>
      <w:r w:rsidR="004B3958" w:rsidRPr="009006D7">
        <w:rPr>
          <w:rStyle w:val="FootnoteReference"/>
        </w:rPr>
        <w:footnoteReference w:id="77"/>
      </w:r>
      <w:r w:rsidRPr="00F543C1">
        <w:t xml:space="preserve">. Becoming a professional, whether a retail worker, teacher or rugby player takes commitment, </w:t>
      </w:r>
      <w:proofErr w:type="gramStart"/>
      <w:r w:rsidRPr="00F543C1">
        <w:t>training</w:t>
      </w:r>
      <w:proofErr w:type="gramEnd"/>
      <w:r w:rsidRPr="00F543C1">
        <w:t xml:space="preserve"> and time. Working with iwi, coaching a netball team, volunteering at a refuge, or attending religious services are all things that require resources. In each of these examples, what matters is both the </w:t>
      </w:r>
      <w:proofErr w:type="gramStart"/>
      <w:r w:rsidR="00F53CC5" w:rsidRPr="00F543C1">
        <w:t>amount</w:t>
      </w:r>
      <w:proofErr w:type="gramEnd"/>
      <w:r w:rsidR="00DE5A24" w:rsidRPr="00F543C1">
        <w:t xml:space="preserve"> </w:t>
      </w:r>
      <w:r w:rsidRPr="00F543C1">
        <w:t>of resources people have and how well they can use them to become the people they want to be and do the things they want to do.</w:t>
      </w:r>
    </w:p>
    <w:p w14:paraId="1268E47F" w14:textId="379A9DCC" w:rsidR="0061338A" w:rsidRPr="00F543C1" w:rsidRDefault="0061338A" w:rsidP="0061338A">
      <w:pPr>
        <w:ind w:left="851"/>
      </w:pPr>
      <w:r w:rsidRPr="00F543C1">
        <w:t>Drawing on the idea of the ‘four capitals’ in the Treasury’s</w:t>
      </w:r>
      <w:r w:rsidR="00AC0702" w:rsidRPr="00F543C1">
        <w:t xml:space="preserve"> original</w:t>
      </w:r>
      <w:r w:rsidRPr="00F543C1">
        <w:t xml:space="preserve"> Living Standards Framework</w:t>
      </w:r>
      <w:r w:rsidR="00B223EF" w:rsidRPr="00F543C1">
        <w:t xml:space="preserve"> (LSF)</w:t>
      </w:r>
      <w:r w:rsidRPr="00F543C1">
        <w:t xml:space="preserve">, Susan Morton and her colleagues describe the types of resources that are usually used by whānau to build their lives </w:t>
      </w:r>
      <w:r w:rsidRPr="00F543C1">
        <w:fldChar w:fldCharType="begin"/>
      </w:r>
      <w:r w:rsidR="009B0EC4">
        <w:instrText xml:space="preserve"> ADDIN ZOTERO_ITEM CSL_CITATION {"citationID":"vXh1Az02","properties":{"formattedCitation":"(Morton, Knowles, and Morar 2021, 41)","plainCitation":"(Morton, Knowles, and Morar 2021, 41)","noteIndex":0},"citationItems":[{"id":16778,"uris":["http://zotero.org/groups/4801058/items/G7J2XINZ"],"itemData":{"id":16778,"type":"report","event-place":"Auckland","publisher":"Centre for Longitudinal Research, University of Auckland","publisher-place":"Auckland","title":"Academic Perspectives on Wellbeing","author":[{"family":"Morton","given":"Susan"},{"family":"Knowles","given":"Sarah"},{"family":"Morar","given":"Manisha"}],"issued":{"date-parts":[["2021"]]}},"locator":"41","label":"page"}],"schema":"https://github.com/citation-style-language/schema/raw/master/csl-citation.json"} </w:instrText>
      </w:r>
      <w:r w:rsidRPr="00F543C1">
        <w:fldChar w:fldCharType="separate"/>
      </w:r>
      <w:r w:rsidRPr="00F543C1">
        <w:rPr>
          <w:rFonts w:cs="Calibri"/>
        </w:rPr>
        <w:t>(Morton, Knowles, and Morar 2021, 41)</w:t>
      </w:r>
      <w:r w:rsidRPr="00F543C1">
        <w:fldChar w:fldCharType="end"/>
      </w:r>
      <w:r w:rsidRPr="00726346">
        <w:t>.</w:t>
      </w:r>
      <w:r w:rsidR="00703324" w:rsidRPr="009006D7">
        <w:rPr>
          <w:rStyle w:val="FootnoteReference"/>
        </w:rPr>
        <w:footnoteReference w:id="78"/>
      </w:r>
      <w:r w:rsidRPr="00726346">
        <w:t xml:space="preserve"> As shown in</w:t>
      </w:r>
      <w:r w:rsidR="00883D52" w:rsidRPr="00F543C1">
        <w:t xml:space="preserve"> </w:t>
      </w:r>
      <w:r w:rsidR="00DD783B" w:rsidRPr="00F543C1">
        <w:fldChar w:fldCharType="begin"/>
      </w:r>
      <w:r w:rsidR="00DD783B" w:rsidRPr="00F543C1">
        <w:instrText xml:space="preserve"> REF _Ref124947001 \h </w:instrText>
      </w:r>
      <w:r w:rsidR="000177FE" w:rsidRPr="00F543C1">
        <w:instrText xml:space="preserve"> \* MERGEFORMAT </w:instrText>
      </w:r>
      <w:r w:rsidR="00DD783B" w:rsidRPr="00F543C1">
        <w:fldChar w:fldCharType="separate"/>
      </w:r>
      <w:r w:rsidR="00E06351" w:rsidRPr="00F543C1">
        <w:t>Figure </w:t>
      </w:r>
      <w:r w:rsidR="00E06351">
        <w:t>6</w:t>
      </w:r>
      <w:r w:rsidR="00DD783B" w:rsidRPr="00F543C1">
        <w:fldChar w:fldCharType="end"/>
      </w:r>
      <w:r w:rsidR="00DE5A24" w:rsidRPr="00726346">
        <w:t>,</w:t>
      </w:r>
      <w:r w:rsidR="00A0031E" w:rsidRPr="00347879">
        <w:rPr>
          <w:b/>
          <w:bCs/>
        </w:rPr>
        <w:t xml:space="preserve"> </w:t>
      </w:r>
      <w:r w:rsidRPr="00726346">
        <w:t xml:space="preserve">these resources are much more than just financial. </w:t>
      </w:r>
    </w:p>
    <w:p w14:paraId="5D12A68A" w14:textId="71EE2153" w:rsidR="0061338A" w:rsidRDefault="0061338A" w:rsidP="0061338A">
      <w:pPr>
        <w:pStyle w:val="FigureCaption"/>
      </w:pPr>
      <w:bookmarkStart w:id="86" w:name="_Ref124947001"/>
      <w:bookmarkStart w:id="87" w:name="_Toc126841237"/>
      <w:r w:rsidRPr="00F543C1">
        <w:lastRenderedPageBreak/>
        <w:t>Figure </w:t>
      </w:r>
      <w:r w:rsidRPr="00F543C1">
        <w:fldChar w:fldCharType="begin"/>
      </w:r>
      <w:r w:rsidRPr="00F543C1">
        <w:instrText>SEQ Figure \* ARABIC</w:instrText>
      </w:r>
      <w:r w:rsidRPr="00F543C1">
        <w:fldChar w:fldCharType="separate"/>
      </w:r>
      <w:r w:rsidR="00E06351">
        <w:rPr>
          <w:noProof/>
        </w:rPr>
        <w:t>6</w:t>
      </w:r>
      <w:r w:rsidRPr="00F543C1">
        <w:fldChar w:fldCharType="end"/>
      </w:r>
      <w:bookmarkEnd w:id="86"/>
      <w:r w:rsidRPr="00726346">
        <w:t xml:space="preserve"> The resources that influence </w:t>
      </w:r>
      <w:proofErr w:type="gramStart"/>
      <w:r w:rsidRPr="00726346">
        <w:t>wellbeing</w:t>
      </w:r>
      <w:bookmarkEnd w:id="87"/>
      <w:proofErr w:type="gramEnd"/>
      <w:r w:rsidRPr="00726346">
        <w:t xml:space="preserve"> </w:t>
      </w:r>
    </w:p>
    <w:p w14:paraId="029D32C9" w14:textId="0C35171C" w:rsidR="008F614E" w:rsidRPr="00F543C1" w:rsidRDefault="008F614E" w:rsidP="0061338A">
      <w:pPr>
        <w:pStyle w:val="FigureCaption"/>
      </w:pPr>
      <w:r>
        <w:rPr>
          <w:noProof/>
        </w:rPr>
        <w:drawing>
          <wp:inline distT="0" distB="0" distL="0" distR="0" wp14:anchorId="6BC442F8" wp14:editId="61E77564">
            <wp:extent cx="5580380" cy="5580380"/>
            <wp:effectExtent l="0" t="0" r="1270" b="127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4"/>
                    <a:stretch>
                      <a:fillRect/>
                    </a:stretch>
                  </pic:blipFill>
                  <pic:spPr>
                    <a:xfrm>
                      <a:off x="0" y="0"/>
                      <a:ext cx="5580380" cy="5580380"/>
                    </a:xfrm>
                    <a:prstGeom prst="rect">
                      <a:avLst/>
                    </a:prstGeom>
                  </pic:spPr>
                </pic:pic>
              </a:graphicData>
            </a:graphic>
          </wp:inline>
        </w:drawing>
      </w:r>
    </w:p>
    <w:p w14:paraId="24BBCAB0" w14:textId="2CCAEA2A" w:rsidR="0061338A" w:rsidRPr="00726346" w:rsidRDefault="0061338A" w:rsidP="0061338A">
      <w:pPr>
        <w:spacing w:before="120" w:after="360" w:line="220" w:lineRule="atLeast"/>
        <w:ind w:left="851"/>
        <w:rPr>
          <w:sz w:val="18"/>
        </w:rPr>
      </w:pPr>
      <w:r w:rsidRPr="00F543C1">
        <w:rPr>
          <w:sz w:val="18"/>
        </w:rPr>
        <w:t xml:space="preserve">Source: Morton et al. </w:t>
      </w:r>
      <w:r w:rsidRPr="00F543C1">
        <w:rPr>
          <w:sz w:val="18"/>
        </w:rPr>
        <w:fldChar w:fldCharType="begin"/>
      </w:r>
      <w:r w:rsidR="009B0EC4">
        <w:rPr>
          <w:sz w:val="18"/>
        </w:rPr>
        <w:instrText xml:space="preserve"> ADDIN ZOTERO_ITEM CSL_CITATION {"citationID":"3BvRihRg","properties":{"formattedCitation":"(2021, 41)","plainCitation":"(2021, 41)","noteIndex":0},"citationItems":[{"id":16778,"uris":["http://zotero.org/groups/4801058/items/G7J2XINZ"],"itemData":{"id":16778,"type":"report","event-place":"Auckland","publisher":"Centre for Longitudinal Research, University of Auckland","publisher-place":"Auckland","title":"Academic Perspectives on Wellbeing","author":[{"family":"Morton","given":"Susan"},{"family":"Knowles","given":"Sarah"},{"family":"Morar","given":"Manisha"}],"issued":{"date-parts":[["2021"]]}},"locator":"41","label":"page","suppress-author":true}],"schema":"https://github.com/citation-style-language/schema/raw/master/csl-citation.json"} </w:instrText>
      </w:r>
      <w:r w:rsidRPr="00F543C1">
        <w:rPr>
          <w:sz w:val="18"/>
        </w:rPr>
        <w:fldChar w:fldCharType="separate"/>
      </w:r>
      <w:r w:rsidRPr="00F543C1">
        <w:rPr>
          <w:rFonts w:cs="Calibri"/>
          <w:sz w:val="18"/>
        </w:rPr>
        <w:t>(2021, 41)</w:t>
      </w:r>
      <w:r w:rsidRPr="00F543C1">
        <w:rPr>
          <w:sz w:val="18"/>
        </w:rPr>
        <w:fldChar w:fldCharType="end"/>
      </w:r>
    </w:p>
    <w:p w14:paraId="535B8FB6" w14:textId="73380CCA" w:rsidR="0061338A" w:rsidRPr="00F543C1" w:rsidRDefault="0061338A" w:rsidP="00F53CC5">
      <w:pPr>
        <w:pStyle w:val="USBodyText"/>
      </w:pPr>
      <w:r w:rsidRPr="00F543C1">
        <w:t>As part of efforts to reduce the extent of persistent disadvantage, governments provide people experiencing persistent disadvantage with resources in a variety of forms, principally cash benefits (</w:t>
      </w:r>
      <w:r w:rsidR="00C331B9" w:rsidRPr="00F543C1">
        <w:t>e.g.,</w:t>
      </w:r>
      <w:r w:rsidRPr="00F543C1">
        <w:t xml:space="preserve"> Jobseeker Benefits for people who are not in the labour market and Working-for-Families tax credits for low to middle income earners with dependent children) and services in kind (such as housing, health care and education). Most of these resources come within the economic, </w:t>
      </w:r>
      <w:proofErr w:type="gramStart"/>
      <w:r w:rsidRPr="00F543C1">
        <w:t>physical</w:t>
      </w:r>
      <w:proofErr w:type="gramEnd"/>
      <w:r w:rsidRPr="00F543C1">
        <w:t xml:space="preserve"> and human capitals </w:t>
      </w:r>
      <w:r w:rsidR="002C4DDA" w:rsidRPr="00F543C1">
        <w:t xml:space="preserve">described </w:t>
      </w:r>
      <w:r w:rsidRPr="00F543C1">
        <w:t xml:space="preserve">in </w:t>
      </w:r>
      <w:r w:rsidR="002C4DDA" w:rsidRPr="00F543C1">
        <w:t>Treasury’s LSF</w:t>
      </w:r>
      <w:r w:rsidR="0021625B" w:rsidRPr="00F543C1">
        <w:t>.</w:t>
      </w:r>
      <w:r w:rsidR="004039F2" w:rsidRPr="00F543C1">
        <w:t xml:space="preserve"> </w:t>
      </w:r>
      <w:r w:rsidRPr="00F543C1">
        <w:t xml:space="preserve">But the resources that build social capital, for example, are often not provided directly by governments. </w:t>
      </w:r>
    </w:p>
    <w:p w14:paraId="5E444EDC" w14:textId="10714876" w:rsidR="009265BD" w:rsidRPr="00F543C1" w:rsidRDefault="00C10346" w:rsidP="00F53CC5">
      <w:pPr>
        <w:pStyle w:val="USBodyText"/>
      </w:pPr>
      <w:r w:rsidRPr="00F543C1">
        <w:t xml:space="preserve">Regardless of whether they come from government or elsewhere, all of </w:t>
      </w:r>
      <w:r w:rsidR="00281187" w:rsidRPr="00F543C1">
        <w:t>society</w:t>
      </w:r>
      <w:r w:rsidR="00041E30">
        <w:t>’</w:t>
      </w:r>
      <w:r w:rsidR="00281187" w:rsidRPr="00F543C1">
        <w:t xml:space="preserve">s </w:t>
      </w:r>
      <w:r w:rsidRPr="00F543C1">
        <w:t xml:space="preserve">resources are limited to some degree. </w:t>
      </w:r>
      <w:r w:rsidR="0042401F" w:rsidRPr="00F543C1">
        <w:t xml:space="preserve">Policy must work within those limits. </w:t>
      </w:r>
    </w:p>
    <w:p w14:paraId="2F39B6B5" w14:textId="10023DA9" w:rsidR="007756D7" w:rsidRPr="00F543C1" w:rsidRDefault="001661A8" w:rsidP="00E9059D">
      <w:pPr>
        <w:pStyle w:val="Heading3"/>
      </w:pPr>
      <w:bookmarkStart w:id="88" w:name="_Ref125369044"/>
      <w:bookmarkStart w:id="89" w:name="_Toc126092095"/>
      <w:r w:rsidRPr="00F543C1">
        <w:lastRenderedPageBreak/>
        <w:t xml:space="preserve">Emphasising </w:t>
      </w:r>
      <w:r w:rsidR="006246D9">
        <w:t>‘</w:t>
      </w:r>
      <w:r w:rsidRPr="00F543C1">
        <w:t>co-production</w:t>
      </w:r>
      <w:r w:rsidR="006246D9">
        <w:t>’</w:t>
      </w:r>
      <w:r w:rsidR="007A654B" w:rsidRPr="00F543C1">
        <w:t xml:space="preserve"> where possible</w:t>
      </w:r>
      <w:bookmarkEnd w:id="88"/>
      <w:bookmarkEnd w:id="89"/>
    </w:p>
    <w:p w14:paraId="7B5CB66B" w14:textId="1802A433" w:rsidR="001661A8" w:rsidRPr="00F543C1" w:rsidRDefault="00795D76" w:rsidP="0061338A">
      <w:pPr>
        <w:ind w:left="851"/>
      </w:pPr>
      <w:r>
        <w:t xml:space="preserve">We have noted </w:t>
      </w:r>
      <w:r w:rsidR="00A23A4B">
        <w:t>elsewhere</w:t>
      </w:r>
      <w:r>
        <w:t xml:space="preserve"> that having </w:t>
      </w:r>
      <w:r w:rsidR="00A23A4B">
        <w:t xml:space="preserve">both </w:t>
      </w:r>
      <w:r w:rsidR="002B53F1">
        <w:t xml:space="preserve">sufficient resources and the capability to convert those into a </w:t>
      </w:r>
      <w:r w:rsidR="00A23A4B">
        <w:t>valued life are essential to addressing disadvantage</w:t>
      </w:r>
      <w:r w:rsidR="00DC59BE">
        <w:t xml:space="preserve"> </w:t>
      </w:r>
      <w:r w:rsidR="00DC59BE">
        <w:fldChar w:fldCharType="begin"/>
      </w:r>
      <w:r w:rsidR="009B0EC4">
        <w:instrText xml:space="preserve"> ADDIN ZOTERO_ITEM CSL_CITATION {"citationID":"fDLQEx2L","properties":{"formattedCitation":"(Wilson and Fry 2019)","plainCitation":"(Wilson and Fry 2019)","noteIndex":0},"citationItems":[{"id":14101,"uris":["http://zotero.org/groups/4623831/items/38IJYY4G"],"itemData":{"id":14101,"type":"report","event-place":"Wellington","genre":"NZIER public discussion paper","license":"All rights reserved","number":"2019/1","publisher":"New Zealand Institute of Economic Research","publisher-place":"Wellington","title":"Kia māia: Be bold Improving the wellbeing of children living in poverty","author":[{"family":"Wilson","given":"Peter"},{"family":"Fry","given":"Julie"}],"issued":{"date-parts":[["2019"]]}}}],"schema":"https://github.com/citation-style-language/schema/raw/master/csl-citation.json"} </w:instrText>
      </w:r>
      <w:r w:rsidR="00DC59BE">
        <w:fldChar w:fldCharType="separate"/>
      </w:r>
      <w:r w:rsidR="00DC59BE" w:rsidRPr="00DC59BE">
        <w:rPr>
          <w:rFonts w:cs="Calibri"/>
        </w:rPr>
        <w:t>(Wilson and Fry 2019)</w:t>
      </w:r>
      <w:r w:rsidR="00DC59BE">
        <w:fldChar w:fldCharType="end"/>
      </w:r>
      <w:r w:rsidR="00C21D24">
        <w:t>.</w:t>
      </w:r>
      <w:r w:rsidR="000C6509">
        <w:t xml:space="preserve"> </w:t>
      </w:r>
      <w:r w:rsidR="006635AF">
        <w:t xml:space="preserve"> </w:t>
      </w:r>
      <w:r w:rsidR="009515F0">
        <w:t>Governments provide both types of assistance</w:t>
      </w:r>
      <w:r w:rsidR="008112A3">
        <w:t xml:space="preserve">. In the case of </w:t>
      </w:r>
      <w:r w:rsidR="0061338A" w:rsidRPr="00F543C1">
        <w:t xml:space="preserve">assistance </w:t>
      </w:r>
      <w:r w:rsidR="006635AF">
        <w:t>that</w:t>
      </w:r>
      <w:r w:rsidR="0061338A" w:rsidRPr="00F543C1">
        <w:t xml:space="preserve"> is designed to change the ability of people to convert</w:t>
      </w:r>
      <w:r w:rsidR="00A50929">
        <w:t xml:space="preserve"> the</w:t>
      </w:r>
      <w:r w:rsidR="0061338A" w:rsidRPr="00F543C1">
        <w:t xml:space="preserve"> resources</w:t>
      </w:r>
      <w:r w:rsidR="00A50929">
        <w:t xml:space="preserve"> available to them</w:t>
      </w:r>
      <w:r w:rsidR="0061338A" w:rsidRPr="00F543C1">
        <w:t xml:space="preserve"> into a good life</w:t>
      </w:r>
      <w:r w:rsidR="006635AF">
        <w:t>,</w:t>
      </w:r>
      <w:bookmarkStart w:id="90" w:name="_Ref125368994"/>
      <w:r w:rsidR="00677F06" w:rsidRPr="009006D7">
        <w:rPr>
          <w:rStyle w:val="FootnoteReference"/>
        </w:rPr>
        <w:footnoteReference w:id="79"/>
      </w:r>
      <w:bookmarkEnd w:id="90"/>
      <w:r w:rsidR="0061338A" w:rsidRPr="00726346">
        <w:t xml:space="preserve"> </w:t>
      </w:r>
      <w:r w:rsidR="00420EAE">
        <w:t>t</w:t>
      </w:r>
      <w:r w:rsidR="006635AF">
        <w:t>here can be</w:t>
      </w:r>
      <w:r w:rsidR="0061338A" w:rsidRPr="00726346">
        <w:t xml:space="preserve"> a process of </w:t>
      </w:r>
      <w:r w:rsidR="002E124D" w:rsidRPr="00F543C1">
        <w:t>‘</w:t>
      </w:r>
      <w:r w:rsidR="0061338A" w:rsidRPr="00F543C1">
        <w:t>co-production</w:t>
      </w:r>
      <w:r w:rsidR="002E124D" w:rsidRPr="00F543C1">
        <w:t>’</w:t>
      </w:r>
      <w:r w:rsidR="0061338A" w:rsidRPr="00F543C1">
        <w:t xml:space="preserve"> between the service provider and the recipient and their wider network, including whānau, friends and community. </w:t>
      </w:r>
    </w:p>
    <w:p w14:paraId="2D47451E" w14:textId="6FB4BDC1" w:rsidR="002C675F" w:rsidRDefault="0061338A" w:rsidP="002C675F">
      <w:pPr>
        <w:ind w:left="851"/>
        <w:rPr>
          <w:iCs/>
        </w:rPr>
      </w:pPr>
      <w:r w:rsidRPr="00F543C1">
        <w:t xml:space="preserve">Some changes </w:t>
      </w:r>
      <w:r w:rsidR="00772EEE" w:rsidRPr="00F543C1">
        <w:t xml:space="preserve">primarily </w:t>
      </w:r>
      <w:r w:rsidR="00C35448" w:rsidRPr="00F543C1">
        <w:t>involve</w:t>
      </w:r>
      <w:r w:rsidR="00772EEE" w:rsidRPr="00F543C1">
        <w:t xml:space="preserve"> the</w:t>
      </w:r>
      <w:r w:rsidR="00C35448" w:rsidRPr="00F543C1">
        <w:t xml:space="preserve"> </w:t>
      </w:r>
      <w:r w:rsidR="00772EEE" w:rsidRPr="00F543C1">
        <w:t xml:space="preserve">person or </w:t>
      </w:r>
      <w:r w:rsidR="00F6434F" w:rsidRPr="00F543C1">
        <w:t xml:space="preserve">whānau </w:t>
      </w:r>
      <w:r w:rsidR="00772EEE" w:rsidRPr="00F543C1">
        <w:t xml:space="preserve">concerned </w:t>
      </w:r>
      <w:proofErr w:type="gramStart"/>
      <w:r w:rsidR="00F67193" w:rsidRPr="00F543C1">
        <w:t xml:space="preserve">taking </w:t>
      </w:r>
      <w:r w:rsidR="009B7158" w:rsidRPr="00F543C1">
        <w:t>action</w:t>
      </w:r>
      <w:proofErr w:type="gramEnd"/>
      <w:r w:rsidR="00F67193" w:rsidRPr="00F543C1">
        <w:t xml:space="preserve">, </w:t>
      </w:r>
      <w:r w:rsidRPr="00F543C1">
        <w:t xml:space="preserve">including learning new skills, eating healthy food and exercising, or changing how they think and react to </w:t>
      </w:r>
      <w:r w:rsidR="00EC4B35" w:rsidRPr="00F543C1">
        <w:t xml:space="preserve">personal, </w:t>
      </w:r>
      <w:r w:rsidR="00162D80" w:rsidRPr="00F543C1">
        <w:t xml:space="preserve">family or social </w:t>
      </w:r>
      <w:r w:rsidR="00EC4B35" w:rsidRPr="00F543C1">
        <w:t>issu</w:t>
      </w:r>
      <w:r w:rsidR="00162D80" w:rsidRPr="00F543C1">
        <w:t>es</w:t>
      </w:r>
      <w:r w:rsidR="00CA6CFA" w:rsidRPr="00F543C1">
        <w:t xml:space="preserve"> such as addiction or family violence</w:t>
      </w:r>
      <w:r w:rsidRPr="00F543C1">
        <w:t>. Providers can offer vital encouragement and ideas, illustrate techniques, and guide and advise, but the</w:t>
      </w:r>
      <w:r w:rsidR="006C411C" w:rsidRPr="00F543C1">
        <w:t>ir actions</w:t>
      </w:r>
      <w:r w:rsidRPr="00F543C1">
        <w:t xml:space="preserve"> alone cannot bring about change </w:t>
      </w:r>
      <w:r w:rsidRPr="00F543C1">
        <w:rPr>
          <w:i/>
          <w:iCs/>
        </w:rPr>
        <w:fldChar w:fldCharType="begin"/>
      </w:r>
      <w:r w:rsidR="009B0EC4">
        <w:rPr>
          <w:iCs/>
        </w:rPr>
        <w:instrText xml:space="preserve"> ADDIN ZOTERO_ITEM CSL_CITATION {"citationID":"Zoqyy7ky","properties":{"formattedCitation":"(Whitaker 1980, 240)","plainCitation":"(Whitaker 1980, 240)","noteIndex":0},"citationItems":[{"id":15978,"uris":["http://zotero.org/groups/4623831/items/DFL2TUMY"],"itemData":{"id":15978,"type":"article-journal","abstract":"Citizen participation is commonly viewed as attempts to influence the formulation of public policy. In this paper, the author argues that citizens also can and do exert important influences on policy through their participation in the execution of public programs. This is particularly the case in human services where change in the client's behavior is the \"product\" which is supposed to be delivered. Citizens \"coproduce\" public services by requesting assistance from service agents, by cooperating with service agents in carrying out agency programs, and by negotiating with service agents to redirect agents' activities. Citizen participation in service delivery is, in fact, often critical to program success.","container-title":"Public Administration Review","DOI":"10.2307/975377","ISSN":"0033-3352","issue":"3","note":"publisher: [American Society for Public Administration, Wiley]","page":"240-246","source":"JSTOR","title":"Coproduction: Citizen Participation in Service Delivery","title-short":"Coproduction","volume":"40","author":[{"family":"Whitaker","given":"Gordon P."}],"issued":{"date-parts":[["1980"]]}},"locator":"240","label":"page"}],"schema":"https://github.com/citation-style-language/schema/raw/master/csl-citation.json"} </w:instrText>
      </w:r>
      <w:r w:rsidRPr="00F543C1">
        <w:rPr>
          <w:i/>
          <w:iCs/>
        </w:rPr>
        <w:fldChar w:fldCharType="separate"/>
      </w:r>
      <w:r w:rsidRPr="00F543C1">
        <w:rPr>
          <w:rFonts w:cs="Calibri"/>
          <w:iCs/>
        </w:rPr>
        <w:t>(Whitaker 1980, 240)</w:t>
      </w:r>
      <w:r w:rsidRPr="00F543C1">
        <w:rPr>
          <w:i/>
          <w:iCs/>
        </w:rPr>
        <w:fldChar w:fldCharType="end"/>
      </w:r>
      <w:r w:rsidRPr="00726346">
        <w:rPr>
          <w:iCs/>
        </w:rPr>
        <w:t xml:space="preserve">. </w:t>
      </w:r>
    </w:p>
    <w:p w14:paraId="7AA527C8" w14:textId="14878007" w:rsidR="0061338A" w:rsidRPr="00F543C1" w:rsidRDefault="0061338A" w:rsidP="002C675F">
      <w:pPr>
        <w:ind w:left="851"/>
      </w:pPr>
      <w:r w:rsidRPr="00F543C1">
        <w:t xml:space="preserve">This contrasts with services such as dentistry, </w:t>
      </w:r>
      <w:proofErr w:type="gramStart"/>
      <w:r w:rsidRPr="00F543C1">
        <w:t>housing</w:t>
      </w:r>
      <w:proofErr w:type="gramEnd"/>
      <w:r w:rsidRPr="00F543C1">
        <w:t xml:space="preserve"> and public transport</w:t>
      </w:r>
      <w:r w:rsidR="00382FF7" w:rsidRPr="00F543C1">
        <w:t>,</w:t>
      </w:r>
      <w:r w:rsidRPr="00F543C1">
        <w:t xml:space="preserve"> where the provider’s actions are the main contributor to people living better lives</w:t>
      </w:r>
      <w:r w:rsidR="00382FF7" w:rsidRPr="00F543C1">
        <w:t>,</w:t>
      </w:r>
      <w:r w:rsidRPr="00F543C1">
        <w:t xml:space="preserve"> and a ‘final product’ can be delivered that is then consumed by the person. Whitaker’s observation, while directed at individuals, applies equally to a whānau or wider group (hapū, iwi, community organisations) working together with others to effect changes to their lives. </w:t>
      </w:r>
    </w:p>
    <w:p w14:paraId="2EB14DD8" w14:textId="11D7AFFB" w:rsidR="0061338A" w:rsidRDefault="004567AE" w:rsidP="0061338A">
      <w:pPr>
        <w:ind w:left="851"/>
      </w:pPr>
      <w:r w:rsidRPr="00F543C1">
        <w:t>Assisting</w:t>
      </w:r>
      <w:r w:rsidR="0061338A" w:rsidRPr="00F543C1">
        <w:t xml:space="preserve"> people experiencing persistent disadvantage</w:t>
      </w:r>
      <w:r w:rsidRPr="00F543C1">
        <w:t xml:space="preserve"> to change their lives</w:t>
      </w:r>
      <w:r w:rsidR="0061338A" w:rsidRPr="00F543C1">
        <w:t xml:space="preserve"> for the better is not a process with a neat beginning, middle and end. When ongoing assistance is required, an episodic ‘diagnose, treat, cure, discharge’ paradigm is inappropriate.</w:t>
      </w:r>
    </w:p>
    <w:p w14:paraId="5952AFD8" w14:textId="592FF8AE" w:rsidR="002D1250" w:rsidRPr="00852078" w:rsidRDefault="002D1250" w:rsidP="005276B3">
      <w:pPr>
        <w:pStyle w:val="Heading3"/>
      </w:pPr>
      <w:bookmarkStart w:id="91" w:name="_Ref125976403"/>
      <w:bookmarkStart w:id="92" w:name="_Toc126092096"/>
      <w:r w:rsidRPr="00852078">
        <w:t xml:space="preserve">Case studies: Manaaki </w:t>
      </w:r>
      <w:proofErr w:type="spellStart"/>
      <w:r w:rsidRPr="00852078">
        <w:t>Tairāwhiti</w:t>
      </w:r>
      <w:proofErr w:type="spellEnd"/>
      <w:r w:rsidRPr="00852078">
        <w:t xml:space="preserve"> and the South Auckland Social Wellbeing Board</w:t>
      </w:r>
      <w:bookmarkEnd w:id="91"/>
      <w:bookmarkEnd w:id="92"/>
    </w:p>
    <w:p w14:paraId="5430DB6B" w14:textId="5AAFE7A1" w:rsidR="002D1250" w:rsidRPr="00F543C1" w:rsidRDefault="002D1250" w:rsidP="002D1250">
      <w:pPr>
        <w:pStyle w:val="USBodyText"/>
      </w:pPr>
      <w:r>
        <w:t xml:space="preserve">There are currently in place two cabinet-approved </w:t>
      </w:r>
      <w:r w:rsidR="002C675F">
        <w:t>Place</w:t>
      </w:r>
      <w:r w:rsidR="001113C3">
        <w:t>-</w:t>
      </w:r>
      <w:r w:rsidR="002C675F">
        <w:t>Based Initiatives (</w:t>
      </w:r>
      <w:r w:rsidR="001113C3">
        <w:t>(PBIs) operating</w:t>
      </w:r>
      <w:r>
        <w:t xml:space="preserve"> in New Zealand</w:t>
      </w:r>
      <w:r w:rsidR="00CB2533">
        <w:t>:</w:t>
      </w:r>
      <w:r w:rsidR="00CB2533" w:rsidRPr="00F543C1">
        <w:t xml:space="preserve"> Manaaki </w:t>
      </w:r>
      <w:proofErr w:type="spellStart"/>
      <w:r w:rsidR="00CB2533" w:rsidRPr="00F543C1">
        <w:t>Tairāwhiti</w:t>
      </w:r>
      <w:proofErr w:type="spellEnd"/>
      <w:r w:rsidR="00CB2533" w:rsidRPr="00F543C1">
        <w:t xml:space="preserve"> and the South Auckland Social Wellbeing Board (SASWB)</w:t>
      </w:r>
      <w:r w:rsidR="00CB2533">
        <w:t>.</w:t>
      </w:r>
      <w:r w:rsidR="00C21040" w:rsidRPr="00C21040">
        <w:rPr>
          <w:rStyle w:val="FootnoteReference"/>
        </w:rPr>
        <w:t xml:space="preserve"> </w:t>
      </w:r>
      <w:r w:rsidR="00C21040" w:rsidRPr="009006D7">
        <w:rPr>
          <w:rStyle w:val="FootnoteReference"/>
        </w:rPr>
        <w:footnoteReference w:id="80"/>
      </w:r>
      <w:r w:rsidR="00CB2533">
        <w:t xml:space="preserve"> These two </w:t>
      </w:r>
      <w:r w:rsidR="00C21040">
        <w:t>initiatives</w:t>
      </w:r>
      <w:r>
        <w:t xml:space="preserve"> </w:t>
      </w:r>
      <w:r w:rsidR="008000B1">
        <w:t>demonstrate</w:t>
      </w:r>
      <w:r>
        <w:t xml:space="preserve"> how non-traditional approaches to assisting people experiencing persistent disadvantage can be effective. Below, we describe the activities of these two initiatives and what we have learned from them.</w:t>
      </w:r>
    </w:p>
    <w:p w14:paraId="30F17422" w14:textId="044ED66D" w:rsidR="002D1250" w:rsidRPr="00F543C1" w:rsidRDefault="002D1250" w:rsidP="00070525">
      <w:pPr>
        <w:pStyle w:val="Heading4"/>
      </w:pPr>
      <w:bookmarkStart w:id="93" w:name="_Toc126092097"/>
      <w:r w:rsidRPr="00F543C1">
        <w:rPr>
          <w:rFonts w:eastAsia="Calibri"/>
        </w:rPr>
        <w:t xml:space="preserve">Manaaki </w:t>
      </w:r>
      <w:proofErr w:type="spellStart"/>
      <w:r w:rsidRPr="00F543C1">
        <w:rPr>
          <w:rFonts w:eastAsia="Calibri"/>
        </w:rPr>
        <w:t>Tairāwhiti</w:t>
      </w:r>
      <w:bookmarkEnd w:id="93"/>
      <w:proofErr w:type="spellEnd"/>
    </w:p>
    <w:p w14:paraId="4E516F65" w14:textId="77777777" w:rsidR="002D1250" w:rsidRPr="00F543C1" w:rsidRDefault="002D1250" w:rsidP="002D1250">
      <w:pPr>
        <w:pStyle w:val="USBodyText"/>
      </w:pPr>
      <w:r w:rsidRPr="00F543C1">
        <w:t xml:space="preserve">Manaaki </w:t>
      </w:r>
      <w:proofErr w:type="spellStart"/>
      <w:r w:rsidRPr="00F543C1">
        <w:t>Tairāwhiti</w:t>
      </w:r>
      <w:proofErr w:type="spellEnd"/>
      <w:r w:rsidRPr="00F543C1">
        <w:t xml:space="preserve"> is based on the East Coast of the North Island. The population it serves is predominantly Māori, and its catchment areas include rural and isolated locations. </w:t>
      </w:r>
      <w:proofErr w:type="spellStart"/>
      <w:r w:rsidRPr="00F543C1">
        <w:t>Tairāwhiti</w:t>
      </w:r>
      <w:proofErr w:type="spellEnd"/>
      <w:r w:rsidRPr="00F543C1">
        <w:t xml:space="preserve"> is relatively small and close-knit, and the people working together to support people experiencing persistent disadvantage often know each other, and the people they are trying to help, very well. </w:t>
      </w:r>
    </w:p>
    <w:p w14:paraId="252B47BD" w14:textId="77777777" w:rsidR="002D1250" w:rsidRPr="00F543C1" w:rsidRDefault="002D1250" w:rsidP="002D1250">
      <w:pPr>
        <w:pStyle w:val="USBodyText"/>
      </w:pPr>
      <w:r w:rsidRPr="00F543C1">
        <w:t xml:space="preserve">The Manaaki </w:t>
      </w:r>
      <w:proofErr w:type="spellStart"/>
      <w:r w:rsidRPr="00F543C1">
        <w:t>Tairāwhiti</w:t>
      </w:r>
      <w:proofErr w:type="spellEnd"/>
      <w:r w:rsidRPr="00F543C1">
        <w:t xml:space="preserve"> governance board is comprised of iwi leaders, the Mayor of </w:t>
      </w:r>
      <w:proofErr w:type="gramStart"/>
      <w:r w:rsidRPr="00F543C1">
        <w:t>Gisborne</w:t>
      </w:r>
      <w:proofErr w:type="gramEnd"/>
      <w:r w:rsidRPr="00F543C1">
        <w:t xml:space="preserve"> and local managers of public service agencies with a presence in </w:t>
      </w:r>
      <w:proofErr w:type="spellStart"/>
      <w:r w:rsidRPr="00F543C1">
        <w:t>Tairāwhiti</w:t>
      </w:r>
      <w:proofErr w:type="spellEnd"/>
      <w:r w:rsidRPr="00F543C1">
        <w:t>. Below the Board sits an Operational Leadership Team of experienced local supervisors from those agencies.</w:t>
      </w:r>
      <w:r w:rsidRPr="009006D7">
        <w:rPr>
          <w:rStyle w:val="FootnoteReference"/>
        </w:rPr>
        <w:footnoteReference w:id="81"/>
      </w:r>
      <w:r w:rsidRPr="00F543C1">
        <w:t xml:space="preserve"> </w:t>
      </w:r>
    </w:p>
    <w:p w14:paraId="086BF388" w14:textId="77777777" w:rsidR="002D1250" w:rsidRPr="00F543C1" w:rsidRDefault="002D1250" w:rsidP="002D1250">
      <w:pPr>
        <w:pStyle w:val="USBodyText"/>
      </w:pPr>
      <w:r w:rsidRPr="00F543C1">
        <w:lastRenderedPageBreak/>
        <w:t xml:space="preserve">The Manaaki </w:t>
      </w:r>
      <w:proofErr w:type="spellStart"/>
      <w:r w:rsidRPr="00F543C1">
        <w:t>Tairāwhiti</w:t>
      </w:r>
      <w:proofErr w:type="spellEnd"/>
      <w:r w:rsidRPr="00F543C1">
        <w:t xml:space="preserve"> business model (‘the Manaaki Way</w:t>
      </w:r>
      <w:r>
        <w:t>’</w:t>
      </w:r>
      <w:r w:rsidRPr="00F543C1">
        <w:t xml:space="preserve">) is to embed trained Manaaki </w:t>
      </w:r>
      <w:proofErr w:type="spellStart"/>
      <w:r w:rsidRPr="00F543C1">
        <w:t>kaiurungi</w:t>
      </w:r>
      <w:proofErr w:type="spellEnd"/>
      <w:r w:rsidRPr="00F543C1">
        <w:t xml:space="preserve"> (‘those who steer the waka’) into front</w:t>
      </w:r>
      <w:r>
        <w:t>-</w:t>
      </w:r>
      <w:r w:rsidRPr="00F543C1">
        <w:t xml:space="preserve">line agencies. Manaaki coaches provide ongoing workforce development, </w:t>
      </w:r>
      <w:proofErr w:type="gramStart"/>
      <w:r w:rsidRPr="00F543C1">
        <w:t>supervision</w:t>
      </w:r>
      <w:proofErr w:type="gramEnd"/>
      <w:r w:rsidRPr="00F543C1">
        <w:t xml:space="preserve"> and case-by-case guidance to </w:t>
      </w:r>
      <w:proofErr w:type="spellStart"/>
      <w:r w:rsidRPr="00F543C1">
        <w:t>kaiurungi</w:t>
      </w:r>
      <w:proofErr w:type="spellEnd"/>
      <w:r w:rsidRPr="00F543C1">
        <w:t>.</w:t>
      </w:r>
    </w:p>
    <w:p w14:paraId="306A6207" w14:textId="42798A3E" w:rsidR="002D1250" w:rsidRDefault="002D1250" w:rsidP="002D1250">
      <w:pPr>
        <w:pStyle w:val="USBodyText"/>
      </w:pPr>
      <w:proofErr w:type="spellStart"/>
      <w:r w:rsidRPr="00F543C1">
        <w:t>Kaiurungi</w:t>
      </w:r>
      <w:proofErr w:type="spellEnd"/>
      <w:r w:rsidRPr="00F543C1">
        <w:t xml:space="preserve"> build trusted relationships with whānau and support them to identify and meet their needs and goals. </w:t>
      </w:r>
      <w:proofErr w:type="spellStart"/>
      <w:r w:rsidRPr="00F543C1">
        <w:t>Kaiurungi</w:t>
      </w:r>
      <w:proofErr w:type="spellEnd"/>
      <w:r w:rsidRPr="00F543C1">
        <w:t xml:space="preserve"> help connect whānau to agencies, </w:t>
      </w:r>
      <w:proofErr w:type="gramStart"/>
      <w:r w:rsidRPr="00F543C1">
        <w:t>organisations</w:t>
      </w:r>
      <w:proofErr w:type="gramEnd"/>
      <w:r w:rsidRPr="00F543C1">
        <w:t xml:space="preserve"> and communities. As </w:t>
      </w:r>
      <w:proofErr w:type="spellStart"/>
      <w:r w:rsidRPr="00F543C1">
        <w:t>kaiurungi</w:t>
      </w:r>
      <w:proofErr w:type="spellEnd"/>
      <w:r w:rsidRPr="00F543C1">
        <w:t xml:space="preserve"> support whānau, they document how systems are working for whānau and any barriers and gaps they encounter.</w:t>
      </w:r>
    </w:p>
    <w:p w14:paraId="2DF4B6C6" w14:textId="77777777" w:rsidR="002D1250" w:rsidRPr="000B12B8" w:rsidRDefault="002D1250" w:rsidP="00070525">
      <w:pPr>
        <w:pStyle w:val="Heading4"/>
        <w:rPr>
          <w:rFonts w:eastAsiaTheme="minorHAnsi"/>
        </w:rPr>
      </w:pPr>
      <w:bookmarkStart w:id="94" w:name="_Toc126092098"/>
      <w:r w:rsidRPr="008F32C9">
        <w:t>South</w:t>
      </w:r>
      <w:r w:rsidRPr="00F543C1">
        <w:rPr>
          <w:rFonts w:eastAsia="Calibri"/>
        </w:rPr>
        <w:t xml:space="preserve"> Auckland Social Wellbeing Board</w:t>
      </w:r>
      <w:bookmarkEnd w:id="94"/>
    </w:p>
    <w:p w14:paraId="7C3F742A" w14:textId="57D0B1B3" w:rsidR="002D1250" w:rsidRPr="00F543C1" w:rsidRDefault="002D1250" w:rsidP="002D1250">
      <w:pPr>
        <w:pStyle w:val="USBodyText"/>
      </w:pPr>
      <w:r w:rsidRPr="00F543C1">
        <w:t xml:space="preserve">In contrast, </w:t>
      </w:r>
      <w:r w:rsidR="003428CD">
        <w:t xml:space="preserve">the </w:t>
      </w:r>
      <w:r w:rsidRPr="00F543C1">
        <w:t xml:space="preserve">SASWB serves a much larger and more ethnically diverse urban population. The complex histories of the people they are seeking to help may not be known at the outset. </w:t>
      </w:r>
    </w:p>
    <w:p w14:paraId="6869D391" w14:textId="0E0BF363" w:rsidR="009006D7" w:rsidRDefault="002D1250" w:rsidP="009006D7">
      <w:pPr>
        <w:pStyle w:val="USBodyText"/>
      </w:pPr>
      <w:r w:rsidRPr="00F543C1">
        <w:t>The Board consists of 13 central and local government agencies</w:t>
      </w:r>
      <w:r w:rsidRPr="009006D7">
        <w:rPr>
          <w:rStyle w:val="FootnoteReference"/>
        </w:rPr>
        <w:footnoteReference w:id="82"/>
      </w:r>
      <w:r w:rsidRPr="00F543C1">
        <w:t xml:space="preserve"> each represented by a senior leader from within that agency, selected by the relevant Chief Executive, with an independent chair.</w:t>
      </w:r>
      <w:r w:rsidRPr="009006D7">
        <w:rPr>
          <w:rStyle w:val="FootnoteReference"/>
        </w:rPr>
        <w:footnoteReference w:id="83"/>
      </w:r>
      <w:r w:rsidR="009006D7" w:rsidRPr="009006D7">
        <w:t xml:space="preserve"> </w:t>
      </w:r>
      <w:r w:rsidR="009006D7">
        <w:t>A flat leadership structure supports a learning culture.</w:t>
      </w:r>
    </w:p>
    <w:p w14:paraId="2958765B" w14:textId="6290369E" w:rsidR="002D1250" w:rsidRPr="00F543C1" w:rsidRDefault="009006D7" w:rsidP="009006D7">
      <w:pPr>
        <w:pStyle w:val="USBodyText"/>
      </w:pPr>
      <w:r>
        <w:t xml:space="preserve">The SASWB purpose and focus is to enable government agencies, together with community, to collaborate and take a ‘learning by doing approach’ to drive system change that supports positive life course outcomes and intergenerational change. An example of this approach is the multidisciplinary cross-agency team (MDCAT) way of working, first </w:t>
      </w:r>
      <w:r w:rsidR="00926F35">
        <w:t>trialled</w:t>
      </w:r>
      <w:r>
        <w:t xml:space="preserve"> over the 2018/19 Christmas period within the Counties Manukau family harm setting</w:t>
      </w:r>
      <w:r w:rsidR="00C61FD0">
        <w:t xml:space="preserve">. MDCAT </w:t>
      </w:r>
      <w:r>
        <w:t>involv</w:t>
      </w:r>
      <w:r w:rsidR="00C61FD0">
        <w:t>ed</w:t>
      </w:r>
      <w:r>
        <w:t xml:space="preserve"> 16 different organisations, including both government agencies and NGO’s, many of whom co-located to provide a </w:t>
      </w:r>
      <w:proofErr w:type="gramStart"/>
      <w:r>
        <w:t>more timely</w:t>
      </w:r>
      <w:proofErr w:type="gramEnd"/>
      <w:r>
        <w:t xml:space="preserve"> and better joined-up approach for victims of family violence and their whānau. Learnings from the MDCAT way of working has been able to demonstrate what it takes to work collectively across government and </w:t>
      </w:r>
      <w:proofErr w:type="gramStart"/>
      <w:r>
        <w:t>NGO’s</w:t>
      </w:r>
      <w:proofErr w:type="gramEnd"/>
      <w:r>
        <w:t xml:space="preserve"> to support what matters most to whānau with complex needs.   </w:t>
      </w:r>
    </w:p>
    <w:p w14:paraId="39B7883C" w14:textId="3028C493" w:rsidR="00F13394" w:rsidRDefault="0017095C" w:rsidP="00070525">
      <w:pPr>
        <w:pStyle w:val="Heading4"/>
      </w:pPr>
      <w:bookmarkStart w:id="95" w:name="_Toc126092099"/>
      <w:r>
        <w:t>How the PBIs operate</w:t>
      </w:r>
      <w:bookmarkEnd w:id="95"/>
    </w:p>
    <w:p w14:paraId="2EE91C56" w14:textId="3FFBCB6A" w:rsidR="002D1250" w:rsidRPr="00F543C1" w:rsidRDefault="002D1250" w:rsidP="002D1250">
      <w:pPr>
        <w:pStyle w:val="USBodyText"/>
      </w:pPr>
      <w:r w:rsidRPr="00F543C1">
        <w:t>Both PBIs have comprehensive data collection and reporting systems which focus on truly capturing the voice of whānau</w:t>
      </w:r>
      <w:r>
        <w:t xml:space="preserve"> </w:t>
      </w:r>
      <w:r w:rsidRPr="00F543C1">
        <w:t xml:space="preserve">– not how </w:t>
      </w:r>
      <w:r>
        <w:t xml:space="preserve">their </w:t>
      </w:r>
      <w:r w:rsidRPr="00F543C1">
        <w:t xml:space="preserve">needs may be categorised by providers, but how whānau themselves describe and prioritise the issues they face and the needs they have. </w:t>
      </w:r>
    </w:p>
    <w:p w14:paraId="3FF0D573" w14:textId="5F359FAE" w:rsidR="002D1250" w:rsidRPr="00F543C1" w:rsidRDefault="002D1250" w:rsidP="002D1250">
      <w:pPr>
        <w:pStyle w:val="USBodyText"/>
      </w:pPr>
      <w:r w:rsidRPr="00F543C1">
        <w:t xml:space="preserve">Both partner with providers that take the time to build trusted relationships with whānau. One example is </w:t>
      </w:r>
      <w:proofErr w:type="spellStart"/>
      <w:r w:rsidRPr="00F543C1">
        <w:t>Mauria</w:t>
      </w:r>
      <w:proofErr w:type="spellEnd"/>
      <w:r w:rsidRPr="00F543C1">
        <w:t xml:space="preserve"> </w:t>
      </w:r>
      <w:proofErr w:type="spellStart"/>
      <w:r w:rsidRPr="00F543C1">
        <w:t>te</w:t>
      </w:r>
      <w:proofErr w:type="spellEnd"/>
      <w:r w:rsidRPr="00F543C1">
        <w:t xml:space="preserve"> Pono, a Gisborne-based </w:t>
      </w:r>
      <w:r w:rsidR="00535565" w:rsidRPr="00F543C1">
        <w:t>flax roots</w:t>
      </w:r>
      <w:r w:rsidRPr="00F543C1">
        <w:t xml:space="preserve"> recovery sharing movement for people and their whānau affected by drug and alcohol abuse, which provides a safe and comfortable place for whānau to wānanga and connect, followed by kai and korero, in accordance with tikanga </w:t>
      </w:r>
      <w:r w:rsidRPr="00F543C1">
        <w:fldChar w:fldCharType="begin"/>
      </w:r>
      <w:r w:rsidR="009B0EC4">
        <w:instrText xml:space="preserve"> ADDIN ZOTERO_ITEM CSL_CITATION {"citationID":"zDdhZiXL","properties":{"formattedCitation":"(New Zealand Productivity Commission 2022a, 109)","plainCitation":"(New Zealand Productivity Commission 2022a, 109)","noteIndex":0},"citationItems":[{"id":16621,"uris":["http://zotero.org/groups/4801058/items/WYNPCXJD"],"itemData":{"id":16621,"type":"report","event-place":"Wellington","publisher":"New Zealand Productivity Commission","publisher-place":"Wellington","title":"Fair Chance for All Interim Report - Breaking the Cycle of Persistent Disadvantage","author":[{"family":"New Zealand Productivity Commission","given":""}],"issued":{"date-parts":[["2022"]]}},"locator":"109","label":"page"}],"schema":"https://github.com/citation-style-language/schema/raw/master/csl-citation.json"} </w:instrText>
      </w:r>
      <w:r w:rsidRPr="00F543C1">
        <w:fldChar w:fldCharType="separate"/>
      </w:r>
      <w:r w:rsidRPr="00F543C1">
        <w:rPr>
          <w:rFonts w:cs="Calibri"/>
        </w:rPr>
        <w:t>(New Zealand Productivity Commission 2022a, 109)</w:t>
      </w:r>
      <w:r w:rsidRPr="00F543C1">
        <w:fldChar w:fldCharType="end"/>
      </w:r>
      <w:r w:rsidRPr="00F543C1">
        <w:t xml:space="preserve">. In common with many providers in this space, </w:t>
      </w:r>
      <w:proofErr w:type="spellStart"/>
      <w:r w:rsidRPr="00F543C1">
        <w:t>Mauria</w:t>
      </w:r>
      <w:proofErr w:type="spellEnd"/>
      <w:r w:rsidRPr="00F543C1">
        <w:t xml:space="preserve"> </w:t>
      </w:r>
      <w:proofErr w:type="spellStart"/>
      <w:r w:rsidRPr="00F543C1">
        <w:t>te</w:t>
      </w:r>
      <w:proofErr w:type="spellEnd"/>
      <w:r w:rsidRPr="00F543C1">
        <w:t xml:space="preserve"> Pono does ‘whatever </w:t>
      </w:r>
      <w:proofErr w:type="gramStart"/>
      <w:r w:rsidRPr="00F543C1">
        <w:t>it</w:t>
      </w:r>
      <w:proofErr w:type="gramEnd"/>
      <w:r w:rsidRPr="00F543C1">
        <w:t xml:space="preserve"> takes’ within what their budget and team can manage. The whānau they support have complex lives, and there is no expectation that they will be diagnosed treated, </w:t>
      </w:r>
      <w:proofErr w:type="gramStart"/>
      <w:r w:rsidRPr="00F543C1">
        <w:t>discharged</w:t>
      </w:r>
      <w:proofErr w:type="gramEnd"/>
      <w:r w:rsidRPr="00F543C1">
        <w:t xml:space="preserve"> and ‘cured’ – the addiction journey is lifelong. </w:t>
      </w:r>
    </w:p>
    <w:p w14:paraId="1DD34D5E" w14:textId="1DF5E036" w:rsidR="0017095C" w:rsidRDefault="0017095C" w:rsidP="00070525">
      <w:pPr>
        <w:pStyle w:val="Heading4"/>
      </w:pPr>
      <w:bookmarkStart w:id="96" w:name="_Toc126092100"/>
      <w:r>
        <w:lastRenderedPageBreak/>
        <w:t>Successes and challenges</w:t>
      </w:r>
      <w:bookmarkEnd w:id="96"/>
    </w:p>
    <w:p w14:paraId="15397E30" w14:textId="7C180365" w:rsidR="002D1250" w:rsidRPr="00F543C1" w:rsidRDefault="002D1250" w:rsidP="002D1250">
      <w:pPr>
        <w:pStyle w:val="USBodyText"/>
      </w:pPr>
      <w:proofErr w:type="gramStart"/>
      <w:r w:rsidRPr="00F543C1">
        <w:t>So</w:t>
      </w:r>
      <w:proofErr w:type="gramEnd"/>
      <w:r w:rsidRPr="00F543C1">
        <w:t xml:space="preserve"> what does success look like in these contexts? It includes whānau who have previously disengaged from services being prepared to sit down and have a cup of tea with a provider; people feeling safe sharing needs they have not previously disclosed; and providers responding based on the priorities of whānau (which might mean addressing homelessness or anger management issues before supporting someone into employment). It involves making referrals to relevant providers, navigating the available help and advocating for support where it does not exist (for example, </w:t>
      </w:r>
      <w:r>
        <w:t>th</w:t>
      </w:r>
      <w:r w:rsidR="005D23FB">
        <w:t>r</w:t>
      </w:r>
      <w:r>
        <w:t xml:space="preserve">ough working with the wider community to </w:t>
      </w:r>
      <w:r w:rsidRPr="00F543C1">
        <w:t xml:space="preserve">support the </w:t>
      </w:r>
      <w:r>
        <w:t xml:space="preserve">ongoing </w:t>
      </w:r>
      <w:r w:rsidRPr="00F543C1">
        <w:t xml:space="preserve">development of </w:t>
      </w:r>
      <w:proofErr w:type="spellStart"/>
      <w:r>
        <w:t>Tauawhi</w:t>
      </w:r>
      <w:proofErr w:type="spellEnd"/>
      <w:r>
        <w:t xml:space="preserve"> </w:t>
      </w:r>
      <w:proofErr w:type="gramStart"/>
      <w:r>
        <w:t>T</w:t>
      </w:r>
      <w:r w:rsidRPr="00F543C1">
        <w:t>he</w:t>
      </w:r>
      <w:proofErr w:type="gramEnd"/>
      <w:r w:rsidRPr="00F543C1">
        <w:t xml:space="preserve"> Men’s Centre in Gisborne). Appropriately managed information-sharing reduces the extent to which people are re-traumatised by having to share difficult details </w:t>
      </w:r>
      <w:proofErr w:type="gramStart"/>
      <w:r w:rsidRPr="00F543C1">
        <w:t>over and over again</w:t>
      </w:r>
      <w:proofErr w:type="gramEnd"/>
      <w:r w:rsidRPr="00F543C1">
        <w:t xml:space="preserve">. </w:t>
      </w:r>
    </w:p>
    <w:p w14:paraId="59AAB002" w14:textId="77777777" w:rsidR="002D1250" w:rsidRPr="00F543C1" w:rsidRDefault="002D1250" w:rsidP="002D1250">
      <w:pPr>
        <w:pStyle w:val="USBodyText"/>
      </w:pPr>
      <w:r w:rsidRPr="00F543C1">
        <w:t xml:space="preserve">There have been challenges. Some of the services people need do not exist, and there have been instances where people have been left without support or referred to programmes that do not meet their needs because that is all that is available. </w:t>
      </w:r>
      <w:r>
        <w:t>M</w:t>
      </w:r>
      <w:r w:rsidRPr="00F543C1">
        <w:t xml:space="preserve">any systems issues that have been identified – such as homeless people being unable to register with a GP because they do not have an address – are still being addressed through individual workarounds rather than driving systems change. </w:t>
      </w:r>
    </w:p>
    <w:p w14:paraId="042F1BE4" w14:textId="1DBACA9A" w:rsidR="002D1250" w:rsidRPr="00F543C1" w:rsidRDefault="002D1250" w:rsidP="002D1250">
      <w:pPr>
        <w:pStyle w:val="USBodyText"/>
      </w:pPr>
      <w:r w:rsidRPr="00F543C1">
        <w:t xml:space="preserve">Both Manaaki </w:t>
      </w:r>
      <w:proofErr w:type="spellStart"/>
      <w:r w:rsidRPr="00F543C1">
        <w:t>Tairāwhiti</w:t>
      </w:r>
      <w:proofErr w:type="spellEnd"/>
      <w:r w:rsidRPr="00F543C1">
        <w:t xml:space="preserve"> and the South Auckland Social Wellbeing Board have structures in place where front-line staff coll</w:t>
      </w:r>
      <w:r>
        <w:t>ect and collate</w:t>
      </w:r>
      <w:r w:rsidRPr="00F543C1">
        <w:t xml:space="preserve"> </w:t>
      </w:r>
      <w:r>
        <w:t xml:space="preserve">the </w:t>
      </w:r>
      <w:r w:rsidRPr="00F543C1">
        <w:t xml:space="preserve">real-world </w:t>
      </w:r>
      <w:proofErr w:type="gramStart"/>
      <w:r w:rsidRPr="00F543C1">
        <w:t>experiences</w:t>
      </w:r>
      <w:proofErr w:type="gramEnd"/>
      <w:r w:rsidRPr="00F543C1">
        <w:t xml:space="preserve"> they hear from whānau and then undertake detailed reviews of service provision, focusing on identifying gaps, barriers, inefficiencies and inequities. In the case of Manaaki </w:t>
      </w:r>
      <w:proofErr w:type="spellStart"/>
      <w:r w:rsidRPr="00F543C1">
        <w:t>Tairāwhiti</w:t>
      </w:r>
      <w:proofErr w:type="spellEnd"/>
      <w:r w:rsidRPr="00F543C1">
        <w:t xml:space="preserve">, </w:t>
      </w:r>
      <w:r w:rsidRPr="00C44320">
        <w:t>the Operational Leadership Team work</w:t>
      </w:r>
      <w:r>
        <w:t>s</w:t>
      </w:r>
      <w:r w:rsidRPr="00C44320">
        <w:t xml:space="preserve"> with wider systems leadership to understand and validate barriers, and the system changes needed to address them. The South Auckland Social Wellbeing Board uses a test and learn approach. An in-house evidence and insights team captures learnings and build</w:t>
      </w:r>
      <w:r>
        <w:t>s the</w:t>
      </w:r>
      <w:r w:rsidRPr="00C44320">
        <w:t xml:space="preserve"> case for change for collective action and to inform local and national </w:t>
      </w:r>
      <w:r w:rsidR="005D23FB" w:rsidRPr="00C44320">
        <w:t>decision</w:t>
      </w:r>
      <w:r w:rsidR="005D23FB">
        <w:t>-</w:t>
      </w:r>
      <w:r w:rsidRPr="00C44320">
        <w:t>making.</w:t>
      </w:r>
    </w:p>
    <w:p w14:paraId="1E4DA12B" w14:textId="2A01B5A9" w:rsidR="002D1250" w:rsidRPr="00F543C1" w:rsidRDefault="002D1250" w:rsidP="002D1250">
      <w:pPr>
        <w:pStyle w:val="USBodyText"/>
      </w:pPr>
      <w:r>
        <w:t>The</w:t>
      </w:r>
      <w:r w:rsidRPr="00F543C1">
        <w:t xml:space="preserve"> governance boards </w:t>
      </w:r>
      <w:r>
        <w:t>of both PBIs take this information seriously and provide an important validation role. Unfortunately, actions to address systems challenges at the national level have been minimal</w:t>
      </w:r>
      <w:r w:rsidR="00193DAF">
        <w:t xml:space="preserve"> </w:t>
      </w:r>
      <w:r w:rsidR="00193DAF">
        <w:fldChar w:fldCharType="begin"/>
      </w:r>
      <w:r w:rsidR="009B0EC4">
        <w:instrText xml:space="preserve"> ADDIN ZOTERO_ITEM CSL_CITATION {"citationID":"fRAO1ddD","properties":{"formattedCitation":"(Fry 2022)","plainCitation":"(Fry 2022)","noteIndex":0},"citationItems":[{"id":18461,"uris":["http://zotero.org/groups/4801058/items/Y4XY6L7J"],"itemData":{"id":18461,"type":"report","event-place":"Wellington","publisher":"Productivity Commission","publisher-place":"Wellington","title":"Together alone: A review of joined-up social services","URL":"https://www.productivity.govt.nz/assets/Documents/Together-alone_A-review-of-joined-up-social-services.pdf","author":[{"family":"Fry","given":"Julie"}],"accessed":{"date-parts":[["2023",1,15]]},"issued":{"date-parts":[["2022"]]}}}],"schema":"https://github.com/citation-style-language/schema/raw/master/csl-citation.json"} </w:instrText>
      </w:r>
      <w:r w:rsidR="00193DAF">
        <w:fldChar w:fldCharType="separate"/>
      </w:r>
      <w:r w:rsidR="00660BDF" w:rsidRPr="00660BDF">
        <w:rPr>
          <w:rFonts w:cs="Calibri"/>
        </w:rPr>
        <w:t>(Fry 2022)</w:t>
      </w:r>
      <w:r w:rsidR="00193DAF">
        <w:fldChar w:fldCharType="end"/>
      </w:r>
      <w:r>
        <w:t xml:space="preserve">.  </w:t>
      </w:r>
    </w:p>
    <w:p w14:paraId="232CAFF6" w14:textId="1B052453" w:rsidR="002D1250" w:rsidRPr="00F543C1" w:rsidRDefault="002D1250" w:rsidP="002D1250">
      <w:pPr>
        <w:pStyle w:val="USBodyText"/>
      </w:pPr>
      <w:r>
        <w:t>T</w:t>
      </w:r>
      <w:r w:rsidRPr="00F543C1">
        <w:t xml:space="preserve">his is an example of </w:t>
      </w:r>
      <w:r>
        <w:t xml:space="preserve">the current system having </w:t>
      </w:r>
      <w:r w:rsidRPr="00F543C1">
        <w:t xml:space="preserve">weak accountability to people experiencing persistent disadvantage. </w:t>
      </w:r>
      <w:r>
        <w:t xml:space="preserve">Whānau are </w:t>
      </w:r>
      <w:r w:rsidRPr="00F543C1">
        <w:t>shar</w:t>
      </w:r>
      <w:r>
        <w:t>ing</w:t>
      </w:r>
      <w:r w:rsidRPr="00F543C1">
        <w:t xml:space="preserve"> their experiences with a complex social assistance system that is </w:t>
      </w:r>
      <w:r>
        <w:t xml:space="preserve">both failing to </w:t>
      </w:r>
      <w:r w:rsidRPr="00F543C1">
        <w:t>provi</w:t>
      </w:r>
      <w:r>
        <w:t>de</w:t>
      </w:r>
      <w:r w:rsidRPr="00F543C1">
        <w:t xml:space="preserve"> adequate </w:t>
      </w:r>
      <w:r w:rsidR="005D23FB">
        <w:t>support to</w:t>
      </w:r>
      <w:r w:rsidRPr="00F543C1">
        <w:t xml:space="preserve"> them to lead better lives</w:t>
      </w:r>
      <w:r>
        <w:t xml:space="preserve"> and failing to generate</w:t>
      </w:r>
      <w:r w:rsidRPr="00F543C1">
        <w:t xml:space="preserve"> systems improvements</w:t>
      </w:r>
      <w:r w:rsidR="003B3F65">
        <w:t>,</w:t>
      </w:r>
      <w:r>
        <w:t xml:space="preserve"> because central agencies are primarily focused on being accountable for their core delivery requirements</w:t>
      </w:r>
      <w:r w:rsidRPr="00F543C1">
        <w:t>.</w:t>
      </w:r>
    </w:p>
    <w:p w14:paraId="046732D5" w14:textId="77777777" w:rsidR="002D1250" w:rsidRDefault="002D1250" w:rsidP="00070525">
      <w:pPr>
        <w:pStyle w:val="Heading4"/>
      </w:pPr>
      <w:bookmarkStart w:id="97" w:name="_Toc126092101"/>
      <w:r>
        <w:t xml:space="preserve">Lessons from the Manaaki </w:t>
      </w:r>
      <w:proofErr w:type="spellStart"/>
      <w:r>
        <w:t>Tairāwhiti</w:t>
      </w:r>
      <w:proofErr w:type="spellEnd"/>
      <w:r>
        <w:t xml:space="preserve"> and SASWB approaches</w:t>
      </w:r>
      <w:bookmarkEnd w:id="97"/>
    </w:p>
    <w:p w14:paraId="0615CD47" w14:textId="72CB19E2" w:rsidR="002D1250" w:rsidRDefault="002D1250" w:rsidP="002D1250">
      <w:pPr>
        <w:pStyle w:val="USBodyText"/>
      </w:pPr>
      <w:r w:rsidRPr="00FA5578">
        <w:t xml:space="preserve">Manaaki </w:t>
      </w:r>
      <w:proofErr w:type="spellStart"/>
      <w:r w:rsidRPr="00FA5578">
        <w:t>Tairāwhiti</w:t>
      </w:r>
      <w:proofErr w:type="spellEnd"/>
      <w:r w:rsidRPr="00FA5578">
        <w:t xml:space="preserve"> and </w:t>
      </w:r>
      <w:r>
        <w:t xml:space="preserve">the </w:t>
      </w:r>
      <w:r w:rsidRPr="00FA5578">
        <w:t xml:space="preserve">SASWB </w:t>
      </w:r>
      <w:r>
        <w:t xml:space="preserve">appear, </w:t>
      </w:r>
      <w:r w:rsidR="0097037B">
        <w:t>at first glance</w:t>
      </w:r>
      <w:r>
        <w:t xml:space="preserve">, to be very different organisations. </w:t>
      </w:r>
      <w:r w:rsidR="0017095C">
        <w:t xml:space="preserve">Manaaki Tairawhiti </w:t>
      </w:r>
      <w:r>
        <w:t xml:space="preserve">is an iwi-led organisation working </w:t>
      </w:r>
      <w:r w:rsidR="0017095C">
        <w:t xml:space="preserve">in </w:t>
      </w:r>
      <w:r>
        <w:t>a remote regional centre, where about half the population are Māori, while the SASWB works in a multi-ethnic, densely populated urban centre. In our discussion</w:t>
      </w:r>
      <w:r w:rsidR="00073F8C">
        <w:t>s</w:t>
      </w:r>
      <w:r>
        <w:t xml:space="preserve"> with them, we have, however, noticed that they share many common experiences as they work to improve lives. </w:t>
      </w:r>
    </w:p>
    <w:p w14:paraId="0D70E39B" w14:textId="77777777" w:rsidR="002D1250" w:rsidRDefault="002D1250" w:rsidP="002D1250">
      <w:pPr>
        <w:pStyle w:val="USBodyText"/>
      </w:pPr>
      <w:r>
        <w:t xml:space="preserve">Whānau who receive assistance – especially if it is well-intentioned, provided by nice people, and provided at no charge – are conditioned by the power imbalance between themselves and service providers to be grateful for any help, even if it does not make </w:t>
      </w:r>
      <w:r>
        <w:lastRenderedPageBreak/>
        <w:t xml:space="preserve">things better. They often distrust providers because of negative past experiences (prison, </w:t>
      </w:r>
      <w:proofErr w:type="spellStart"/>
      <w:r>
        <w:t>Oranga</w:t>
      </w:r>
      <w:proofErr w:type="spellEnd"/>
      <w:r>
        <w:t xml:space="preserve"> Tamariki, schools) and do not feel safe speaking up about their real needs and priorities. </w:t>
      </w:r>
    </w:p>
    <w:p w14:paraId="3ED8575F" w14:textId="2CF8352C" w:rsidR="002D1250" w:rsidRDefault="002D1250" w:rsidP="002D1250">
      <w:pPr>
        <w:pStyle w:val="USBodyText"/>
      </w:pPr>
      <w:r>
        <w:t>Funders and providers are focused on doing their part as well as they can: “we are accountable for X” (</w:t>
      </w:r>
      <w:r w:rsidRPr="00FA5578">
        <w:t>often an individual intervention),</w:t>
      </w:r>
      <w:r>
        <w:t xml:space="preserve"> but ultimately, there is a lack of end-to-end accountability that looks across the many components of assistance required and ensures that there are no gaps and cracks to fall through.</w:t>
      </w:r>
    </w:p>
    <w:p w14:paraId="0C9CBBD8" w14:textId="1612E54C" w:rsidR="002D1250" w:rsidRDefault="002D1250" w:rsidP="002D1250">
      <w:pPr>
        <w:pStyle w:val="USBodyText"/>
      </w:pPr>
      <w:r>
        <w:t>There is also a fundamental absence of learning across the system. What is needed is the ability to ‘unlearn’ what is ineffective</w:t>
      </w:r>
      <w:r w:rsidR="005D23FB">
        <w:t xml:space="preserve">, </w:t>
      </w:r>
      <w:r>
        <w:t>experiment with alternatives through a ‘test and learn approach’ and relearn effective approaches together. Identified systems issues do not lead to systems change.</w:t>
      </w:r>
    </w:p>
    <w:p w14:paraId="1CE1C706" w14:textId="74AA0AD0" w:rsidR="001E29AB" w:rsidRPr="00F543C1" w:rsidRDefault="00570132" w:rsidP="00E9059D">
      <w:pPr>
        <w:pStyle w:val="Heading2"/>
      </w:pPr>
      <w:bookmarkStart w:id="98" w:name="_Toc126092102"/>
      <w:bookmarkStart w:id="99" w:name="_Toc126841204"/>
      <w:r w:rsidRPr="00F543C1">
        <w:t>Working together</w:t>
      </w:r>
      <w:bookmarkEnd w:id="98"/>
      <w:bookmarkEnd w:id="99"/>
      <w:r w:rsidRPr="00F543C1">
        <w:t xml:space="preserve"> </w:t>
      </w:r>
    </w:p>
    <w:p w14:paraId="4D24A55D" w14:textId="2B75ACB1" w:rsidR="001E29AB" w:rsidRPr="00F543C1" w:rsidRDefault="001E29AB" w:rsidP="001E29AB">
      <w:pPr>
        <w:pStyle w:val="USBodyText"/>
      </w:pPr>
      <w:r w:rsidRPr="00F543C1">
        <w:t xml:space="preserve">Persistent disadvantage is a complex problem. While often contributed to by structural causes and past policy choices, the reasons that people are not living good lives are intensely personal to them, their whānau, and often their wider communities. While people may be predisposed to experience persistent disadvantage by nature or circumstances, neither is destiny. Outcomes are probabilistic, not deterministic. </w:t>
      </w:r>
    </w:p>
    <w:p w14:paraId="11E8D05B" w14:textId="2E576E1B" w:rsidR="001E29AB" w:rsidRPr="00F543C1" w:rsidRDefault="00F303D5" w:rsidP="001E29AB">
      <w:pPr>
        <w:pStyle w:val="USBodyText"/>
      </w:pPr>
      <w:r w:rsidRPr="00F543C1">
        <w:t>Assisting</w:t>
      </w:r>
      <w:r w:rsidR="001E29AB" w:rsidRPr="00F543C1">
        <w:t xml:space="preserve"> people experiencing persistent disadvantage requires confronting</w:t>
      </w:r>
      <w:r w:rsidR="00877B49" w:rsidRPr="00F543C1">
        <w:t xml:space="preserve"> and addressing</w:t>
      </w:r>
      <w:r w:rsidR="001E29AB" w:rsidRPr="00F543C1">
        <w:t xml:space="preserve"> underlying structural causes and developing a deep understanding of their circumstances and what they want to change in their lives. This has profound implications for what assistance is provided, how it is provided, by whom, where and when, and </w:t>
      </w:r>
      <w:r w:rsidR="00F53CC5" w:rsidRPr="00F543C1">
        <w:t xml:space="preserve">for </w:t>
      </w:r>
      <w:r w:rsidR="001E29AB" w:rsidRPr="00F543C1">
        <w:t xml:space="preserve">accountability. </w:t>
      </w:r>
    </w:p>
    <w:p w14:paraId="2B8DF84B" w14:textId="77777777" w:rsidR="001E29AB" w:rsidRPr="00F543C1" w:rsidRDefault="001E29AB" w:rsidP="001E29AB">
      <w:pPr>
        <w:pStyle w:val="USBodyText"/>
      </w:pPr>
      <w:r w:rsidRPr="00F543C1">
        <w:t xml:space="preserve">We can, however, see some themes. </w:t>
      </w:r>
    </w:p>
    <w:p w14:paraId="007B28CC" w14:textId="582DC532" w:rsidR="001E29AB" w:rsidRPr="00F543C1" w:rsidRDefault="001E29AB" w:rsidP="001E29AB">
      <w:pPr>
        <w:pStyle w:val="USBodyText"/>
      </w:pPr>
      <w:r w:rsidRPr="00F543C1">
        <w:t xml:space="preserve">Systemic factors need to be identified and confronted. Talking about them is a start, but it cannot be the end of the process. We need action to dismantle problematic power structures, honour </w:t>
      </w:r>
      <w:proofErr w:type="spellStart"/>
      <w:r w:rsidRPr="00F543C1">
        <w:t>Te</w:t>
      </w:r>
      <w:proofErr w:type="spellEnd"/>
      <w:r w:rsidRPr="00F543C1">
        <w:t xml:space="preserve"> </w:t>
      </w:r>
      <w:proofErr w:type="spellStart"/>
      <w:r w:rsidRPr="00F543C1">
        <w:t>Tiriti</w:t>
      </w:r>
      <w:proofErr w:type="spellEnd"/>
      <w:r w:rsidRPr="00F543C1">
        <w:t xml:space="preserve"> o Waitangi</w:t>
      </w:r>
      <w:r w:rsidR="008909CB" w:rsidRPr="00F543C1">
        <w:t>,</w:t>
      </w:r>
      <w:r w:rsidRPr="00F543C1">
        <w:t xml:space="preserve"> provide redress for breaches and colonial abuses, and address ongoing racism, </w:t>
      </w:r>
      <w:proofErr w:type="gramStart"/>
      <w:r w:rsidRPr="00F543C1">
        <w:t>sexism</w:t>
      </w:r>
      <w:proofErr w:type="gramEnd"/>
      <w:r w:rsidRPr="00F543C1">
        <w:t xml:space="preserve"> and ableism.</w:t>
      </w:r>
    </w:p>
    <w:p w14:paraId="5776117F" w14:textId="78CE42F9" w:rsidR="001E29AB" w:rsidRDefault="001E29AB" w:rsidP="00120CDF">
      <w:pPr>
        <w:pStyle w:val="USBodyText"/>
      </w:pPr>
      <w:r w:rsidRPr="00F543C1">
        <w:t xml:space="preserve">Addressing </w:t>
      </w:r>
      <w:r w:rsidR="00BA509B" w:rsidRPr="00F543C1">
        <w:t xml:space="preserve">persistent </w:t>
      </w:r>
      <w:r w:rsidRPr="00F543C1">
        <w:t xml:space="preserve">disadvantage via social assistance </w:t>
      </w:r>
      <w:r w:rsidR="00FA2487" w:rsidRPr="00F543C1">
        <w:t>requires people to build trust and work together</w:t>
      </w:r>
      <w:r w:rsidR="008D61EF">
        <w:t>.</w:t>
      </w:r>
      <w:r w:rsidR="00FA2487" w:rsidRPr="00F543C1">
        <w:t xml:space="preserve"> </w:t>
      </w:r>
      <w:r w:rsidR="00290F98" w:rsidRPr="00F543C1">
        <w:t>Assistance is not a one-off event or even a process with a neat start (a diagnosis), a middle (treatment) and an end (cure and discharge). It is a</w:t>
      </w:r>
      <w:r w:rsidR="00DD045A">
        <w:t>n ongoing</w:t>
      </w:r>
      <w:r w:rsidR="00711CC9">
        <w:t xml:space="preserve"> </w:t>
      </w:r>
      <w:r w:rsidR="00290F98" w:rsidRPr="00F543C1">
        <w:t>process of inquiry, delivery, assessment and then re-inquiry</w:t>
      </w:r>
      <w:r w:rsidR="004C17E5" w:rsidRPr="00F543C1">
        <w:t xml:space="preserve"> </w:t>
      </w:r>
      <w:r w:rsidR="00E427D7" w:rsidRPr="00F543C1">
        <w:t>that</w:t>
      </w:r>
      <w:r w:rsidRPr="00F543C1">
        <w:t xml:space="preserve"> is most likely to be effective if it</w:t>
      </w:r>
      <w:r w:rsidR="004C17E5" w:rsidRPr="00F543C1">
        <w:t xml:space="preserve"> </w:t>
      </w:r>
      <w:r w:rsidR="003B1BD8" w:rsidRPr="00F543C1">
        <w:t>is</w:t>
      </w:r>
      <w:r w:rsidRPr="00F543C1">
        <w:t xml:space="preserve"> based on understanding what sort of lives people want to live and</w:t>
      </w:r>
      <w:r w:rsidR="003B1BD8" w:rsidRPr="00F543C1">
        <w:t xml:space="preserve"> the</w:t>
      </w:r>
      <w:r w:rsidRPr="00F543C1">
        <w:t xml:space="preserve"> changes they want in their lives. As fundamental causes of disadvantage differ, so should </w:t>
      </w:r>
      <w:r w:rsidR="00AF49EE" w:rsidRPr="00F543C1">
        <w:t xml:space="preserve">the </w:t>
      </w:r>
      <w:r w:rsidRPr="00F543C1">
        <w:t>responses.</w:t>
      </w:r>
    </w:p>
    <w:p w14:paraId="24584F29" w14:textId="78EF9E29" w:rsidR="002C37DF" w:rsidRDefault="002C37DF" w:rsidP="008D61EF">
      <w:pPr>
        <w:pStyle w:val="Heading2"/>
      </w:pPr>
      <w:bookmarkStart w:id="100" w:name="_Toc126841205"/>
      <w:r>
        <w:t xml:space="preserve">Institutions will also need to </w:t>
      </w:r>
      <w:proofErr w:type="gramStart"/>
      <w:r>
        <w:t>change</w:t>
      </w:r>
      <w:bookmarkEnd w:id="100"/>
      <w:proofErr w:type="gramEnd"/>
    </w:p>
    <w:p w14:paraId="1CB1838B" w14:textId="09A587C6" w:rsidR="0002261A" w:rsidRDefault="0002261A" w:rsidP="0002261A">
      <w:pPr>
        <w:pStyle w:val="USBodyText"/>
      </w:pPr>
      <w:r>
        <w:t>Along with changes to accountability, addressing this will involve future consideration of institutions. The considerable effort, resources and commitment directed at improving collaboration across ‘siloed’ institutions has resulted in some improvements, but it has not, and as Ken Warren has concluded, will not lead to transformational change in the lives of people experiencing persistent disadvantage</w:t>
      </w:r>
      <w:r w:rsidR="00BD72BB">
        <w:t xml:space="preserve"> </w:t>
      </w:r>
      <w:r>
        <w:fldChar w:fldCharType="begin"/>
      </w:r>
      <w:r w:rsidR="009B0EC4">
        <w:instrText xml:space="preserve"> ADDIN ZOTERO_ITEM CSL_CITATION {"citationID":"CCu9Aklf","properties":{"formattedCitation":"(Warren 2021)","plainCitation":"(Warren 2021)","noteIndex":0},"citationItems":[{"id":14084,"uris":["http://zotero.org/groups/4623831/items/96MF39B8"],"itemData":{"id":14084,"type":"report","event-place":"Wellington","genre":"Working Paper","number":"21/12","publisher":"Institute for Governance and Policy Studies","publisher-place":"Wellington","title":"Designing a new collective operating and funding model in the New Zealand Public Sector","author":[{"family":"Warren","given":"Ken"}],"issued":{"date-parts":[["2021"]]}}}],"schema":"https://github.com/citation-style-language/schema/raw/master/csl-citation.json"} </w:instrText>
      </w:r>
      <w:r>
        <w:fldChar w:fldCharType="separate"/>
      </w:r>
      <w:r w:rsidRPr="0002261A">
        <w:rPr>
          <w:rFonts w:cs="Calibri"/>
        </w:rPr>
        <w:t>(Warren 2021)</w:t>
      </w:r>
      <w:r>
        <w:fldChar w:fldCharType="end"/>
      </w:r>
      <w:r>
        <w:t>. That is because, broadly speaking, there are two different systems of social assistance needed in Aotearoa New Zealand today.</w:t>
      </w:r>
    </w:p>
    <w:p w14:paraId="61101B00" w14:textId="77777777" w:rsidR="0002261A" w:rsidRPr="00AD6918" w:rsidRDefault="0002261A" w:rsidP="0002261A">
      <w:pPr>
        <w:pStyle w:val="USBodyText"/>
      </w:pPr>
      <w:r>
        <w:lastRenderedPageBreak/>
        <w:t xml:space="preserve">One is the mainstream social services system. It delivers standard services such as benefit payments and surgery through conventional, ‘siloed’ models with strong systems of vertical </w:t>
      </w:r>
      <w:r w:rsidRPr="00AD6918">
        <w:t>accountability. Its focus is on efficiency and effectiveness</w:t>
      </w:r>
      <w:r>
        <w:t>, and although i</w:t>
      </w:r>
      <w:r w:rsidRPr="00AD6918">
        <w:t>mprovements are certainly possible</w:t>
      </w:r>
      <w:r>
        <w:t>, for the most part,</w:t>
      </w:r>
      <w:r w:rsidRPr="00AD6918">
        <w:t xml:space="preserve"> </w:t>
      </w:r>
      <w:r>
        <w:t xml:space="preserve">it </w:t>
      </w:r>
      <w:r w:rsidRPr="00AD6918">
        <w:t xml:space="preserve">does </w:t>
      </w:r>
      <w:r>
        <w:t>what it was designed to do well</w:t>
      </w:r>
      <w:r w:rsidRPr="00AD6918">
        <w:t>.</w:t>
      </w:r>
    </w:p>
    <w:p w14:paraId="41E8AEFC" w14:textId="77777777" w:rsidR="0002261A" w:rsidRDefault="0002261A" w:rsidP="0002261A">
      <w:pPr>
        <w:pStyle w:val="USBodyText"/>
      </w:pPr>
      <w:r w:rsidRPr="00AD6918">
        <w:t xml:space="preserve">In seeking to improve assistance provided to people experiencing persistent disadvantage, it is important that </w:t>
      </w:r>
      <w:r w:rsidRPr="000B2644">
        <w:t>any changes do not undermine the effective functioning</w:t>
      </w:r>
      <w:r w:rsidRPr="00AD6918">
        <w:t xml:space="preserve"> of this part of the system</w:t>
      </w:r>
      <w:r>
        <w:t xml:space="preserve">. </w:t>
      </w:r>
      <w:r w:rsidRPr="00AD6918">
        <w:t>We acknowledge that the boundary between a system that provides uniform services for most people and one that provides different services for a smaller group will be a key challenge. Again, we are suggesting improvements rather than perfection.</w:t>
      </w:r>
    </w:p>
    <w:p w14:paraId="168DC72D" w14:textId="77777777" w:rsidR="0002261A" w:rsidRDefault="0002261A" w:rsidP="0002261A">
      <w:pPr>
        <w:pStyle w:val="USBodyText"/>
      </w:pPr>
      <w:r>
        <w:t>Unfortunately, the mainstream social services system abjectly fails people with multiple, complex, enduring needs. It often makes their lives worse by adding additional layers of judgment, stress and complexity and failing to provide the help they need.</w:t>
      </w:r>
    </w:p>
    <w:p w14:paraId="581EC3B7" w14:textId="5987F36F" w:rsidR="0002261A" w:rsidRDefault="0002261A" w:rsidP="0002261A">
      <w:pPr>
        <w:pStyle w:val="USBodyText"/>
      </w:pPr>
      <w:r>
        <w:t xml:space="preserve">Our current approaches to addressing this do not address its root cause, which is the failure to centre the voices of families and whānau in the commissioning, design, </w:t>
      </w:r>
      <w:proofErr w:type="gramStart"/>
      <w:r>
        <w:t>delivery</w:t>
      </w:r>
      <w:proofErr w:type="gramEnd"/>
      <w:r>
        <w:t xml:space="preserve"> and ongoing assessment of the assistance they need. </w:t>
      </w:r>
    </w:p>
    <w:p w14:paraId="2F47306D" w14:textId="77777777" w:rsidR="0002261A" w:rsidRDefault="0002261A" w:rsidP="0002261A">
      <w:pPr>
        <w:pStyle w:val="USBodyText"/>
      </w:pPr>
      <w:r>
        <w:t>The continued need to provide workarounds – navigators to help people engage with a system that is so complex that they cannot manage it themselves; committees to improve collaboration between organisations – is a sure sign that the system itself is broken.</w:t>
      </w:r>
    </w:p>
    <w:p w14:paraId="1F2C0AC8" w14:textId="170C2CA0" w:rsidR="00577327" w:rsidRDefault="00577327" w:rsidP="008D61EF">
      <w:pPr>
        <w:pStyle w:val="Heading2"/>
      </w:pPr>
      <w:bookmarkStart w:id="101" w:name="_Toc126841206"/>
      <w:r>
        <w:lastRenderedPageBreak/>
        <w:t>What a new system looks like</w:t>
      </w:r>
      <w:bookmarkEnd w:id="101"/>
    </w:p>
    <w:p w14:paraId="1DB63726" w14:textId="66441714" w:rsidR="00120CDF" w:rsidRDefault="001E29AB" w:rsidP="00852078">
      <w:pPr>
        <w:pStyle w:val="USBodyText"/>
        <w:rPr>
          <w:b/>
          <w:iCs/>
          <w:color w:val="0094C5"/>
          <w:sz w:val="24"/>
          <w:szCs w:val="18"/>
        </w:rPr>
      </w:pPr>
      <w:r w:rsidRPr="00F543C1">
        <w:t>In</w:t>
      </w:r>
      <w:r w:rsidR="00852078">
        <w:t xml:space="preserve"> </w:t>
      </w:r>
      <w:r w:rsidR="00852078">
        <w:fldChar w:fldCharType="begin"/>
      </w:r>
      <w:r w:rsidR="00852078">
        <w:instrText xml:space="preserve"> REF _Ref126323519 \h </w:instrText>
      </w:r>
      <w:r w:rsidR="00852078">
        <w:fldChar w:fldCharType="separate"/>
      </w:r>
      <w:r w:rsidR="00E06351" w:rsidRPr="00F543C1">
        <w:t xml:space="preserve">Table </w:t>
      </w:r>
      <w:r w:rsidR="00E06351">
        <w:rPr>
          <w:noProof/>
        </w:rPr>
        <w:t>1</w:t>
      </w:r>
      <w:r w:rsidR="00852078">
        <w:fldChar w:fldCharType="end"/>
      </w:r>
      <w:r w:rsidR="0037038E" w:rsidRPr="00726346">
        <w:t>,</w:t>
      </w:r>
      <w:r w:rsidR="00CD767D" w:rsidRPr="00F543C1">
        <w:rPr>
          <w:b/>
          <w:bCs/>
        </w:rPr>
        <w:t xml:space="preserve"> </w:t>
      </w:r>
      <w:r w:rsidRPr="00F543C1">
        <w:t xml:space="preserve">we </w:t>
      </w:r>
      <w:r w:rsidR="005A3D15" w:rsidRPr="00F543C1">
        <w:t xml:space="preserve">summarise our earlier discussion </w:t>
      </w:r>
      <w:r w:rsidR="00A305B5" w:rsidRPr="00F543C1">
        <w:t xml:space="preserve">by </w:t>
      </w:r>
      <w:r w:rsidRPr="00F543C1">
        <w:t>set</w:t>
      </w:r>
      <w:r w:rsidR="00A305B5" w:rsidRPr="00F543C1">
        <w:t>ting</w:t>
      </w:r>
      <w:r w:rsidRPr="00F543C1">
        <w:t xml:space="preserve"> out some key differences between the current approach and what is likely to be more effective.</w:t>
      </w:r>
      <w:r w:rsidR="004615EA" w:rsidRPr="009006D7">
        <w:rPr>
          <w:rStyle w:val="FootnoteReference"/>
        </w:rPr>
        <w:footnoteReference w:id="84"/>
      </w:r>
      <w:bookmarkStart w:id="102" w:name="_Ref124764314"/>
    </w:p>
    <w:p w14:paraId="3A993E7C" w14:textId="1519F088" w:rsidR="001E29AB" w:rsidRPr="00F543C1" w:rsidRDefault="001E29AB" w:rsidP="008D61EF">
      <w:pPr>
        <w:pStyle w:val="TableCaption"/>
        <w:keepNext w:val="0"/>
      </w:pPr>
      <w:bookmarkStart w:id="103" w:name="_Ref126323519"/>
      <w:bookmarkStart w:id="104" w:name="_Toc126841245"/>
      <w:r w:rsidRPr="00F543C1">
        <w:t xml:space="preserve">Table </w:t>
      </w:r>
      <w:r w:rsidRPr="00F543C1">
        <w:fldChar w:fldCharType="begin"/>
      </w:r>
      <w:r w:rsidRPr="00F543C1">
        <w:instrText>SEQ Table \* ARABIC</w:instrText>
      </w:r>
      <w:r w:rsidRPr="00F543C1">
        <w:fldChar w:fldCharType="separate"/>
      </w:r>
      <w:r w:rsidR="00E06351">
        <w:rPr>
          <w:noProof/>
        </w:rPr>
        <w:t>1</w:t>
      </w:r>
      <w:r w:rsidRPr="00F543C1">
        <w:fldChar w:fldCharType="end"/>
      </w:r>
      <w:bookmarkEnd w:id="102"/>
      <w:bookmarkEnd w:id="103"/>
      <w:r w:rsidRPr="00726346">
        <w:t xml:space="preserve"> A better approach to addressing persistent </w:t>
      </w:r>
      <w:proofErr w:type="gramStart"/>
      <w:r w:rsidRPr="00726346">
        <w:t>disadvantage</w:t>
      </w:r>
      <w:bookmarkEnd w:id="104"/>
      <w:proofErr w:type="gramEnd"/>
    </w:p>
    <w:p w14:paraId="23FEFB7B" w14:textId="591651F1" w:rsidR="001E29AB" w:rsidRPr="00F543C1" w:rsidRDefault="001E29AB" w:rsidP="008D61EF">
      <w:pPr>
        <w:pStyle w:val="CaptionSubheading"/>
        <w:keepNext w:val="0"/>
      </w:pPr>
    </w:p>
    <w:tbl>
      <w:tblPr>
        <w:tblStyle w:val="TableDefault"/>
        <w:tblpPr w:leftFromText="180" w:rightFromText="180" w:vertAnchor="text" w:tblpX="851" w:tblpY="1"/>
        <w:tblOverlap w:val="never"/>
        <w:tblW w:w="8328" w:type="dxa"/>
        <w:tblInd w:w="0" w:type="dxa"/>
        <w:tblLook w:val="0460" w:firstRow="1" w:lastRow="1" w:firstColumn="0" w:lastColumn="0" w:noHBand="0" w:noVBand="1"/>
      </w:tblPr>
      <w:tblGrid>
        <w:gridCol w:w="4164"/>
        <w:gridCol w:w="4164"/>
      </w:tblGrid>
      <w:tr w:rsidR="001E29AB" w:rsidRPr="00F543C1" w14:paraId="56CDEDE0" w14:textId="77777777" w:rsidTr="00182528">
        <w:trPr>
          <w:cnfStyle w:val="100000000000" w:firstRow="1" w:lastRow="0" w:firstColumn="0" w:lastColumn="0" w:oddVBand="0" w:evenVBand="0" w:oddHBand="0" w:evenHBand="0" w:firstRowFirstColumn="0" w:firstRowLastColumn="0" w:lastRowFirstColumn="0" w:lastRowLastColumn="0"/>
        </w:trPr>
        <w:tc>
          <w:tcPr>
            <w:tcW w:w="2500" w:type="pct"/>
          </w:tcPr>
          <w:p w14:paraId="08026EC2" w14:textId="77777777" w:rsidR="001E29AB" w:rsidRPr="00F543C1" w:rsidRDefault="001E29AB" w:rsidP="008D61EF">
            <w:pPr>
              <w:pStyle w:val="TSTableHeadingWhite-TopRow"/>
              <w:keepNext w:val="0"/>
              <w:keepLines w:val="0"/>
            </w:pPr>
            <w:r w:rsidRPr="00F543C1">
              <w:t>Current approach</w:t>
            </w:r>
          </w:p>
        </w:tc>
        <w:tc>
          <w:tcPr>
            <w:tcW w:w="2500" w:type="pct"/>
          </w:tcPr>
          <w:p w14:paraId="605FD07B" w14:textId="77777777" w:rsidR="001E29AB" w:rsidRPr="00F543C1" w:rsidRDefault="001E29AB" w:rsidP="008D61EF">
            <w:pPr>
              <w:pStyle w:val="TSTableHeadingWhite-TopRow"/>
              <w:keepNext w:val="0"/>
              <w:keepLines w:val="0"/>
            </w:pPr>
            <w:r w:rsidRPr="00F543C1">
              <w:t>Desired approach</w:t>
            </w:r>
          </w:p>
        </w:tc>
      </w:tr>
      <w:tr w:rsidR="001E29AB" w:rsidRPr="00F543C1" w14:paraId="2FDC4D65" w14:textId="77777777" w:rsidTr="00182528">
        <w:tc>
          <w:tcPr>
            <w:tcW w:w="2500" w:type="pct"/>
          </w:tcPr>
          <w:p w14:paraId="64AC5EEC" w14:textId="00878150" w:rsidR="001E29AB" w:rsidRPr="00F543C1" w:rsidRDefault="00866B74" w:rsidP="00120CDF">
            <w:pPr>
              <w:pStyle w:val="TSBodyText"/>
            </w:pPr>
            <w:r w:rsidRPr="00F543C1">
              <w:t>Agencies are in the process of transitioning from a</w:t>
            </w:r>
            <w:r w:rsidR="001E29AB" w:rsidRPr="00F543C1">
              <w:t xml:space="preserve"> focus on the ‘principles’ of the Treaty of Waitangi (which are a construction of the New Zealand Parliament</w:t>
            </w:r>
            <w:r w:rsidR="001E29AB" w:rsidRPr="009006D7">
              <w:rPr>
                <w:rStyle w:val="FootnoteReference"/>
              </w:rPr>
              <w:footnoteReference w:id="85"/>
            </w:r>
            <w:r w:rsidR="001E29AB" w:rsidRPr="00726346">
              <w:t>) as a guide for decision-makers</w:t>
            </w:r>
            <w:r w:rsidR="007A3FE4" w:rsidRPr="00F543C1" w:rsidDel="007A3FE4">
              <w:rPr>
                <w:rStyle w:val="FootnoteReference"/>
              </w:rPr>
              <w:t xml:space="preserve"> </w:t>
            </w:r>
            <w:r w:rsidR="00F77E50" w:rsidRPr="00F543C1">
              <w:t xml:space="preserve">towards </w:t>
            </w:r>
            <w:r w:rsidR="00EE164F" w:rsidRPr="00F543C1">
              <w:t>focusing on the articles themselves</w:t>
            </w:r>
            <w:r w:rsidR="007A3FE4" w:rsidRPr="00F543C1">
              <w:t>.</w:t>
            </w:r>
            <w:r w:rsidR="007A3FE4" w:rsidRPr="009006D7">
              <w:rPr>
                <w:rStyle w:val="FootnoteReference"/>
              </w:rPr>
              <w:footnoteReference w:id="86"/>
            </w:r>
            <w:r w:rsidR="007A3FE4" w:rsidRPr="00726346">
              <w:t xml:space="preserve"> </w:t>
            </w:r>
            <w:r w:rsidR="001E29AB" w:rsidRPr="00F543C1">
              <w:t>Departments and Crown entities are encouraged to be culturally competent in their exercise of sovereign powers.</w:t>
            </w:r>
          </w:p>
        </w:tc>
        <w:tc>
          <w:tcPr>
            <w:tcW w:w="2500" w:type="pct"/>
          </w:tcPr>
          <w:p w14:paraId="43C27001" w14:textId="6AB212A8" w:rsidR="001E29AB" w:rsidRPr="00F543C1" w:rsidRDefault="001E29AB" w:rsidP="00120CDF">
            <w:pPr>
              <w:pStyle w:val="TSBodyText"/>
            </w:pPr>
            <w:r w:rsidRPr="00F543C1">
              <w:t xml:space="preserve">The Crown meets its obligations under </w:t>
            </w:r>
            <w:proofErr w:type="spellStart"/>
            <w:r w:rsidR="00041E30" w:rsidRPr="00F543C1">
              <w:t>t</w:t>
            </w:r>
            <w:r w:rsidRPr="00F543C1">
              <w:t>e</w:t>
            </w:r>
            <w:proofErr w:type="spellEnd"/>
            <w:r w:rsidRPr="00F543C1">
              <w:t xml:space="preserve"> </w:t>
            </w:r>
            <w:proofErr w:type="spellStart"/>
            <w:r w:rsidRPr="00F543C1">
              <w:t>Tiriti</w:t>
            </w:r>
            <w:proofErr w:type="spellEnd"/>
            <w:r w:rsidRPr="00F543C1">
              <w:t xml:space="preserve"> o Waitangi and provides redress for past and ongoing breaches. Iwi exercise </w:t>
            </w:r>
            <w:proofErr w:type="spellStart"/>
            <w:r w:rsidRPr="00F543C1">
              <w:t>tino</w:t>
            </w:r>
            <w:proofErr w:type="spellEnd"/>
            <w:r w:rsidRPr="00F543C1">
              <w:t xml:space="preserve"> rangatiratanga.</w:t>
            </w:r>
            <w:r w:rsidR="0033557C" w:rsidRPr="009006D7">
              <w:rPr>
                <w:rStyle w:val="FootnoteReference"/>
              </w:rPr>
              <w:footnoteReference w:id="87"/>
            </w:r>
            <w:r w:rsidR="001D60AD" w:rsidRPr="00726346">
              <w:t xml:space="preserve"> </w:t>
            </w:r>
            <w:r w:rsidR="00E14551" w:rsidRPr="00F543C1">
              <w:t xml:space="preserve">Māori who are </w:t>
            </w:r>
            <w:proofErr w:type="spellStart"/>
            <w:r w:rsidR="00E14551" w:rsidRPr="00F543C1">
              <w:t>mataawaka</w:t>
            </w:r>
            <w:proofErr w:type="spellEnd"/>
            <w:r w:rsidR="00E14551" w:rsidRPr="00F543C1">
              <w:t xml:space="preserve"> (people with ancestral links to other places in </w:t>
            </w:r>
            <w:r w:rsidR="00311CD2">
              <w:t xml:space="preserve">Aotearoa </w:t>
            </w:r>
            <w:r w:rsidR="00E14551" w:rsidRPr="00F543C1">
              <w:t xml:space="preserve">New Zealand from where they live) are supported to engage with government. </w:t>
            </w:r>
          </w:p>
          <w:p w14:paraId="154FC243" w14:textId="77777777" w:rsidR="001E29AB" w:rsidRPr="00F543C1" w:rsidRDefault="001E29AB" w:rsidP="00120CDF">
            <w:pPr>
              <w:pStyle w:val="TSBodyText"/>
            </w:pPr>
          </w:p>
        </w:tc>
      </w:tr>
      <w:tr w:rsidR="001E29AB" w:rsidRPr="00F543C1" w14:paraId="5432D514" w14:textId="77777777" w:rsidTr="00182528">
        <w:trPr>
          <w:cnfStyle w:val="000000010000" w:firstRow="0" w:lastRow="0" w:firstColumn="0" w:lastColumn="0" w:oddVBand="0" w:evenVBand="0" w:oddHBand="0" w:evenHBand="1" w:firstRowFirstColumn="0" w:firstRowLastColumn="0" w:lastRowFirstColumn="0" w:lastRowLastColumn="0"/>
        </w:trPr>
        <w:tc>
          <w:tcPr>
            <w:tcW w:w="2500" w:type="pct"/>
          </w:tcPr>
          <w:p w14:paraId="3191F95A" w14:textId="77777777" w:rsidR="001E29AB" w:rsidRPr="00F543C1" w:rsidRDefault="001E29AB" w:rsidP="00182528">
            <w:pPr>
              <w:pStyle w:val="TSBodyText"/>
            </w:pPr>
            <w:r w:rsidRPr="00F543C1">
              <w:t>Ignores or even perpetuates wider societal context.</w:t>
            </w:r>
          </w:p>
        </w:tc>
        <w:tc>
          <w:tcPr>
            <w:tcW w:w="2500" w:type="pct"/>
          </w:tcPr>
          <w:p w14:paraId="4817CD7B" w14:textId="15147768" w:rsidR="001E29AB" w:rsidRPr="00F543C1" w:rsidRDefault="001E29AB" w:rsidP="00182528">
            <w:pPr>
              <w:pStyle w:val="TSBodyText"/>
            </w:pPr>
            <w:r w:rsidRPr="00F543C1">
              <w:t xml:space="preserve">Recognises and addresses wider systemic factors over time (power imbalances, </w:t>
            </w:r>
            <w:r w:rsidR="00514E5E">
              <w:t xml:space="preserve">colonialism, </w:t>
            </w:r>
            <w:r w:rsidRPr="00F543C1">
              <w:t>racism and discrimination, sexism, ableism).</w:t>
            </w:r>
          </w:p>
        </w:tc>
      </w:tr>
      <w:tr w:rsidR="001E29AB" w:rsidRPr="00F543C1" w14:paraId="489B7824" w14:textId="77777777" w:rsidTr="00182528">
        <w:tc>
          <w:tcPr>
            <w:tcW w:w="2500" w:type="pct"/>
          </w:tcPr>
          <w:p w14:paraId="3D254199" w14:textId="64EA8EC8" w:rsidR="001E29AB" w:rsidRPr="00F543C1" w:rsidRDefault="001E29AB" w:rsidP="00182528">
            <w:pPr>
              <w:pStyle w:val="TSBodyText"/>
            </w:pPr>
            <w:r w:rsidRPr="00F543C1">
              <w:t xml:space="preserve">Ethnic and social groups of people are </w:t>
            </w:r>
            <w:proofErr w:type="gramStart"/>
            <w:r w:rsidRPr="00F543C1">
              <w:t>marginalised</w:t>
            </w:r>
            <w:proofErr w:type="gramEnd"/>
            <w:r w:rsidRPr="00F543C1">
              <w:t xml:space="preserve"> and assistance often requires the recipient to conform to the culture and norms of the dominant group. </w:t>
            </w:r>
          </w:p>
        </w:tc>
        <w:tc>
          <w:tcPr>
            <w:tcW w:w="2500" w:type="pct"/>
          </w:tcPr>
          <w:p w14:paraId="5952628C" w14:textId="77777777" w:rsidR="001E29AB" w:rsidRPr="00F543C1" w:rsidRDefault="001E29AB" w:rsidP="00182528">
            <w:pPr>
              <w:pStyle w:val="TSBodyText"/>
            </w:pPr>
            <w:r w:rsidRPr="00F543C1">
              <w:t>Assistance takes everyone as they are and recognises their cultural and other needs and preferences.</w:t>
            </w:r>
          </w:p>
        </w:tc>
      </w:tr>
      <w:tr w:rsidR="001E29AB" w:rsidRPr="00F543C1" w14:paraId="70CAB6A4" w14:textId="77777777" w:rsidTr="00182528">
        <w:trPr>
          <w:cnfStyle w:val="000000010000" w:firstRow="0" w:lastRow="0" w:firstColumn="0" w:lastColumn="0" w:oddVBand="0" w:evenVBand="0" w:oddHBand="0" w:evenHBand="1" w:firstRowFirstColumn="0" w:firstRowLastColumn="0" w:lastRowFirstColumn="0" w:lastRowLastColumn="0"/>
        </w:trPr>
        <w:tc>
          <w:tcPr>
            <w:tcW w:w="2500" w:type="pct"/>
          </w:tcPr>
          <w:p w14:paraId="0F5CCA68" w14:textId="77777777" w:rsidR="001E29AB" w:rsidRPr="00F543C1" w:rsidRDefault="001E29AB" w:rsidP="00182528">
            <w:pPr>
              <w:pStyle w:val="TSBodyText"/>
            </w:pPr>
            <w:r w:rsidRPr="00F543C1">
              <w:t>Provides cash and services, with a focus on uniformity.</w:t>
            </w:r>
          </w:p>
        </w:tc>
        <w:tc>
          <w:tcPr>
            <w:tcW w:w="2500" w:type="pct"/>
          </w:tcPr>
          <w:p w14:paraId="75CDBCA3" w14:textId="77777777" w:rsidR="001E29AB" w:rsidRPr="00F543C1" w:rsidRDefault="001E29AB" w:rsidP="00182528">
            <w:pPr>
              <w:pStyle w:val="TSBodyText"/>
            </w:pPr>
            <w:proofErr w:type="gramStart"/>
            <w:r w:rsidRPr="00F543C1">
              <w:t>Provides assistance</w:t>
            </w:r>
            <w:proofErr w:type="gramEnd"/>
            <w:r w:rsidRPr="00F543C1">
              <w:t xml:space="preserve"> that addresses needs in ways that respond to the preferences of people who want to change their lives.</w:t>
            </w:r>
          </w:p>
        </w:tc>
      </w:tr>
      <w:tr w:rsidR="001E29AB" w:rsidRPr="00F543C1" w14:paraId="24B78ED7" w14:textId="77777777" w:rsidTr="00182528">
        <w:tc>
          <w:tcPr>
            <w:tcW w:w="2500" w:type="pct"/>
          </w:tcPr>
          <w:p w14:paraId="2BCDB47B" w14:textId="77777777" w:rsidR="001E29AB" w:rsidRPr="00F543C1" w:rsidRDefault="001E29AB" w:rsidP="00182528">
            <w:pPr>
              <w:pStyle w:val="TSBodyText"/>
            </w:pPr>
            <w:r w:rsidRPr="00F543C1">
              <w:t>Focuses on inputs (money spent) and outputs (clients served).</w:t>
            </w:r>
          </w:p>
        </w:tc>
        <w:tc>
          <w:tcPr>
            <w:tcW w:w="2500" w:type="pct"/>
          </w:tcPr>
          <w:p w14:paraId="0D9192C0" w14:textId="54D808E5" w:rsidR="001E29AB" w:rsidRPr="00F543C1" w:rsidRDefault="001E29AB" w:rsidP="00182528">
            <w:pPr>
              <w:pStyle w:val="TSBodyText"/>
            </w:pPr>
            <w:r w:rsidRPr="00F543C1">
              <w:t xml:space="preserve">Focuses on </w:t>
            </w:r>
            <w:r w:rsidR="00311CD2">
              <w:t>results</w:t>
            </w:r>
            <w:r w:rsidR="00311CD2" w:rsidRPr="00F543C1">
              <w:t xml:space="preserve"> </w:t>
            </w:r>
            <w:r w:rsidRPr="00F543C1">
              <w:t>(lives changed for the better).</w:t>
            </w:r>
          </w:p>
        </w:tc>
      </w:tr>
      <w:tr w:rsidR="001E29AB" w:rsidRPr="00F543C1" w14:paraId="60F86C11" w14:textId="77777777" w:rsidTr="00182528">
        <w:trPr>
          <w:cnfStyle w:val="000000010000" w:firstRow="0" w:lastRow="0" w:firstColumn="0" w:lastColumn="0" w:oddVBand="0" w:evenVBand="0" w:oddHBand="0" w:evenHBand="1" w:firstRowFirstColumn="0" w:firstRowLastColumn="0" w:lastRowFirstColumn="0" w:lastRowLastColumn="0"/>
        </w:trPr>
        <w:tc>
          <w:tcPr>
            <w:tcW w:w="2500" w:type="pct"/>
          </w:tcPr>
          <w:p w14:paraId="30EFA5B3" w14:textId="2ABC30AA" w:rsidR="001E29AB" w:rsidRPr="00F543C1" w:rsidRDefault="001E29AB" w:rsidP="00182528">
            <w:pPr>
              <w:pStyle w:val="TSBodyText"/>
            </w:pPr>
            <w:r w:rsidRPr="00F543C1">
              <w:t>Standardised, low marginal cost-to-serve processes</w:t>
            </w:r>
            <w:r w:rsidR="00581CD8" w:rsidRPr="00F543C1">
              <w:t>, focussing on a ‘set menu’ of services</w:t>
            </w:r>
            <w:r w:rsidR="004A13B3" w:rsidRPr="00F543C1">
              <w:t>, usually addressing superficial needs rather than complex and underlying causes.</w:t>
            </w:r>
          </w:p>
          <w:p w14:paraId="74B48476" w14:textId="77777777" w:rsidR="001E29AB" w:rsidRPr="00F543C1" w:rsidRDefault="001E29AB" w:rsidP="00182528">
            <w:pPr>
              <w:pStyle w:val="TSBodyText"/>
            </w:pPr>
          </w:p>
          <w:p w14:paraId="4C4AAB29" w14:textId="77777777" w:rsidR="001E29AB" w:rsidRPr="00F543C1" w:rsidRDefault="001E29AB" w:rsidP="00182528">
            <w:pPr>
              <w:pStyle w:val="TSBodyText"/>
            </w:pPr>
          </w:p>
        </w:tc>
        <w:tc>
          <w:tcPr>
            <w:tcW w:w="2500" w:type="pct"/>
          </w:tcPr>
          <w:p w14:paraId="78E124A5" w14:textId="77777777" w:rsidR="004A472A" w:rsidRPr="00F543C1" w:rsidRDefault="004A472A" w:rsidP="00182528">
            <w:pPr>
              <w:pStyle w:val="TSBodyText"/>
            </w:pPr>
            <w:r w:rsidRPr="00F543C1">
              <w:t xml:space="preserve">People experiencing persistent disadvantage at the centre of identifying, designing, </w:t>
            </w:r>
            <w:proofErr w:type="gramStart"/>
            <w:r w:rsidRPr="00F543C1">
              <w:t>delivering</w:t>
            </w:r>
            <w:proofErr w:type="gramEnd"/>
            <w:r w:rsidRPr="00F543C1">
              <w:t xml:space="preserve"> and assessing the effectiveness of assistance. </w:t>
            </w:r>
          </w:p>
          <w:p w14:paraId="67952D51" w14:textId="0F382B48" w:rsidR="001E29AB" w:rsidRPr="00F543C1" w:rsidRDefault="001E29AB" w:rsidP="00182528">
            <w:pPr>
              <w:pStyle w:val="TSBodyText"/>
            </w:pPr>
            <w:r w:rsidRPr="00F543C1">
              <w:t xml:space="preserve">Bespoke approaches that take time to build trust so that people feel safe identifying and expressing what they want to change in their lives. Whānau voice is always centred in design of assistance, </w:t>
            </w:r>
            <w:proofErr w:type="gramStart"/>
            <w:r w:rsidRPr="00F543C1">
              <w:t>delivery</w:t>
            </w:r>
            <w:proofErr w:type="gramEnd"/>
            <w:r w:rsidRPr="00F543C1">
              <w:t xml:space="preserve"> and </w:t>
            </w:r>
            <w:r w:rsidRPr="00F543C1">
              <w:lastRenderedPageBreak/>
              <w:t xml:space="preserve">assessment of effectiveness. The role of wider support networks is always a prominent consideration. No expectation that changing lives is easy, </w:t>
            </w:r>
            <w:proofErr w:type="gramStart"/>
            <w:r w:rsidRPr="00F543C1">
              <w:t>quick</w:t>
            </w:r>
            <w:proofErr w:type="gramEnd"/>
            <w:r w:rsidRPr="00F543C1">
              <w:t xml:space="preserve"> or cheap. It may take generations to fully address harm that has accumulated over generations. </w:t>
            </w:r>
          </w:p>
        </w:tc>
      </w:tr>
      <w:tr w:rsidR="001E29AB" w:rsidRPr="00F543C1" w14:paraId="483735EF" w14:textId="77777777" w:rsidTr="00182528">
        <w:tc>
          <w:tcPr>
            <w:tcW w:w="2500" w:type="pct"/>
          </w:tcPr>
          <w:p w14:paraId="3556BABE" w14:textId="77777777" w:rsidR="001E29AB" w:rsidRPr="00F543C1" w:rsidRDefault="001E29AB" w:rsidP="00182528">
            <w:pPr>
              <w:pStyle w:val="TSBodyText"/>
            </w:pPr>
            <w:r w:rsidRPr="00F543C1">
              <w:lastRenderedPageBreak/>
              <w:t>Gaps in assistance due to hidden needs, traumatic past experiences, lack of trust etc.</w:t>
            </w:r>
          </w:p>
        </w:tc>
        <w:tc>
          <w:tcPr>
            <w:tcW w:w="2500" w:type="pct"/>
          </w:tcPr>
          <w:p w14:paraId="5B46DA72" w14:textId="518D6209" w:rsidR="001E29AB" w:rsidRPr="00F543C1" w:rsidRDefault="001E29AB" w:rsidP="00182528">
            <w:pPr>
              <w:pStyle w:val="TSBodyText"/>
            </w:pPr>
            <w:r w:rsidRPr="00F543C1">
              <w:t xml:space="preserve">Assistance </w:t>
            </w:r>
            <w:r w:rsidR="004170A9" w:rsidRPr="00F543C1">
              <w:t xml:space="preserve">is </w:t>
            </w:r>
            <w:r w:rsidRPr="00F543C1">
              <w:t>iteratively being provided through ‘listen, test and learn’ approach that builds trust and supports people in addressing needs in the order of priority that matters to them.</w:t>
            </w:r>
          </w:p>
        </w:tc>
      </w:tr>
      <w:tr w:rsidR="001E29AB" w:rsidRPr="00F543C1" w14:paraId="541521D5" w14:textId="77777777" w:rsidTr="00182528">
        <w:trPr>
          <w:cnfStyle w:val="000000010000" w:firstRow="0" w:lastRow="0" w:firstColumn="0" w:lastColumn="0" w:oddVBand="0" w:evenVBand="0" w:oddHBand="0" w:evenHBand="1" w:firstRowFirstColumn="0" w:firstRowLastColumn="0" w:lastRowFirstColumn="0" w:lastRowLastColumn="0"/>
        </w:trPr>
        <w:tc>
          <w:tcPr>
            <w:tcW w:w="2500" w:type="pct"/>
          </w:tcPr>
          <w:p w14:paraId="091CE898" w14:textId="77777777" w:rsidR="001E29AB" w:rsidRPr="00726346" w:rsidRDefault="001E29AB" w:rsidP="00182528">
            <w:pPr>
              <w:pStyle w:val="TSBodyText"/>
            </w:pPr>
            <w:r w:rsidRPr="00F543C1">
              <w:t>Focus is on the issues that currently offend the sensibilities of the ‘median voter’.</w:t>
            </w:r>
            <w:r w:rsidRPr="009006D7">
              <w:rPr>
                <w:rStyle w:val="FootnoteReference"/>
              </w:rPr>
              <w:footnoteReference w:id="88"/>
            </w:r>
          </w:p>
        </w:tc>
        <w:tc>
          <w:tcPr>
            <w:tcW w:w="2500" w:type="pct"/>
          </w:tcPr>
          <w:p w14:paraId="3513CFBC" w14:textId="77777777" w:rsidR="001E29AB" w:rsidRPr="00F543C1" w:rsidRDefault="001E29AB" w:rsidP="00182528">
            <w:pPr>
              <w:pStyle w:val="TSBodyText"/>
            </w:pPr>
            <w:r w:rsidRPr="00F543C1">
              <w:t>Focus is on the issues (including systemic issues, prevention, and responses) that will lead to persistent disadvantage being reduced and addressed.</w:t>
            </w:r>
          </w:p>
        </w:tc>
      </w:tr>
      <w:tr w:rsidR="001E29AB" w:rsidRPr="00F543C1" w14:paraId="401F6584" w14:textId="77777777" w:rsidTr="00182528">
        <w:tc>
          <w:tcPr>
            <w:tcW w:w="2500" w:type="pct"/>
          </w:tcPr>
          <w:p w14:paraId="49BFCD9B" w14:textId="220D9670" w:rsidR="001E29AB" w:rsidRPr="00F543C1" w:rsidRDefault="00CA0E03" w:rsidP="00182528">
            <w:pPr>
              <w:pStyle w:val="TSBodyText"/>
            </w:pPr>
            <w:r w:rsidRPr="00F543C1">
              <w:t>Specialised</w:t>
            </w:r>
            <w:r w:rsidR="001E29AB" w:rsidRPr="00F543C1">
              <w:t xml:space="preserve"> agencies.</w:t>
            </w:r>
          </w:p>
        </w:tc>
        <w:tc>
          <w:tcPr>
            <w:tcW w:w="2500" w:type="pct"/>
          </w:tcPr>
          <w:p w14:paraId="5E3F9C5B" w14:textId="77777777" w:rsidR="001E29AB" w:rsidRPr="00F543C1" w:rsidRDefault="001E29AB" w:rsidP="00182528">
            <w:pPr>
              <w:pStyle w:val="TSBodyText"/>
            </w:pPr>
            <w:r w:rsidRPr="00F543C1">
              <w:t xml:space="preserve">No wrong doors: whānau can receive the assistance they require regardless of which agency or provider they contact first. </w:t>
            </w:r>
          </w:p>
          <w:p w14:paraId="495E4239" w14:textId="77777777" w:rsidR="001E29AB" w:rsidRPr="00F543C1" w:rsidRDefault="001E29AB" w:rsidP="00182528">
            <w:pPr>
              <w:pStyle w:val="TSBodyText"/>
            </w:pPr>
            <w:r w:rsidRPr="00F543C1">
              <w:t xml:space="preserve">Multiple organisations are available to help people change their lives, and there is enough capacity to enable people to choose the type of provider that they prefer (for example, iwi-based, faith-based, </w:t>
            </w:r>
            <w:proofErr w:type="gramStart"/>
            <w:r w:rsidRPr="00F543C1">
              <w:t>local</w:t>
            </w:r>
            <w:proofErr w:type="gramEnd"/>
            <w:r w:rsidRPr="00F543C1">
              <w:t xml:space="preserve"> or national providers).</w:t>
            </w:r>
          </w:p>
        </w:tc>
      </w:tr>
      <w:tr w:rsidR="001E29AB" w:rsidRPr="00F543C1" w14:paraId="50FAD248" w14:textId="77777777" w:rsidTr="00182528">
        <w:trPr>
          <w:cnfStyle w:val="000000010000" w:firstRow="0" w:lastRow="0" w:firstColumn="0" w:lastColumn="0" w:oddVBand="0" w:evenVBand="0" w:oddHBand="0" w:evenHBand="1" w:firstRowFirstColumn="0" w:firstRowLastColumn="0" w:lastRowFirstColumn="0" w:lastRowLastColumn="0"/>
        </w:trPr>
        <w:tc>
          <w:tcPr>
            <w:tcW w:w="2500" w:type="pct"/>
          </w:tcPr>
          <w:p w14:paraId="38E91050" w14:textId="36B8DCBA" w:rsidR="001E29AB" w:rsidRPr="00F543C1" w:rsidRDefault="001E29AB" w:rsidP="00182528">
            <w:pPr>
              <w:pStyle w:val="TSBodyText"/>
            </w:pPr>
            <w:r w:rsidRPr="00F543C1">
              <w:t>Crisis care</w:t>
            </w:r>
            <w:r w:rsidR="005254A5" w:rsidRPr="00F543C1">
              <w:t>: emergency</w:t>
            </w:r>
            <w:r w:rsidR="000C102D" w:rsidRPr="00F543C1">
              <w:t xml:space="preserve"> responses to immediate presenting symptoms </w:t>
            </w:r>
            <w:r w:rsidR="00171C45" w:rsidRPr="00F543C1">
              <w:t xml:space="preserve">is provided, with the providers having a focus on treating and </w:t>
            </w:r>
            <w:r w:rsidR="005038EC" w:rsidRPr="00F543C1">
              <w:t>stabilising the situation</w:t>
            </w:r>
            <w:r w:rsidR="00DA2E04" w:rsidRPr="00F543C1">
              <w:t xml:space="preserve">. </w:t>
            </w:r>
            <w:r w:rsidR="00171C45" w:rsidRPr="00F543C1">
              <w:t xml:space="preserve"> </w:t>
            </w:r>
            <w:r w:rsidR="005254A5" w:rsidRPr="00F543C1">
              <w:t xml:space="preserve"> </w:t>
            </w:r>
          </w:p>
        </w:tc>
        <w:tc>
          <w:tcPr>
            <w:tcW w:w="2500" w:type="pct"/>
          </w:tcPr>
          <w:p w14:paraId="60239AE9" w14:textId="0A0F323E" w:rsidR="001E29AB" w:rsidRPr="00F543C1" w:rsidRDefault="001E29AB" w:rsidP="00182528">
            <w:pPr>
              <w:pStyle w:val="TSBodyText"/>
            </w:pPr>
            <w:r w:rsidRPr="00F543C1">
              <w:t xml:space="preserve">Prevention and crisis response that is followed up </w:t>
            </w:r>
            <w:r w:rsidR="0033706F" w:rsidRPr="00F543C1">
              <w:t xml:space="preserve">by </w:t>
            </w:r>
            <w:r w:rsidRPr="00F543C1">
              <w:t xml:space="preserve">developing long-term solutions. </w:t>
            </w:r>
          </w:p>
        </w:tc>
      </w:tr>
      <w:tr w:rsidR="001E29AB" w:rsidRPr="00F543C1" w14:paraId="496FE740" w14:textId="77777777" w:rsidTr="00F20D3F">
        <w:trPr>
          <w:cnfStyle w:val="010000000000" w:firstRow="0" w:lastRow="1" w:firstColumn="0" w:lastColumn="0" w:oddVBand="0" w:evenVBand="0" w:oddHBand="0" w:evenHBand="0" w:firstRowFirstColumn="0" w:firstRowLastColumn="0" w:lastRowFirstColumn="0" w:lastRowLastColumn="0"/>
        </w:trPr>
        <w:tc>
          <w:tcPr>
            <w:tcW w:w="2500" w:type="pct"/>
          </w:tcPr>
          <w:p w14:paraId="4161F4BD" w14:textId="4F6B2317" w:rsidR="001E29AB" w:rsidRPr="00F543C1" w:rsidRDefault="001E29AB" w:rsidP="00182528">
            <w:pPr>
              <w:pStyle w:val="TSBodyText"/>
            </w:pPr>
            <w:r w:rsidRPr="00F543C1">
              <w:t xml:space="preserve">Strict, narrow eligibility criteria, grounded in assumptions of managing cost, determining the ‘deserving’ and maintaining </w:t>
            </w:r>
            <w:r w:rsidR="00E337FC" w:rsidRPr="00F543C1">
              <w:t>‘</w:t>
            </w:r>
            <w:proofErr w:type="gramStart"/>
            <w:r w:rsidRPr="00F543C1">
              <w:t>siloes</w:t>
            </w:r>
            <w:r w:rsidR="00E337FC" w:rsidRPr="00F543C1">
              <w:t>’</w:t>
            </w:r>
            <w:proofErr w:type="gramEnd"/>
            <w:r w:rsidRPr="00F543C1">
              <w:t>.</w:t>
            </w:r>
            <w:r w:rsidR="002050F2" w:rsidRPr="00F543C1">
              <w:t xml:space="preserve"> </w:t>
            </w:r>
          </w:p>
        </w:tc>
        <w:tc>
          <w:tcPr>
            <w:tcW w:w="2500" w:type="pct"/>
          </w:tcPr>
          <w:p w14:paraId="7AFB6258" w14:textId="77777777" w:rsidR="00577327" w:rsidRDefault="00364791" w:rsidP="00182528">
            <w:pPr>
              <w:pStyle w:val="TSBodyText"/>
            </w:pPr>
            <w:r w:rsidRPr="00F543C1">
              <w:t>Assessments of individual entitlements should be replaced by an assessment of the overall life that a person is living</w:t>
            </w:r>
            <w:r w:rsidR="008A3EA5" w:rsidRPr="00F543C1">
              <w:t>, leading to an agreed programme of assistance that can be achieved within available resources</w:t>
            </w:r>
            <w:r w:rsidR="004338CA" w:rsidRPr="00F543C1">
              <w:t xml:space="preserve">. </w:t>
            </w:r>
          </w:p>
          <w:p w14:paraId="64F8BDA1" w14:textId="370CE6C5" w:rsidR="005C5941" w:rsidRDefault="005C5941" w:rsidP="00182528">
            <w:pPr>
              <w:pStyle w:val="TSBodyText"/>
            </w:pPr>
            <w:r>
              <w:t xml:space="preserve">For people experiencing persistent </w:t>
            </w:r>
            <w:r w:rsidR="007822CE">
              <w:t>disadvantage, a single person needs to ha</w:t>
            </w:r>
            <w:r w:rsidR="00DA74F9">
              <w:t>v</w:t>
            </w:r>
            <w:r w:rsidR="007822CE">
              <w:t xml:space="preserve">e the authority to </w:t>
            </w:r>
            <w:r w:rsidR="00617023">
              <w:t xml:space="preserve">work with those people to </w:t>
            </w:r>
            <w:r w:rsidR="007822CE">
              <w:t>make</w:t>
            </w:r>
            <w:r w:rsidR="00EA7F31">
              <w:t xml:space="preserve"> a</w:t>
            </w:r>
            <w:r w:rsidR="007822CE">
              <w:t xml:space="preserve"> holistic asse</w:t>
            </w:r>
            <w:r w:rsidR="00DA74F9">
              <w:t>ss</w:t>
            </w:r>
            <w:r w:rsidR="007822CE">
              <w:t xml:space="preserve">ment of </w:t>
            </w:r>
            <w:r w:rsidR="00EA7F31">
              <w:t>their</w:t>
            </w:r>
            <w:r w:rsidR="00636A3E">
              <w:t xml:space="preserve"> </w:t>
            </w:r>
            <w:r w:rsidR="007822CE">
              <w:t>nee</w:t>
            </w:r>
            <w:r w:rsidR="00DA74F9">
              <w:t>ds</w:t>
            </w:r>
            <w:r w:rsidR="008A683D">
              <w:t xml:space="preserve">. This will require this person to have the legal authority to </w:t>
            </w:r>
            <w:r w:rsidR="006D63B4">
              <w:t>replace</w:t>
            </w:r>
            <w:r w:rsidR="00636A3E">
              <w:t xml:space="preserve"> </w:t>
            </w:r>
            <w:r w:rsidR="008A683D">
              <w:t xml:space="preserve">the sort of </w:t>
            </w:r>
            <w:r w:rsidR="006D63B4">
              <w:t>service-by-</w:t>
            </w:r>
            <w:r w:rsidR="002C6E65">
              <w:t>service assessments</w:t>
            </w:r>
            <w:r w:rsidR="008A683D">
              <w:t xml:space="preserve"> that are currently made</w:t>
            </w:r>
            <w:r w:rsidR="00C74908">
              <w:t xml:space="preserve"> </w:t>
            </w:r>
            <w:r w:rsidR="00617023">
              <w:t xml:space="preserve">about eligibility </w:t>
            </w:r>
            <w:r w:rsidR="00C74908">
              <w:t>with enduring</w:t>
            </w:r>
            <w:r w:rsidR="00F37284">
              <w:t xml:space="preserve"> access to a wider range of support and assistance, un</w:t>
            </w:r>
            <w:r w:rsidR="002E60D6">
              <w:t>til it is no longer needed</w:t>
            </w:r>
            <w:r w:rsidR="00290502">
              <w:t>.</w:t>
            </w:r>
          </w:p>
          <w:p w14:paraId="65F6D5AB" w14:textId="60E637E6" w:rsidR="001E29AB" w:rsidRPr="00F543C1" w:rsidRDefault="004338CA" w:rsidP="00182528">
            <w:pPr>
              <w:pStyle w:val="TSBodyText"/>
            </w:pPr>
            <w:r w:rsidRPr="00F543C1">
              <w:t xml:space="preserve">For example, whānau assessed as experiencing persistent disadvantage can become budget holders </w:t>
            </w:r>
            <w:r w:rsidR="00883A6C" w:rsidRPr="00F543C1">
              <w:t>and decide themselves what package and plan of assistance they need within the budget.</w:t>
            </w:r>
            <w:r w:rsidR="00102B99" w:rsidRPr="00F543C1">
              <w:t xml:space="preserve"> Part of that plan should include regular assessments of progress, as opposed to requiring </w:t>
            </w:r>
            <w:r w:rsidR="00BD2B52" w:rsidRPr="00F543C1">
              <w:t>frequent re-qualification.</w:t>
            </w:r>
          </w:p>
        </w:tc>
      </w:tr>
    </w:tbl>
    <w:p w14:paraId="65074BD4" w14:textId="169AB753" w:rsidR="001E29AB" w:rsidRDefault="001E29AB" w:rsidP="001E29AB">
      <w:pPr>
        <w:pStyle w:val="USSource"/>
      </w:pPr>
      <w:r w:rsidRPr="00F543C1">
        <w:t>Source: The authors</w:t>
      </w:r>
    </w:p>
    <w:p w14:paraId="6F7321F8" w14:textId="71F2C3D2" w:rsidR="00B0641E" w:rsidRDefault="00B0641E">
      <w:pPr>
        <w:spacing w:after="160" w:line="259" w:lineRule="auto"/>
        <w:rPr>
          <w:sz w:val="18"/>
        </w:rPr>
      </w:pPr>
      <w:r>
        <w:br w:type="page"/>
      </w:r>
    </w:p>
    <w:p w14:paraId="648AEC0D" w14:textId="77F484E7" w:rsidR="004A67D4" w:rsidRPr="00F543C1" w:rsidRDefault="00001650" w:rsidP="00D81906">
      <w:pPr>
        <w:pStyle w:val="Heading1"/>
      </w:pPr>
      <w:bookmarkStart w:id="105" w:name="_Toc126064030"/>
      <w:bookmarkStart w:id="106" w:name="_Toc126064098"/>
      <w:bookmarkStart w:id="107" w:name="_Toc126092103"/>
      <w:bookmarkStart w:id="108" w:name="_Toc126841207"/>
      <w:bookmarkEnd w:id="105"/>
      <w:bookmarkEnd w:id="106"/>
      <w:r w:rsidRPr="00F543C1">
        <w:lastRenderedPageBreak/>
        <w:t>Accountability</w:t>
      </w:r>
      <w:bookmarkEnd w:id="107"/>
      <w:bookmarkEnd w:id="108"/>
    </w:p>
    <w:p w14:paraId="5D5E092C" w14:textId="517D6D1E" w:rsidR="00B11BCE" w:rsidRPr="00F543C1" w:rsidRDefault="00B11BCE" w:rsidP="00B11BCE">
      <w:pPr>
        <w:pStyle w:val="USBodyText"/>
      </w:pPr>
      <w:r w:rsidRPr="00F543C1">
        <w:t xml:space="preserve">We now turn to how </w:t>
      </w:r>
      <w:r w:rsidR="00067E63" w:rsidRPr="00F543C1">
        <w:t xml:space="preserve">a strengthened </w:t>
      </w:r>
      <w:r w:rsidRPr="00F543C1">
        <w:t>accountability system could be harnessed to bring about this change of approach.</w:t>
      </w:r>
    </w:p>
    <w:p w14:paraId="3A7ED950" w14:textId="4AA5D99A" w:rsidR="00475575" w:rsidRPr="00F543C1" w:rsidRDefault="00BF1FFC" w:rsidP="00B11BCE">
      <w:pPr>
        <w:pStyle w:val="USBodyText"/>
      </w:pPr>
      <w:r w:rsidRPr="00F543C1">
        <w:t xml:space="preserve">We </w:t>
      </w:r>
      <w:r w:rsidR="003F6369" w:rsidRPr="00F543C1">
        <w:t xml:space="preserve">begin by </w:t>
      </w:r>
      <w:r w:rsidRPr="00F543C1">
        <w:t>review</w:t>
      </w:r>
      <w:r w:rsidR="007B1225" w:rsidRPr="00F543C1">
        <w:t>ing</w:t>
      </w:r>
      <w:r w:rsidRPr="00F543C1">
        <w:t xml:space="preserve"> the literature o</w:t>
      </w:r>
      <w:r w:rsidR="00E55D51" w:rsidRPr="00F543C1">
        <w:t>n</w:t>
      </w:r>
      <w:r w:rsidRPr="00F543C1">
        <w:t xml:space="preserve"> accountability at a conceptual </w:t>
      </w:r>
      <w:r w:rsidR="00E9059D" w:rsidRPr="00F543C1">
        <w:t>level and</w:t>
      </w:r>
      <w:r w:rsidR="00001BC9" w:rsidRPr="00F543C1">
        <w:t xml:space="preserve"> </w:t>
      </w:r>
      <w:r w:rsidR="00475575" w:rsidRPr="00F543C1">
        <w:t>identify</w:t>
      </w:r>
      <w:r w:rsidR="00E55D51" w:rsidRPr="00F543C1">
        <w:t>ing</w:t>
      </w:r>
      <w:r w:rsidR="00475575" w:rsidRPr="00F543C1">
        <w:t xml:space="preserve"> a set of first principles </w:t>
      </w:r>
      <w:r w:rsidR="00001BC9" w:rsidRPr="00F543C1">
        <w:t xml:space="preserve">that we </w:t>
      </w:r>
      <w:r w:rsidR="00475575" w:rsidRPr="00F543C1">
        <w:t xml:space="preserve">bring to the analysis. </w:t>
      </w:r>
    </w:p>
    <w:p w14:paraId="28B82595" w14:textId="2895F34D" w:rsidR="00BC1A99" w:rsidRPr="00F543C1" w:rsidRDefault="00475575" w:rsidP="00B11BCE">
      <w:pPr>
        <w:pStyle w:val="USBodyText"/>
      </w:pPr>
      <w:r w:rsidRPr="00F543C1">
        <w:t xml:space="preserve">We </w:t>
      </w:r>
      <w:r w:rsidR="007B1225" w:rsidRPr="00F543C1">
        <w:t xml:space="preserve">then </w:t>
      </w:r>
      <w:r w:rsidR="00BF1FFC" w:rsidRPr="00F543C1">
        <w:t>discuss the various approach</w:t>
      </w:r>
      <w:r w:rsidR="001B01D5" w:rsidRPr="00F543C1">
        <w:t>es</w:t>
      </w:r>
      <w:r w:rsidR="00BF1FFC" w:rsidRPr="00F543C1">
        <w:t xml:space="preserve"> used around the world to put accountability into ef</w:t>
      </w:r>
      <w:r w:rsidR="0005355B" w:rsidRPr="00F543C1">
        <w:t xml:space="preserve">fect, </w:t>
      </w:r>
      <w:r w:rsidR="00B945C4" w:rsidRPr="00F543C1">
        <w:t>focu</w:t>
      </w:r>
      <w:r w:rsidR="003A263C" w:rsidRPr="00F543C1">
        <w:t>sing</w:t>
      </w:r>
      <w:r w:rsidR="0005355B" w:rsidRPr="00F543C1">
        <w:t xml:space="preserve"> o</w:t>
      </w:r>
      <w:r w:rsidR="007B1225" w:rsidRPr="00F543C1">
        <w:t>n</w:t>
      </w:r>
      <w:r w:rsidR="0005355B" w:rsidRPr="00F543C1">
        <w:t xml:space="preserve"> what will be required to better address persistent disadvantage</w:t>
      </w:r>
      <w:r w:rsidR="00DF064B">
        <w:t xml:space="preserve">. We pay particular attention to </w:t>
      </w:r>
      <w:r w:rsidR="00DD25A4">
        <w:t xml:space="preserve">accountability </w:t>
      </w:r>
      <w:proofErr w:type="gramStart"/>
      <w:r w:rsidR="00DD25A4">
        <w:t xml:space="preserve">in </w:t>
      </w:r>
      <w:r w:rsidR="00DA578C" w:rsidRPr="00F543C1">
        <w:t xml:space="preserve"> </w:t>
      </w:r>
      <w:r w:rsidR="00B54799" w:rsidRPr="00F543C1">
        <w:t>Aotearoa</w:t>
      </w:r>
      <w:proofErr w:type="gramEnd"/>
      <w:r w:rsidR="00B54799" w:rsidRPr="00F543C1">
        <w:t xml:space="preserve"> and</w:t>
      </w:r>
      <w:r w:rsidR="00DA578C" w:rsidRPr="00F543C1">
        <w:t xml:space="preserve"> </w:t>
      </w:r>
      <w:r w:rsidR="00DD25A4">
        <w:t xml:space="preserve">in </w:t>
      </w:r>
      <w:proofErr w:type="spellStart"/>
      <w:r w:rsidR="00215A61" w:rsidRPr="00F543C1">
        <w:t>Te</w:t>
      </w:r>
      <w:proofErr w:type="spellEnd"/>
      <w:r w:rsidR="00215A61" w:rsidRPr="00F543C1">
        <w:t xml:space="preserve"> Ao </w:t>
      </w:r>
      <w:r w:rsidR="00BC1A99" w:rsidRPr="00F543C1">
        <w:t>Māori.</w:t>
      </w:r>
    </w:p>
    <w:p w14:paraId="05876D1E" w14:textId="66E12E94" w:rsidR="00BF1FFC" w:rsidRPr="00F543C1" w:rsidRDefault="00BC1A99" w:rsidP="00B11BCE">
      <w:pPr>
        <w:pStyle w:val="USBodyText"/>
      </w:pPr>
      <w:r w:rsidRPr="00F543C1">
        <w:t xml:space="preserve">Having </w:t>
      </w:r>
      <w:r w:rsidR="00712EFA" w:rsidRPr="00F543C1">
        <w:t xml:space="preserve">considered </w:t>
      </w:r>
      <w:r w:rsidRPr="00F543C1">
        <w:t xml:space="preserve">the theory and practice of accountability, </w:t>
      </w:r>
      <w:r w:rsidR="00215A61" w:rsidRPr="00F543C1">
        <w:t>we</w:t>
      </w:r>
      <w:r w:rsidR="00001BC9" w:rsidRPr="00F543C1">
        <w:t xml:space="preserve"> </w:t>
      </w:r>
      <w:r w:rsidR="00302E66" w:rsidRPr="00F543C1">
        <w:t xml:space="preserve">assess </w:t>
      </w:r>
      <w:r w:rsidR="004653E6" w:rsidRPr="00F543C1">
        <w:t xml:space="preserve">the current approach to accountability in New </w:t>
      </w:r>
      <w:r w:rsidR="00AA48EC" w:rsidRPr="00F543C1">
        <w:t>Zealand</w:t>
      </w:r>
      <w:r w:rsidR="00001BC9" w:rsidRPr="00F543C1">
        <w:t xml:space="preserve"> </w:t>
      </w:r>
      <w:r w:rsidR="00302E66" w:rsidRPr="00F543C1">
        <w:t>based on</w:t>
      </w:r>
      <w:r w:rsidR="00001BC9" w:rsidRPr="00F543C1">
        <w:t xml:space="preserve"> those first principles</w:t>
      </w:r>
      <w:r w:rsidR="00AA48EC" w:rsidRPr="00F543C1">
        <w:t>.</w:t>
      </w:r>
      <w:r w:rsidR="002050F2" w:rsidRPr="00F543C1">
        <w:t xml:space="preserve"> </w:t>
      </w:r>
    </w:p>
    <w:p w14:paraId="77D44B68" w14:textId="6E6BAA7F" w:rsidR="00001650" w:rsidRPr="00F543C1" w:rsidRDefault="00001650" w:rsidP="004F540B">
      <w:pPr>
        <w:pStyle w:val="Heading2"/>
      </w:pPr>
      <w:bookmarkStart w:id="109" w:name="_Ref124867712"/>
      <w:bookmarkStart w:id="110" w:name="_Toc126092104"/>
      <w:bookmarkStart w:id="111" w:name="_Toc126841208"/>
      <w:r w:rsidRPr="00F543C1">
        <w:t>What is accountability</w:t>
      </w:r>
      <w:bookmarkEnd w:id="109"/>
      <w:r w:rsidR="00CD0E9D" w:rsidRPr="00F543C1">
        <w:t>?</w:t>
      </w:r>
      <w:bookmarkEnd w:id="110"/>
      <w:bookmarkEnd w:id="111"/>
    </w:p>
    <w:p w14:paraId="408E95F9" w14:textId="5A97C622" w:rsidR="004A67D4" w:rsidRPr="00F543C1" w:rsidRDefault="004A67D4" w:rsidP="004A67D4">
      <w:pPr>
        <w:ind w:left="851"/>
      </w:pPr>
      <w:r w:rsidRPr="00F543C1">
        <w:t xml:space="preserve">The term ‘accountability’ means different things to different people and often “resembles a dustbin filled with good intentions, loosely defined concepts and vague images of good governance” </w:t>
      </w:r>
      <w:r w:rsidRPr="00F543C1">
        <w:fldChar w:fldCharType="begin"/>
      </w:r>
      <w:r w:rsidR="009B0EC4">
        <w:instrText xml:space="preserve"> ADDIN ZOTERO_ITEM CSL_CITATION {"citationID":"lmWCpUbj","properties":{"formattedCitation":"(Bovens 2007a, 449)","plainCitation":"(Bovens 2007a, 449)","noteIndex":0},"citationItems":[{"id":14183,"uris":["http://zotero.org/groups/4623831/items/VDFHFEGU"],"itemData":{"id":14183,"type":"article-journal","abstract":"Abstract: It has been argued that the EU suffers from serious accountability deficits. But how can we establish the existence of accountability deficits? This article tries to get to grips with the appealing but elusive concept of accountability by asking three types of questions. First a conceptual one: what exactly is meant by accountability? In this article the concept of accountability is used in a rather narrow sense: a relationship between an actor and a forum, in which the actor has an obligation to explain and to justify his or her conduct, the forum can pose questions and pass judgement, and the actor may face consequences. The second question is analytical: what types of accountability are involved? A series of dimensions of accountability are discerned that can be used to describe the various accountability relations and arrangements that can be found in the different domains of European governance. The third question is evaluative: how should we assess these accountability arrangements? The article provides three evaluative perspectives: a democratic, a constitutional and a learning perspective. Each of these perspectives may produce different types of accountability deficits.","container-title":"European Law Journal","DOI":"10.1111/j.1468-0386.2007.00378.x","ISSN":"1468-0386","issue":"4","language":"en","note":"_eprint: https://onlinelibrary.wiley.com/doi/pdf/10.1111/j.1468-0386.2007.00378.x","page":"447-468","source":"Wiley Online Library","title":"Analysing and Assessing Accountability: A Conceptual Framework","title-short":"Analysing and Assessing Accountability","volume":"13","author":[{"family":"Bovens","given":"Mark"}],"issued":{"date-parts":[["2007"]]}},"locator":"449","label":"page"}],"schema":"https://github.com/citation-style-language/schema/raw/master/csl-citation.json"} </w:instrText>
      </w:r>
      <w:r w:rsidRPr="00F543C1">
        <w:fldChar w:fldCharType="separate"/>
      </w:r>
      <w:r w:rsidR="00F11F37" w:rsidRPr="00F543C1">
        <w:rPr>
          <w:rFonts w:cs="Calibri"/>
        </w:rPr>
        <w:t>(Bovens 2007a, 449)</w:t>
      </w:r>
      <w:r w:rsidRPr="00F543C1">
        <w:fldChar w:fldCharType="end"/>
      </w:r>
      <w:r w:rsidRPr="00726346">
        <w:t xml:space="preserve">. </w:t>
      </w:r>
      <w:r w:rsidR="00EE58A1" w:rsidRPr="00F543C1">
        <w:t xml:space="preserve">The meaning of accountability is also ever-changing </w:t>
      </w:r>
      <w:r w:rsidR="00EE58A1" w:rsidRPr="00F543C1">
        <w:fldChar w:fldCharType="begin"/>
      </w:r>
      <w:r w:rsidR="009B0EC4">
        <w:instrText xml:space="preserve"> ADDIN ZOTERO_ITEM CSL_CITATION {"citationID":"BjcAilob","properties":{"formattedCitation":"(Mulgan 2000)","plainCitation":"(Mulgan 2000)","noteIndex":0},"citationItems":[{"id":16242,"uris":["http://zotero.org/groups/4801058/items/6GRYSNYS"],"itemData":{"id":16242,"type":"article-journal","container-title":"Public Administration","DOI":"10.1111/1467-9299.00218","ISSN":"0033-3298, 1467-9299","issue":"3","journalAbbreviation":"Public Administration","language":"en","note":"number: 3","page":"555-573","source":"DOI.org (Crossref)","title":"'Accountability': An Ever-Expanding Concept?","title-short":"'Accountability'","volume":"78","author":[{"family":"Mulgan","given":"Richard"}],"issued":{"date-parts":[["2000",1]]}}}],"schema":"https://github.com/citation-style-language/schema/raw/master/csl-citation.json"} </w:instrText>
      </w:r>
      <w:r w:rsidR="00EE58A1" w:rsidRPr="00F543C1">
        <w:fldChar w:fldCharType="separate"/>
      </w:r>
      <w:r w:rsidR="00EE58A1" w:rsidRPr="00F543C1">
        <w:rPr>
          <w:rFonts w:cs="Calibri"/>
        </w:rPr>
        <w:t>(Mulgan 2000)</w:t>
      </w:r>
      <w:r w:rsidR="00EE58A1" w:rsidRPr="00F543C1">
        <w:fldChar w:fldCharType="end"/>
      </w:r>
      <w:r w:rsidR="00EE58A1" w:rsidRPr="00726346">
        <w:t>. And a</w:t>
      </w:r>
      <w:r w:rsidRPr="00F543C1">
        <w:t xml:space="preserve">s Marc Pilon and François </w:t>
      </w:r>
      <w:proofErr w:type="spellStart"/>
      <w:r w:rsidRPr="00F543C1">
        <w:t>Brouard</w:t>
      </w:r>
      <w:proofErr w:type="spellEnd"/>
      <w:r w:rsidRPr="00F543C1">
        <w:t xml:space="preserve"> remind us:</w:t>
      </w:r>
    </w:p>
    <w:p w14:paraId="391C56D6" w14:textId="33B68E2F" w:rsidR="004A67D4" w:rsidRPr="00F543C1" w:rsidRDefault="004A67D4" w:rsidP="004A67D4">
      <w:pPr>
        <w:spacing w:before="120"/>
        <w:ind w:left="1276" w:right="425"/>
        <w:rPr>
          <w:color w:val="30353F"/>
        </w:rPr>
      </w:pPr>
      <w:r w:rsidRPr="00F543C1">
        <w:rPr>
          <w:i/>
          <w:color w:val="30353F"/>
        </w:rPr>
        <w:t>Accountability is an abstract, elusive, and complex concept. It is context dependent, subjectively constructed, and with little consensus on its definition</w:t>
      </w:r>
      <w:r w:rsidR="00E85599">
        <w:rPr>
          <w:i/>
          <w:color w:val="30353F"/>
        </w:rPr>
        <w:t>.</w:t>
      </w:r>
      <w:r w:rsidRPr="00F543C1">
        <w:rPr>
          <w:i/>
          <w:color w:val="30353F"/>
        </w:rPr>
        <w:t xml:space="preserve"> </w:t>
      </w:r>
      <w:r w:rsidRPr="00F543C1">
        <w:rPr>
          <w:color w:val="30353F"/>
        </w:rPr>
        <w:fldChar w:fldCharType="begin"/>
      </w:r>
      <w:r w:rsidR="009B0EC4">
        <w:rPr>
          <w:color w:val="30353F"/>
        </w:rPr>
        <w:instrText xml:space="preserve"> ADDIN ZOTERO_ITEM CSL_CITATION {"citationID":"LM6bKc3y","properties":{"formattedCitation":"(Pilon and Brouard 2022, 3, internal citations omitted)","plainCitation":"(Pilon and Brouard 2022, 3, internal citations omitted)","noteIndex":0},"citationItems":[{"id":15892,"uris":["http://zotero.org/groups/4623831/items/PDBQ5BFB"],"itemData":{"id":15892,"type":"article-journal","abstract":"This article proposes a conceptual framework that integrates the salient dimensions of accountability. It is based on an extensive review of the literature and draws on systems theory to develop an accountability system that can be applied to a wide range of organizations and contexts. It shows, through the accountability system presented, that organizations manage their accountability through stakeholder relationships, governance mechanisms, and information strategies, which are based on underlying values and purposes. This conceptual framework contributes to accountability theory by bridging different yet related concepts and clarifying the terminology used in the literature. Practically, conceptualizing accountability as an interconnected system can help organizations operationalize their accountability management practices. A hospital case study is used to demonstrate the applicability of the accountability system.","container-title":"Financial Accountability &amp; Management","DOI":"10.1111/faam.12323","ISSN":"1468-0408","issue":"n/a","language":"en","note":"_eprint: https://onlinelibrary.wiley.com/doi/pdf/10.1111/faam.12323","source":"Wiley Online Library","title":"Conceptualizing accountability as an integrated system of relationships, governance, and information","URL":"https://onlinelibrary.wiley.com/doi/abs/10.1111/faam.12323","volume":"n/a","author":[{"family":"Pilon","given":"Marc"},{"family":"Brouard","given":"François"}],"accessed":{"date-parts":[["2022",9,15]]},"issued":{"date-parts":[["2022"]]}},"locator":"3","label":"page","suffix":", internal citations omitted"}],"schema":"https://github.com/citation-style-language/schema/raw/master/csl-citation.json"} </w:instrText>
      </w:r>
      <w:r w:rsidRPr="00F543C1">
        <w:rPr>
          <w:color w:val="30353F"/>
        </w:rPr>
        <w:fldChar w:fldCharType="separate"/>
      </w:r>
      <w:r w:rsidRPr="00F543C1">
        <w:rPr>
          <w:color w:val="30353F"/>
        </w:rPr>
        <w:t>(Pilon and Brouard 2022, 3, internal citations omitted)</w:t>
      </w:r>
      <w:r w:rsidRPr="00F543C1">
        <w:rPr>
          <w:color w:val="30353F"/>
        </w:rPr>
        <w:fldChar w:fldCharType="end"/>
      </w:r>
    </w:p>
    <w:p w14:paraId="0F3C205E" w14:textId="18E12D77" w:rsidR="004A67D4" w:rsidRPr="00F543C1" w:rsidRDefault="00763AA1" w:rsidP="004A67D4">
      <w:pPr>
        <w:ind w:left="851"/>
      </w:pPr>
      <w:r w:rsidRPr="00F543C1">
        <w:t>A</w:t>
      </w:r>
      <w:r w:rsidR="00C93547" w:rsidRPr="00F543C1">
        <w:t>ll this means that a</w:t>
      </w:r>
      <w:r w:rsidR="004A67D4" w:rsidRPr="00F543C1">
        <w:t>ny study of accountability needs to proceed based on a clear understanding of exactly what the terms mean in the context being addressed.</w:t>
      </w:r>
      <w:r w:rsidR="00F02472" w:rsidRPr="00F543C1">
        <w:t xml:space="preserve"> </w:t>
      </w:r>
      <w:r w:rsidR="005064F9" w:rsidRPr="00F543C1">
        <w:t>The result</w:t>
      </w:r>
      <w:r w:rsidR="00791941" w:rsidRPr="00F543C1">
        <w:t xml:space="preserve"> of applying </w:t>
      </w:r>
      <w:r w:rsidR="001A37BE" w:rsidRPr="00F543C1">
        <w:t>the same high-level</w:t>
      </w:r>
      <w:r w:rsidR="00B97BC6" w:rsidRPr="00F543C1">
        <w:t xml:space="preserve"> </w:t>
      </w:r>
      <w:r w:rsidR="00F5646D" w:rsidRPr="00F543C1">
        <w:t xml:space="preserve">public </w:t>
      </w:r>
      <w:r w:rsidR="0030499B" w:rsidRPr="00F543C1">
        <w:t xml:space="preserve">accountability system </w:t>
      </w:r>
      <w:r w:rsidR="00525CA7" w:rsidRPr="00F543C1">
        <w:t xml:space="preserve">nationally </w:t>
      </w:r>
      <w:r w:rsidR="0030499B" w:rsidRPr="00F543C1">
        <w:t xml:space="preserve">will vary depending on </w:t>
      </w:r>
      <w:r w:rsidR="00AC592D" w:rsidRPr="00F543C1">
        <w:t xml:space="preserve">the </w:t>
      </w:r>
      <w:r w:rsidR="00791941" w:rsidRPr="00F543C1">
        <w:t xml:space="preserve">subject matter at hand. </w:t>
      </w:r>
    </w:p>
    <w:p w14:paraId="30CA83D4" w14:textId="1599461D" w:rsidR="00AB472A" w:rsidRPr="00F543C1" w:rsidRDefault="00270A62" w:rsidP="00AB472A">
      <w:pPr>
        <w:ind w:left="851"/>
      </w:pPr>
      <w:r w:rsidRPr="00F543C1">
        <w:t xml:space="preserve">Although there are some common features, accountability can </w:t>
      </w:r>
      <w:r w:rsidR="00C56351" w:rsidRPr="00F543C1">
        <w:t>operate</w:t>
      </w:r>
      <w:r w:rsidRPr="00F543C1">
        <w:t xml:space="preserve"> differently in different cultural contexts. </w:t>
      </w:r>
      <w:r w:rsidR="00AB472A" w:rsidRPr="00F543C1">
        <w:t>While instructive, the overseas literature is</w:t>
      </w:r>
      <w:r w:rsidR="00230A0C" w:rsidRPr="00F543C1">
        <w:t>, unsurprisingly,</w:t>
      </w:r>
      <w:r w:rsidR="00AB472A" w:rsidRPr="00F543C1">
        <w:t xml:space="preserve"> generally silent on the fundamental role of </w:t>
      </w:r>
      <w:proofErr w:type="spellStart"/>
      <w:r w:rsidR="00AB472A" w:rsidRPr="00F543C1">
        <w:t>Te</w:t>
      </w:r>
      <w:proofErr w:type="spellEnd"/>
      <w:r w:rsidR="00AB472A" w:rsidRPr="00F543C1">
        <w:t xml:space="preserve"> </w:t>
      </w:r>
      <w:proofErr w:type="spellStart"/>
      <w:r w:rsidR="00AB472A" w:rsidRPr="00F543C1">
        <w:t>Tiriti</w:t>
      </w:r>
      <w:proofErr w:type="spellEnd"/>
      <w:r w:rsidR="00AB472A" w:rsidRPr="00F543C1">
        <w:t xml:space="preserve"> o Waitangi to accountability in Aotearoa.</w:t>
      </w:r>
      <w:r w:rsidR="00CA6EDB" w:rsidRPr="009006D7">
        <w:rPr>
          <w:rStyle w:val="FootnoteReference"/>
        </w:rPr>
        <w:footnoteReference w:id="89"/>
      </w:r>
      <w:r w:rsidR="00AB472A" w:rsidRPr="00726346">
        <w:t xml:space="preserve"> </w:t>
      </w:r>
      <w:r w:rsidR="00573511" w:rsidRPr="00F543C1">
        <w:t>T</w:t>
      </w:r>
      <w:r w:rsidR="00AB472A" w:rsidRPr="00F543C1">
        <w:t>he role of the values of the diverse range of people that make up Aotearoa today is often also missing. There is some literature from New Zealand authors that is filling this gap, but this is an area where further work is required.</w:t>
      </w:r>
      <w:r w:rsidR="00AB472A" w:rsidRPr="009006D7">
        <w:rPr>
          <w:rStyle w:val="FootnoteReference"/>
        </w:rPr>
        <w:footnoteReference w:id="90"/>
      </w:r>
      <w:r w:rsidR="00AB472A" w:rsidRPr="00726346">
        <w:t xml:space="preserve"> </w:t>
      </w:r>
    </w:p>
    <w:p w14:paraId="5398C36D" w14:textId="03FB1254" w:rsidR="0064131F" w:rsidRPr="00F543C1" w:rsidRDefault="0064131F" w:rsidP="0064131F">
      <w:pPr>
        <w:pStyle w:val="Heading2"/>
      </w:pPr>
      <w:bookmarkStart w:id="112" w:name="_Ref124867723"/>
      <w:bookmarkStart w:id="113" w:name="_Ref124867735"/>
      <w:bookmarkStart w:id="114" w:name="_Ref124867748"/>
      <w:bookmarkStart w:id="115" w:name="_Toc126092105"/>
      <w:bookmarkStart w:id="116" w:name="_Toc126841209"/>
      <w:r w:rsidRPr="00F543C1">
        <w:lastRenderedPageBreak/>
        <w:t xml:space="preserve">Accountability is about conditioning </w:t>
      </w:r>
      <w:proofErr w:type="gramStart"/>
      <w:r w:rsidRPr="00F543C1">
        <w:t>power</w:t>
      </w:r>
      <w:bookmarkEnd w:id="112"/>
      <w:bookmarkEnd w:id="113"/>
      <w:bookmarkEnd w:id="114"/>
      <w:bookmarkEnd w:id="115"/>
      <w:bookmarkEnd w:id="116"/>
      <w:proofErr w:type="gramEnd"/>
    </w:p>
    <w:p w14:paraId="268E1713" w14:textId="18CCF4F7" w:rsidR="0064131F" w:rsidRPr="00F543C1" w:rsidRDefault="0064131F" w:rsidP="0064131F">
      <w:pPr>
        <w:ind w:left="851"/>
      </w:pPr>
      <w:r w:rsidRPr="00F543C1">
        <w:t xml:space="preserve">Addressing persistent disadvantage requires governments to exercise power. In Aotearoa New Zealand, this includes the power to honour </w:t>
      </w:r>
      <w:proofErr w:type="spellStart"/>
      <w:r w:rsidRPr="00F543C1">
        <w:t>Te</w:t>
      </w:r>
      <w:proofErr w:type="spellEnd"/>
      <w:r w:rsidRPr="00F543C1">
        <w:t xml:space="preserve"> </w:t>
      </w:r>
      <w:proofErr w:type="spellStart"/>
      <w:r w:rsidRPr="00F543C1">
        <w:t>Tiriti</w:t>
      </w:r>
      <w:proofErr w:type="spellEnd"/>
      <w:r w:rsidRPr="00F543C1">
        <w:t xml:space="preserve"> o Waitangi along with powers common to other jurisdictions</w:t>
      </w:r>
      <w:r w:rsidR="00B529B7" w:rsidRPr="00F543C1">
        <w:t>,</w:t>
      </w:r>
      <w:r w:rsidRPr="00F543C1">
        <w:t xml:space="preserve"> such as the power to raise </w:t>
      </w:r>
      <w:r w:rsidR="00284411" w:rsidRPr="00F543C1">
        <w:t xml:space="preserve">and spend </w:t>
      </w:r>
      <w:r w:rsidRPr="00F543C1">
        <w:t xml:space="preserve">revenue </w:t>
      </w:r>
      <w:r w:rsidR="007473A0" w:rsidRPr="00F543C1">
        <w:t>and</w:t>
      </w:r>
      <w:r w:rsidRPr="00F543C1">
        <w:t xml:space="preserve"> pass laws</w:t>
      </w:r>
      <w:r w:rsidR="003F335D" w:rsidRPr="00F543C1">
        <w:t>.</w:t>
      </w:r>
      <w:r w:rsidRPr="00F543C1">
        <w:t xml:space="preserve"> </w:t>
      </w:r>
    </w:p>
    <w:p w14:paraId="3417EBA6" w14:textId="77777777" w:rsidR="0064131F" w:rsidRPr="00A944D8" w:rsidRDefault="0064131F" w:rsidP="0064131F">
      <w:pPr>
        <w:pStyle w:val="USBodyText"/>
        <w:rPr>
          <w:rStyle w:val="cf01"/>
          <w:rFonts w:ascii="Calibri" w:hAnsi="Calibri" w:cstheme="minorBidi"/>
          <w:sz w:val="22"/>
          <w:szCs w:val="22"/>
        </w:rPr>
      </w:pPr>
      <w:r w:rsidRPr="00F543C1">
        <w:rPr>
          <w:rStyle w:val="cf01"/>
          <w:rFonts w:ascii="Calibri" w:hAnsi="Calibri" w:cstheme="minorBidi"/>
          <w:sz w:val="22"/>
          <w:szCs w:val="22"/>
        </w:rPr>
        <w:t xml:space="preserve">Following a </w:t>
      </w:r>
      <w:r w:rsidRPr="00A944D8">
        <w:rPr>
          <w:rStyle w:val="cf01"/>
          <w:rFonts w:ascii="Calibri" w:hAnsi="Calibri" w:cstheme="minorBidi"/>
          <w:sz w:val="22"/>
          <w:szCs w:val="22"/>
        </w:rPr>
        <w:t>review of the literature,</w:t>
      </w:r>
      <w:r w:rsidRPr="00A944D8">
        <w:t xml:space="preserve"> Pamela </w:t>
      </w:r>
      <w:proofErr w:type="spellStart"/>
      <w:r w:rsidRPr="00A944D8">
        <w:t>Pansardi</w:t>
      </w:r>
      <w:proofErr w:type="spellEnd"/>
      <w:r w:rsidRPr="00A944D8">
        <w:t xml:space="preserve"> and</w:t>
      </w:r>
      <w:r w:rsidRPr="00A944D8">
        <w:rPr>
          <w:rStyle w:val="cf01"/>
          <w:rFonts w:ascii="Calibri" w:hAnsi="Calibri" w:cstheme="minorBidi"/>
          <w:sz w:val="22"/>
          <w:szCs w:val="22"/>
        </w:rPr>
        <w:t xml:space="preserve"> Marianna Bindi discuss the concept of power, and provide a useful taxonomy of three different types:</w:t>
      </w:r>
      <w:r w:rsidRPr="009006D7">
        <w:rPr>
          <w:rStyle w:val="FootnoteReference"/>
        </w:rPr>
        <w:footnoteReference w:id="91"/>
      </w:r>
      <w:r w:rsidRPr="00A944D8">
        <w:rPr>
          <w:rStyle w:val="cf01"/>
          <w:rFonts w:ascii="Calibri" w:hAnsi="Calibri" w:cstheme="minorBidi"/>
          <w:sz w:val="22"/>
          <w:szCs w:val="22"/>
        </w:rPr>
        <w:t xml:space="preserve"> </w:t>
      </w:r>
    </w:p>
    <w:p w14:paraId="14B81E8B" w14:textId="7D832950" w:rsidR="0064131F" w:rsidRPr="00A944D8" w:rsidRDefault="0064131F" w:rsidP="0064131F">
      <w:pPr>
        <w:pStyle w:val="USBullet1"/>
        <w:rPr>
          <w:rStyle w:val="cf01"/>
          <w:rFonts w:ascii="Calibri" w:hAnsi="Calibri" w:cstheme="minorBidi"/>
          <w:sz w:val="22"/>
          <w:szCs w:val="22"/>
        </w:rPr>
      </w:pPr>
      <w:r w:rsidRPr="00617023">
        <w:rPr>
          <w:rStyle w:val="cf01"/>
          <w:rFonts w:ascii="Calibri" w:hAnsi="Calibri" w:cstheme="minorBidi"/>
          <w:sz w:val="22"/>
          <w:szCs w:val="22"/>
        </w:rPr>
        <w:t xml:space="preserve">Power-over </w:t>
      </w:r>
      <w:r w:rsidRPr="00A944D8">
        <w:rPr>
          <w:rStyle w:val="cf01"/>
          <w:rFonts w:ascii="Calibri" w:hAnsi="Calibri" w:cstheme="minorBidi"/>
          <w:sz w:val="22"/>
          <w:szCs w:val="22"/>
        </w:rPr>
        <w:t>refers to an asymmetrical relation</w:t>
      </w:r>
      <w:r w:rsidR="000F32D0" w:rsidRPr="00A944D8">
        <w:rPr>
          <w:rStyle w:val="cf01"/>
          <w:rFonts w:ascii="Calibri" w:hAnsi="Calibri" w:cstheme="minorBidi"/>
          <w:sz w:val="22"/>
          <w:szCs w:val="22"/>
        </w:rPr>
        <w:t>ship</w:t>
      </w:r>
      <w:r w:rsidRPr="00A944D8">
        <w:rPr>
          <w:rStyle w:val="cf01"/>
          <w:rFonts w:ascii="Calibri" w:hAnsi="Calibri" w:cstheme="minorBidi"/>
          <w:sz w:val="22"/>
          <w:szCs w:val="22"/>
        </w:rPr>
        <w:t xml:space="preserve"> between different actors or groups of </w:t>
      </w:r>
      <w:proofErr w:type="gramStart"/>
      <w:r w:rsidRPr="00A944D8">
        <w:rPr>
          <w:rStyle w:val="cf01"/>
          <w:rFonts w:ascii="Calibri" w:hAnsi="Calibri" w:cstheme="minorBidi"/>
          <w:sz w:val="22"/>
          <w:szCs w:val="22"/>
        </w:rPr>
        <w:t>actors</w:t>
      </w:r>
      <w:proofErr w:type="gramEnd"/>
    </w:p>
    <w:p w14:paraId="767868CC" w14:textId="77777777" w:rsidR="0064131F" w:rsidRPr="00A944D8" w:rsidRDefault="0064131F" w:rsidP="0064131F">
      <w:pPr>
        <w:pStyle w:val="USBullet1"/>
        <w:rPr>
          <w:rStyle w:val="cf01"/>
          <w:rFonts w:ascii="Calibri" w:hAnsi="Calibri" w:cstheme="minorBidi"/>
          <w:sz w:val="22"/>
          <w:szCs w:val="22"/>
        </w:rPr>
      </w:pPr>
      <w:r w:rsidRPr="00617023">
        <w:rPr>
          <w:rStyle w:val="cf01"/>
          <w:rFonts w:ascii="Calibri" w:hAnsi="Calibri" w:cstheme="minorBidi"/>
          <w:sz w:val="22"/>
          <w:szCs w:val="22"/>
        </w:rPr>
        <w:t>Power-to</w:t>
      </w:r>
      <w:r w:rsidRPr="00A944D8">
        <w:rPr>
          <w:rStyle w:val="cf01"/>
          <w:rFonts w:ascii="Calibri" w:hAnsi="Calibri" w:cstheme="minorBidi"/>
          <w:sz w:val="22"/>
          <w:szCs w:val="22"/>
        </w:rPr>
        <w:t xml:space="preserve"> refers to the ability of an actor to undertake an activity to achieve an </w:t>
      </w:r>
      <w:proofErr w:type="gramStart"/>
      <w:r w:rsidRPr="00A944D8">
        <w:rPr>
          <w:rStyle w:val="cf01"/>
          <w:rFonts w:ascii="Calibri" w:hAnsi="Calibri" w:cstheme="minorBidi"/>
          <w:sz w:val="22"/>
          <w:szCs w:val="22"/>
        </w:rPr>
        <w:t>outcome</w:t>
      </w:r>
      <w:proofErr w:type="gramEnd"/>
    </w:p>
    <w:p w14:paraId="0459640E" w14:textId="518F31B5" w:rsidR="0064131F" w:rsidRPr="00A944D8" w:rsidRDefault="0064131F" w:rsidP="0064131F">
      <w:pPr>
        <w:pStyle w:val="USBullet1"/>
        <w:rPr>
          <w:rStyle w:val="cf01"/>
          <w:rFonts w:ascii="Calibri" w:hAnsi="Calibri" w:cstheme="minorBidi"/>
          <w:sz w:val="22"/>
          <w:szCs w:val="22"/>
        </w:rPr>
      </w:pPr>
      <w:r w:rsidRPr="00617023">
        <w:rPr>
          <w:rStyle w:val="cf01"/>
          <w:rFonts w:ascii="Calibri" w:hAnsi="Calibri" w:cstheme="minorBidi"/>
          <w:sz w:val="22"/>
          <w:szCs w:val="22"/>
        </w:rPr>
        <w:t>Power-with</w:t>
      </w:r>
      <w:r w:rsidRPr="00A944D8">
        <w:rPr>
          <w:rStyle w:val="cf01"/>
          <w:rFonts w:ascii="Calibri" w:hAnsi="Calibri" w:cstheme="minorBidi"/>
          <w:sz w:val="22"/>
          <w:szCs w:val="22"/>
        </w:rPr>
        <w:t xml:space="preserve"> refers to the ability of a group to act together to achieve its goal </w:t>
      </w:r>
      <w:r w:rsidRPr="00A944D8">
        <w:rPr>
          <w:rStyle w:val="cf01"/>
          <w:rFonts w:ascii="Calibri" w:hAnsi="Calibri" w:cstheme="minorBidi"/>
          <w:sz w:val="22"/>
          <w:szCs w:val="22"/>
        </w:rPr>
        <w:fldChar w:fldCharType="begin"/>
      </w:r>
      <w:r w:rsidR="009B0EC4">
        <w:rPr>
          <w:rStyle w:val="cf01"/>
          <w:rFonts w:ascii="Calibri" w:hAnsi="Calibri" w:cstheme="minorBidi"/>
          <w:sz w:val="22"/>
          <w:szCs w:val="22"/>
        </w:rPr>
        <w:instrText xml:space="preserve"> ADDIN ZOTERO_ITEM CSL_CITATION {"citationID":"m8CslyvS","properties":{"formattedCitation":"(Pansardi and Bindi 2021, 2)","plainCitation":"(Pansardi and Bindi 2021, 2)","noteIndex":0},"citationItems":[{"id":18130,"uris":["http://zotero.org/groups/4801058/items/2264WGWZ"],"itemData":{"id":18130,"type":"article-journal","container-title":"Journal of Political Power","DOI":"10.1080/2158379X.2021.1877001.","page":"51-71","title":"The new concepts of power? Power-over, power-to and power-with.","volume":"14","author":[{"family":"Pansardi","given":"Pamela"},{"family":"Bindi","given":"Marianna"}],"issued":{"date-parts":[["2021"]]}},"locator":"2","label":"page"}],"schema":"https://github.com/citation-style-language/schema/raw/master/csl-citation.json"} </w:instrText>
      </w:r>
      <w:r w:rsidRPr="00A944D8">
        <w:rPr>
          <w:rStyle w:val="cf01"/>
          <w:rFonts w:ascii="Calibri" w:hAnsi="Calibri" w:cstheme="minorBidi"/>
          <w:sz w:val="22"/>
          <w:szCs w:val="22"/>
        </w:rPr>
        <w:fldChar w:fldCharType="separate"/>
      </w:r>
      <w:r w:rsidRPr="00A944D8">
        <w:rPr>
          <w:rFonts w:cs="Calibri"/>
        </w:rPr>
        <w:t>(Pansardi and Bindi 2021, 2)</w:t>
      </w:r>
      <w:r w:rsidRPr="00A944D8">
        <w:rPr>
          <w:rStyle w:val="cf01"/>
          <w:rFonts w:ascii="Calibri" w:hAnsi="Calibri" w:cstheme="minorBidi"/>
          <w:sz w:val="22"/>
          <w:szCs w:val="22"/>
        </w:rPr>
        <w:fldChar w:fldCharType="end"/>
      </w:r>
      <w:r w:rsidRPr="00A944D8">
        <w:rPr>
          <w:rStyle w:val="cf01"/>
          <w:rFonts w:ascii="Calibri" w:hAnsi="Calibri" w:cstheme="minorBidi"/>
          <w:sz w:val="22"/>
          <w:szCs w:val="22"/>
        </w:rPr>
        <w:t>.</w:t>
      </w:r>
    </w:p>
    <w:p w14:paraId="74602FFE" w14:textId="60882EC9" w:rsidR="0064131F" w:rsidRPr="00F543C1" w:rsidRDefault="0064131F" w:rsidP="0064131F">
      <w:pPr>
        <w:pStyle w:val="USBodyText"/>
      </w:pPr>
      <w:r w:rsidRPr="00A944D8">
        <w:rPr>
          <w:rStyle w:val="cf01"/>
          <w:rFonts w:ascii="Calibri" w:hAnsi="Calibri" w:cstheme="minorBidi"/>
          <w:sz w:val="22"/>
          <w:szCs w:val="22"/>
        </w:rPr>
        <w:t>Most of this report is about</w:t>
      </w:r>
      <w:r w:rsidRPr="00F543C1">
        <w:rPr>
          <w:rStyle w:val="cf01"/>
          <w:rFonts w:ascii="Calibri" w:hAnsi="Calibri" w:cstheme="minorBidi"/>
          <w:sz w:val="22"/>
          <w:szCs w:val="22"/>
        </w:rPr>
        <w:t xml:space="preserve"> </w:t>
      </w:r>
      <w:r w:rsidR="00E37151" w:rsidRPr="00F543C1">
        <w:rPr>
          <w:rStyle w:val="cf01"/>
          <w:rFonts w:ascii="Calibri" w:hAnsi="Calibri" w:cstheme="minorBidi"/>
          <w:sz w:val="22"/>
          <w:szCs w:val="22"/>
        </w:rPr>
        <w:t xml:space="preserve">governments </w:t>
      </w:r>
      <w:r w:rsidR="008B5BF8" w:rsidRPr="00F543C1">
        <w:rPr>
          <w:rStyle w:val="cf01"/>
          <w:rFonts w:ascii="Calibri" w:hAnsi="Calibri" w:cstheme="minorBidi"/>
          <w:sz w:val="22"/>
          <w:szCs w:val="22"/>
        </w:rPr>
        <w:t>exercising</w:t>
      </w:r>
      <w:r w:rsidR="00E37151" w:rsidRPr="00F543C1">
        <w:rPr>
          <w:rStyle w:val="cf01"/>
          <w:rFonts w:ascii="Calibri" w:hAnsi="Calibri" w:cstheme="minorBidi"/>
          <w:sz w:val="22"/>
          <w:szCs w:val="22"/>
        </w:rPr>
        <w:t xml:space="preserve"> </w:t>
      </w:r>
      <w:r w:rsidRPr="00F543C1">
        <w:rPr>
          <w:rStyle w:val="cf01"/>
          <w:rFonts w:ascii="Calibri" w:hAnsi="Calibri" w:cstheme="minorBidi"/>
          <w:sz w:val="22"/>
          <w:szCs w:val="22"/>
        </w:rPr>
        <w:t xml:space="preserve">power-over, since we are discussing the role of accountability in conditioning how the state exercises its </w:t>
      </w:r>
      <w:r w:rsidR="002C6E65" w:rsidRPr="00F543C1">
        <w:rPr>
          <w:rStyle w:val="cf01"/>
          <w:rFonts w:ascii="Calibri" w:hAnsi="Calibri" w:cstheme="minorBidi"/>
          <w:sz w:val="22"/>
          <w:szCs w:val="22"/>
        </w:rPr>
        <w:t xml:space="preserve">power </w:t>
      </w:r>
      <w:r w:rsidR="002C6E65">
        <w:rPr>
          <w:rStyle w:val="cf01"/>
          <w:rFonts w:ascii="Calibri" w:hAnsi="Calibri" w:cstheme="minorBidi"/>
          <w:sz w:val="22"/>
          <w:szCs w:val="22"/>
        </w:rPr>
        <w:t>over</w:t>
      </w:r>
      <w:r w:rsidRPr="00F543C1">
        <w:rPr>
          <w:rStyle w:val="cf01"/>
          <w:rFonts w:ascii="Calibri" w:hAnsi="Calibri" w:cstheme="minorBidi"/>
          <w:sz w:val="22"/>
          <w:szCs w:val="22"/>
        </w:rPr>
        <w:t xml:space="preserve"> citizens</w:t>
      </w:r>
      <w:r w:rsidR="003B0412">
        <w:rPr>
          <w:rStyle w:val="cf01"/>
          <w:rFonts w:ascii="Calibri" w:hAnsi="Calibri" w:cstheme="minorBidi"/>
          <w:sz w:val="22"/>
          <w:szCs w:val="22"/>
        </w:rPr>
        <w:t>.</w:t>
      </w:r>
      <w:r w:rsidR="00432089" w:rsidRPr="009006D7">
        <w:rPr>
          <w:rStyle w:val="FootnoteReference"/>
        </w:rPr>
        <w:footnoteReference w:id="92"/>
      </w:r>
      <w:r w:rsidRPr="00F543C1">
        <w:rPr>
          <w:rStyle w:val="cf01"/>
          <w:rFonts w:ascii="Calibri" w:hAnsi="Calibri" w:cstheme="minorBidi"/>
          <w:sz w:val="22"/>
          <w:szCs w:val="22"/>
        </w:rPr>
        <w:t xml:space="preserve"> We will</w:t>
      </w:r>
      <w:r w:rsidR="003204E0" w:rsidRPr="00F543C1">
        <w:rPr>
          <w:rStyle w:val="cf01"/>
          <w:rFonts w:ascii="Calibri" w:hAnsi="Calibri" w:cstheme="minorBidi"/>
          <w:sz w:val="22"/>
          <w:szCs w:val="22"/>
        </w:rPr>
        <w:t>,</w:t>
      </w:r>
      <w:r w:rsidRPr="00F543C1">
        <w:rPr>
          <w:rStyle w:val="cf01"/>
          <w:rFonts w:ascii="Calibri" w:hAnsi="Calibri" w:cstheme="minorBidi"/>
          <w:sz w:val="22"/>
          <w:szCs w:val="22"/>
        </w:rPr>
        <w:t xml:space="preserve"> however</w:t>
      </w:r>
      <w:r w:rsidR="003204E0" w:rsidRPr="00F543C1">
        <w:rPr>
          <w:rStyle w:val="cf01"/>
          <w:rFonts w:ascii="Calibri" w:hAnsi="Calibri" w:cstheme="minorBidi"/>
          <w:sz w:val="22"/>
          <w:szCs w:val="22"/>
        </w:rPr>
        <w:t>,</w:t>
      </w:r>
      <w:r w:rsidRPr="00F543C1">
        <w:rPr>
          <w:rStyle w:val="cf01"/>
          <w:rFonts w:ascii="Calibri" w:hAnsi="Calibri" w:cstheme="minorBidi"/>
          <w:sz w:val="22"/>
          <w:szCs w:val="22"/>
        </w:rPr>
        <w:t xml:space="preserve"> also discuss power-to in respect of workers assisting people experiencing persistent disadvantage and power-with in relation to groups, including Māori and Pacific peoples and other parts of the increasingly diverse population of Aotearoa</w:t>
      </w:r>
      <w:r w:rsidR="00E337FC" w:rsidRPr="00F543C1">
        <w:rPr>
          <w:rStyle w:val="cf01"/>
          <w:rFonts w:ascii="Calibri" w:hAnsi="Calibri" w:cstheme="minorBidi"/>
          <w:sz w:val="22"/>
          <w:szCs w:val="22"/>
        </w:rPr>
        <w:t>.</w:t>
      </w:r>
    </w:p>
    <w:p w14:paraId="291E2B58" w14:textId="77777777" w:rsidR="0064131F" w:rsidRPr="00F543C1" w:rsidRDefault="0064131F" w:rsidP="0064131F">
      <w:pPr>
        <w:ind w:left="851"/>
      </w:pPr>
      <w:r w:rsidRPr="00F543C1">
        <w:t xml:space="preserve">As William Stanbury notes, power involves a conundrum. While it is necessary for government to get things done and to do so effectively and efficiently: </w:t>
      </w:r>
    </w:p>
    <w:p w14:paraId="0571A36B" w14:textId="695574EF" w:rsidR="0064131F" w:rsidRPr="00726346" w:rsidRDefault="0064131F" w:rsidP="0064131F">
      <w:pPr>
        <w:spacing w:before="120"/>
        <w:ind w:left="1276" w:right="425"/>
        <w:rPr>
          <w:i/>
          <w:color w:val="30353F"/>
        </w:rPr>
      </w:pPr>
      <w:r w:rsidRPr="00F543C1">
        <w:rPr>
          <w:i/>
          <w:color w:val="30353F"/>
        </w:rPr>
        <w:t xml:space="preserve">At the same time, power can be used improperly. The clear evidence is that power tends to corrupt all who possess it, and, as Lord Acton so famously put it, “absolute power tends to corrupt absolutely.” The exercise of power without accountability is likely to lead to tyranny. Thus it is necessary to (a) justify the moral basis for the existence of power (might does not make right), (b) constrain the use of power, and (c) hold those who exercise power responsible for its exercise. </w:t>
      </w:r>
      <w:r w:rsidRPr="00F543C1">
        <w:rPr>
          <w:iCs/>
          <w:color w:val="30353F"/>
        </w:rPr>
        <w:fldChar w:fldCharType="begin"/>
      </w:r>
      <w:r w:rsidR="009B0EC4">
        <w:rPr>
          <w:iCs/>
          <w:color w:val="30353F"/>
        </w:rPr>
        <w:instrText xml:space="preserve"> ADDIN ZOTERO_ITEM CSL_CITATION {"citationID":"a230hp7relv","properties":{"formattedCitation":"(Stanbury 2003, 3, internal citations omitted.)","plainCitation":"(Stanbury 2003, 3, internal citations omitted.)","noteIndex":0},"citationItems":[{"id":17005,"uris":["http://zotero.org/groups/4801058/items/K78295HX"],"itemData":{"id":17005,"type":"report","event-place":"Vancouver","language":"en","publisher":"Fraser Institute","publisher-place":"Vancouver","title":"Accountability to Citizens in the Westminster Model of Government: More Myth than Reality","title-short":"Accountability to Citizens in the Westminster Model of Government","URL":"https://bit.ly/1LFs5nE","author":[{"family":"Stanbury","given":"William"}],"accessed":{"date-parts":[["2022",11,11]]},"issued":{"date-parts":[["2003",2,12]]}},"locator":"3","label":"page","suffix":", internal citations omitted."}],"schema":"https://github.com/citation-style-language/schema/raw/master/csl-citation.json"} </w:instrText>
      </w:r>
      <w:r w:rsidRPr="00F543C1">
        <w:rPr>
          <w:iCs/>
          <w:color w:val="30353F"/>
        </w:rPr>
        <w:fldChar w:fldCharType="separate"/>
      </w:r>
      <w:r w:rsidRPr="00F543C1">
        <w:rPr>
          <w:rFonts w:cs="Calibri"/>
          <w:iCs/>
          <w:color w:val="30353F"/>
          <w:szCs w:val="24"/>
        </w:rPr>
        <w:t>(Stanbury 2003, 3, internal citations omitted.)</w:t>
      </w:r>
      <w:r w:rsidRPr="00F543C1">
        <w:rPr>
          <w:iCs/>
          <w:color w:val="30353F"/>
        </w:rPr>
        <w:fldChar w:fldCharType="end"/>
      </w:r>
    </w:p>
    <w:p w14:paraId="7396E82E" w14:textId="315E7725" w:rsidR="0064131F" w:rsidRPr="00F543C1" w:rsidRDefault="0064131F" w:rsidP="0064131F">
      <w:pPr>
        <w:ind w:left="851"/>
        <w:rPr>
          <w:color w:val="222222"/>
        </w:rPr>
      </w:pPr>
      <w:r w:rsidRPr="00F543C1">
        <w:rPr>
          <w:color w:val="222222"/>
        </w:rPr>
        <w:t xml:space="preserve">Our basic task in this paper is to analyse how New Zealand governments can be encouraged through accountability to </w:t>
      </w:r>
      <w:r w:rsidR="00F14243" w:rsidRPr="00F543C1">
        <w:rPr>
          <w:color w:val="222222"/>
        </w:rPr>
        <w:t xml:space="preserve">better </w:t>
      </w:r>
      <w:r w:rsidRPr="00F543C1">
        <w:rPr>
          <w:color w:val="222222"/>
        </w:rPr>
        <w:t>exercise the</w:t>
      </w:r>
      <w:r w:rsidR="00D24C35" w:rsidRPr="00F543C1">
        <w:rPr>
          <w:color w:val="222222"/>
        </w:rPr>
        <w:t>ir powers to</w:t>
      </w:r>
      <w:r w:rsidRPr="00F543C1">
        <w:rPr>
          <w:color w:val="222222"/>
        </w:rPr>
        <w:t xml:space="preserve"> address persistent disadvantage.</w:t>
      </w:r>
    </w:p>
    <w:p w14:paraId="7F562245" w14:textId="77777777" w:rsidR="0064131F" w:rsidRPr="00F543C1" w:rsidRDefault="0064131F" w:rsidP="0064131F">
      <w:pPr>
        <w:pStyle w:val="Heading3"/>
      </w:pPr>
      <w:bookmarkStart w:id="117" w:name="_Toc126092106"/>
      <w:bookmarkStart w:id="118" w:name="_Ref126761942"/>
      <w:r w:rsidRPr="00F543C1">
        <w:t>Types of government power</w:t>
      </w:r>
      <w:bookmarkEnd w:id="117"/>
      <w:bookmarkEnd w:id="118"/>
    </w:p>
    <w:p w14:paraId="266DB11F" w14:textId="722E6F8C" w:rsidR="0064131F" w:rsidRPr="00F543C1" w:rsidRDefault="0064131F" w:rsidP="0064131F">
      <w:pPr>
        <w:pStyle w:val="USBodyText"/>
      </w:pPr>
      <w:r w:rsidRPr="00F543C1">
        <w:t xml:space="preserve">Modern governments exercise their powers across a wide range of </w:t>
      </w:r>
      <w:r w:rsidR="00B02EFD" w:rsidRPr="00F543C1">
        <w:t>functions, from</w:t>
      </w:r>
      <w:r w:rsidRPr="00F543C1">
        <w:t xml:space="preserve"> defending their territories from aggression through the regulation of industries, building, </w:t>
      </w:r>
      <w:proofErr w:type="gramStart"/>
      <w:r w:rsidRPr="00F543C1">
        <w:t>owning</w:t>
      </w:r>
      <w:proofErr w:type="gramEnd"/>
      <w:r w:rsidRPr="00F543C1">
        <w:t xml:space="preserve"> and operating economic and social infrastructure to the provision and funding of services, such as health, education and welfare.</w:t>
      </w:r>
      <w:r w:rsidR="004F1AEB" w:rsidRPr="00F543C1">
        <w:t xml:space="preserve"> </w:t>
      </w:r>
    </w:p>
    <w:p w14:paraId="5930B612" w14:textId="77777777" w:rsidR="0064131F" w:rsidRPr="00F543C1" w:rsidRDefault="0064131F" w:rsidP="00005FB2">
      <w:pPr>
        <w:pStyle w:val="USBodyText"/>
        <w:keepNext/>
      </w:pPr>
      <w:r w:rsidRPr="00F543C1">
        <w:lastRenderedPageBreak/>
        <w:t>Most OECD countries have more than one level of government. While there are subtle differences in structure across nations, the common systems for the divisions of power are:</w:t>
      </w:r>
    </w:p>
    <w:p w14:paraId="3CC5B924" w14:textId="77777777" w:rsidR="0064131F" w:rsidRPr="00F543C1" w:rsidRDefault="0064131F" w:rsidP="00005FB2">
      <w:pPr>
        <w:pStyle w:val="USBullet1"/>
        <w:keepNext/>
      </w:pPr>
      <w:r w:rsidRPr="00F543C1">
        <w:rPr>
          <w:b/>
          <w:bCs/>
        </w:rPr>
        <w:t>Sovereignty</w:t>
      </w:r>
      <w:r w:rsidRPr="00F543C1">
        <w:t xml:space="preserve">, where different levels of government have sovereign powers to decide what to do free from major constraints by higher levels of government. </w:t>
      </w:r>
    </w:p>
    <w:p w14:paraId="085C6370" w14:textId="77777777" w:rsidR="0064131F" w:rsidRPr="00F543C1" w:rsidRDefault="0064131F" w:rsidP="00005FB2">
      <w:pPr>
        <w:pStyle w:val="USBullet1"/>
        <w:keepNext/>
      </w:pPr>
      <w:r w:rsidRPr="00F543C1">
        <w:rPr>
          <w:b/>
          <w:bCs/>
        </w:rPr>
        <w:t>Devolution of power</w:t>
      </w:r>
      <w:r w:rsidRPr="00F543C1">
        <w:t>, where decision rights about what to do are given to lower levels of government by higher levels, which retain the power to change the terms of devolution.</w:t>
      </w:r>
    </w:p>
    <w:p w14:paraId="5B5F6C7E" w14:textId="77777777" w:rsidR="0064131F" w:rsidRPr="00F543C1" w:rsidRDefault="0064131F" w:rsidP="00005FB2">
      <w:pPr>
        <w:pStyle w:val="USBullet1"/>
        <w:keepNext/>
      </w:pPr>
      <w:r w:rsidRPr="00F543C1">
        <w:rPr>
          <w:b/>
          <w:bCs/>
        </w:rPr>
        <w:t>Delegation of authority</w:t>
      </w:r>
      <w:r w:rsidRPr="00F543C1">
        <w:t xml:space="preserve">, where one level of government decides what is to be done in a particular policy space in detail and then gives lower levels of government the power (and sometimes the funding) to implement that policy. </w:t>
      </w:r>
    </w:p>
    <w:p w14:paraId="50E608F4" w14:textId="1EA276AE" w:rsidR="00411322" w:rsidRDefault="00411322" w:rsidP="00411322">
      <w:pPr>
        <w:pStyle w:val="USBodyText"/>
      </w:pPr>
      <w:r>
        <w:t>New Zealand currently operates a mixed delegation/devolution model.</w:t>
      </w:r>
      <w:r w:rsidRPr="009006D7">
        <w:rPr>
          <w:rStyle w:val="FootnoteReference"/>
        </w:rPr>
        <w:footnoteReference w:id="93"/>
      </w:r>
    </w:p>
    <w:p w14:paraId="76D20F70" w14:textId="243CDE8A" w:rsidR="0064131F" w:rsidRPr="00F543C1" w:rsidRDefault="0064131F" w:rsidP="0064131F">
      <w:pPr>
        <w:pStyle w:val="USBodyText"/>
      </w:pPr>
      <w:r w:rsidRPr="00F543C1">
        <w:t>All levels of government have choices over whether to exercise their power directly, to establish separate legal entities and empower them to undertake prescribed activities or to contract with third parties, under which the parties effectively act as the government’s agent.</w:t>
      </w:r>
    </w:p>
    <w:p w14:paraId="0F47B164" w14:textId="7AC11A00" w:rsidR="002551CE" w:rsidRPr="00F543C1" w:rsidRDefault="002551CE" w:rsidP="002551CE">
      <w:pPr>
        <w:ind w:left="851"/>
        <w:rPr>
          <w:bCs/>
          <w:color w:val="000000"/>
        </w:rPr>
      </w:pPr>
      <w:r w:rsidRPr="00F543C1">
        <w:t xml:space="preserve">Elsewhere, we have examined the criteria governments should use when deciding whether to provide assistance directly via </w:t>
      </w:r>
      <w:r w:rsidR="00AD0DD2">
        <w:t>government agencies</w:t>
      </w:r>
      <w:r w:rsidR="00AD0DD2" w:rsidRPr="00F543C1">
        <w:t xml:space="preserve"> </w:t>
      </w:r>
      <w:r w:rsidRPr="00F543C1">
        <w:t xml:space="preserve">or devolve provision to </w:t>
      </w:r>
      <w:r w:rsidR="00BC509E" w:rsidRPr="00F543C1">
        <w:t>non-governmental organisations (</w:t>
      </w:r>
      <w:r w:rsidRPr="00F543C1">
        <w:t>NGOs</w:t>
      </w:r>
      <w:r w:rsidR="00BC509E" w:rsidRPr="00F543C1">
        <w:t>)</w:t>
      </w:r>
      <w:r w:rsidRPr="00F543C1">
        <w:t xml:space="preserve"> </w:t>
      </w:r>
      <w:r w:rsidRPr="00F543C1">
        <w:fldChar w:fldCharType="begin"/>
      </w:r>
      <w:r w:rsidR="009B0EC4">
        <w:instrText xml:space="preserve"> ADDIN ZOTERO_ITEM CSL_CITATION {"citationID":"a1li0rjj2c3","properties":{"formattedCitation":"(Fry and Wilson 2022a, 44)","plainCitation":"(Fry and Wilson 2022a, 44)","noteIndex":0},"citationItems":[{"id":16954,"uris":["http://zotero.org/groups/4801058/items/S8BG46RV"],"itemData":{"id":16954,"type":"report","event-place":"Wellington","publisher":"New Zealand Institute of Economic Research","publisher-place":"Wellington","title":"Ki te kotahi te kakaho ka whati, Ki te kapuia e kore e whati","author":[{"family":"Fry","given":"Julie"},{"family":"Wilson","given":"Peter"}],"issued":{"date-parts":[["2022"]]}},"locator":"44","label":"page"}],"schema":"https://github.com/citation-style-language/schema/raw/master/csl-citation.json"} </w:instrText>
      </w:r>
      <w:r w:rsidRPr="00F543C1">
        <w:fldChar w:fldCharType="separate"/>
      </w:r>
      <w:r w:rsidR="00EA71C7" w:rsidRPr="00EA71C7">
        <w:rPr>
          <w:rFonts w:cs="Calibri"/>
        </w:rPr>
        <w:t>(Fry and Wilson 2022a, 44)</w:t>
      </w:r>
      <w:r w:rsidRPr="00F543C1">
        <w:fldChar w:fldCharType="end"/>
      </w:r>
      <w:r w:rsidRPr="00726346">
        <w:rPr>
          <w:rFonts w:cs="Calibri"/>
        </w:rPr>
        <w:t xml:space="preserve">. </w:t>
      </w:r>
      <w:r w:rsidRPr="00F543C1">
        <w:t xml:space="preserve">We suggested that </w:t>
      </w:r>
      <w:r w:rsidRPr="00F543C1">
        <w:rPr>
          <w:bCs/>
          <w:color w:val="2F353E"/>
        </w:rPr>
        <w:t>devolution</w:t>
      </w:r>
      <w:r w:rsidRPr="00F543C1">
        <w:rPr>
          <w:bCs/>
          <w:color w:val="2F353E"/>
          <w:spacing w:val="-4"/>
        </w:rPr>
        <w:t xml:space="preserve"> </w:t>
      </w:r>
      <w:r w:rsidRPr="00F543C1">
        <w:rPr>
          <w:bCs/>
          <w:color w:val="2F353E"/>
        </w:rPr>
        <w:t>is</w:t>
      </w:r>
      <w:r w:rsidRPr="00F543C1">
        <w:rPr>
          <w:bCs/>
          <w:color w:val="2F353E"/>
          <w:spacing w:val="-5"/>
        </w:rPr>
        <w:t xml:space="preserve"> </w:t>
      </w:r>
      <w:r w:rsidRPr="00F543C1">
        <w:rPr>
          <w:bCs/>
          <w:color w:val="2F353E"/>
        </w:rPr>
        <w:t>strongly</w:t>
      </w:r>
      <w:r w:rsidRPr="00F543C1">
        <w:rPr>
          <w:bCs/>
          <w:color w:val="2F353E"/>
          <w:spacing w:val="-6"/>
        </w:rPr>
        <w:t xml:space="preserve"> </w:t>
      </w:r>
      <w:r w:rsidRPr="00F543C1">
        <w:rPr>
          <w:bCs/>
          <w:color w:val="2F353E"/>
        </w:rPr>
        <w:t>recommended</w:t>
      </w:r>
      <w:r w:rsidRPr="00F543C1">
        <w:rPr>
          <w:bCs/>
          <w:color w:val="2F353E"/>
          <w:spacing w:val="-4"/>
        </w:rPr>
        <w:t xml:space="preserve"> </w:t>
      </w:r>
      <w:r w:rsidRPr="00F543C1">
        <w:rPr>
          <w:bCs/>
          <w:color w:val="2F353E"/>
        </w:rPr>
        <w:t>in</w:t>
      </w:r>
      <w:r w:rsidRPr="00F543C1">
        <w:rPr>
          <w:bCs/>
          <w:color w:val="2F353E"/>
          <w:spacing w:val="-4"/>
        </w:rPr>
        <w:t xml:space="preserve"> </w:t>
      </w:r>
      <w:r w:rsidRPr="00F543C1">
        <w:rPr>
          <w:bCs/>
          <w:color w:val="2F353E"/>
        </w:rPr>
        <w:t>situations</w:t>
      </w:r>
      <w:r w:rsidRPr="00F543C1">
        <w:rPr>
          <w:bCs/>
          <w:color w:val="2F353E"/>
          <w:spacing w:val="-5"/>
        </w:rPr>
        <w:t xml:space="preserve"> </w:t>
      </w:r>
      <w:r w:rsidRPr="00F543C1">
        <w:rPr>
          <w:bCs/>
          <w:color w:val="2F353E"/>
          <w:spacing w:val="-2"/>
        </w:rPr>
        <w:t>where:</w:t>
      </w:r>
    </w:p>
    <w:p w14:paraId="4C6D0E69" w14:textId="699B7BAB" w:rsidR="002551CE" w:rsidRPr="00F543C1" w:rsidRDefault="002551CE" w:rsidP="002551CE">
      <w:pPr>
        <w:numPr>
          <w:ilvl w:val="0"/>
          <w:numId w:val="1"/>
        </w:numPr>
      </w:pPr>
      <w:r w:rsidRPr="00F543C1">
        <w:t>Bespoke</w:t>
      </w:r>
      <w:r w:rsidRPr="00F543C1">
        <w:rPr>
          <w:spacing w:val="-1"/>
        </w:rPr>
        <w:t xml:space="preserve"> assistance is</w:t>
      </w:r>
      <w:r w:rsidRPr="00F543C1">
        <w:t xml:space="preserve"> needed to address </w:t>
      </w:r>
      <w:r w:rsidR="008C6EEF" w:rsidRPr="00F543C1">
        <w:t xml:space="preserve">the </w:t>
      </w:r>
      <w:r w:rsidRPr="00F543C1">
        <w:t xml:space="preserve">complex, longer-term needs </w:t>
      </w:r>
      <w:r w:rsidR="00BC509E" w:rsidRPr="00F543C1">
        <w:t>of</w:t>
      </w:r>
      <w:r w:rsidR="00BC509E" w:rsidRPr="00F543C1">
        <w:rPr>
          <w:spacing w:val="-6"/>
        </w:rPr>
        <w:t xml:space="preserve"> </w:t>
      </w:r>
      <w:r w:rsidRPr="00F543C1">
        <w:t>people</w:t>
      </w:r>
      <w:r w:rsidRPr="00F543C1">
        <w:rPr>
          <w:spacing w:val="-7"/>
        </w:rPr>
        <w:t xml:space="preserve"> </w:t>
      </w:r>
      <w:r w:rsidRPr="00F543C1">
        <w:t>who</w:t>
      </w:r>
      <w:r w:rsidR="00F05CCC" w:rsidRPr="00F543C1">
        <w:t xml:space="preserve"> are </w:t>
      </w:r>
      <w:r w:rsidR="008C6EEF" w:rsidRPr="00F543C1">
        <w:t>inadequately</w:t>
      </w:r>
      <w:r w:rsidR="00F05CCC" w:rsidRPr="00F543C1">
        <w:t xml:space="preserve"> served by the mainstream</w:t>
      </w:r>
      <w:r w:rsidRPr="00F543C1">
        <w:rPr>
          <w:spacing w:val="-7"/>
        </w:rPr>
        <w:t xml:space="preserve"> </w:t>
      </w:r>
      <w:r w:rsidRPr="00F543C1">
        <w:t>social</w:t>
      </w:r>
      <w:r w:rsidRPr="00F543C1">
        <w:rPr>
          <w:spacing w:val="-4"/>
        </w:rPr>
        <w:t xml:space="preserve"> </w:t>
      </w:r>
      <w:r w:rsidRPr="00F543C1">
        <w:t>services</w:t>
      </w:r>
      <w:r w:rsidRPr="00F543C1">
        <w:rPr>
          <w:spacing w:val="-4"/>
        </w:rPr>
        <w:t xml:space="preserve"> </w:t>
      </w:r>
      <w:proofErr w:type="gramStart"/>
      <w:r w:rsidRPr="00F543C1">
        <w:t>system</w:t>
      </w:r>
      <w:proofErr w:type="gramEnd"/>
      <w:r w:rsidRPr="00F543C1">
        <w:t xml:space="preserve"> </w:t>
      </w:r>
    </w:p>
    <w:p w14:paraId="0ECEBE1F" w14:textId="77777777" w:rsidR="002551CE" w:rsidRPr="00F543C1" w:rsidRDefault="002551CE" w:rsidP="002551CE">
      <w:pPr>
        <w:numPr>
          <w:ilvl w:val="0"/>
          <w:numId w:val="1"/>
        </w:numPr>
      </w:pPr>
      <w:r w:rsidRPr="00F543C1">
        <w:t>Trust</w:t>
      </w:r>
      <w:r w:rsidRPr="00F543C1">
        <w:rPr>
          <w:spacing w:val="-7"/>
        </w:rPr>
        <w:t xml:space="preserve"> </w:t>
      </w:r>
      <w:r w:rsidRPr="00F543C1">
        <w:t>in</w:t>
      </w:r>
      <w:r w:rsidRPr="00F543C1">
        <w:rPr>
          <w:spacing w:val="-5"/>
        </w:rPr>
        <w:t xml:space="preserve"> </w:t>
      </w:r>
      <w:r w:rsidRPr="00F543C1">
        <w:t>traditional</w:t>
      </w:r>
      <w:r w:rsidRPr="00F543C1">
        <w:rPr>
          <w:spacing w:val="-4"/>
        </w:rPr>
        <w:t xml:space="preserve"> </w:t>
      </w:r>
      <w:r w:rsidRPr="00F543C1">
        <w:t>providers</w:t>
      </w:r>
      <w:r w:rsidRPr="00F543C1">
        <w:rPr>
          <w:spacing w:val="-4"/>
        </w:rPr>
        <w:t xml:space="preserve"> </w:t>
      </w:r>
      <w:r w:rsidRPr="00F543C1">
        <w:t>is</w:t>
      </w:r>
      <w:r w:rsidRPr="00F543C1">
        <w:rPr>
          <w:spacing w:val="-3"/>
        </w:rPr>
        <w:t xml:space="preserve"> </w:t>
      </w:r>
      <w:r w:rsidRPr="00F543C1">
        <w:rPr>
          <w:spacing w:val="-5"/>
        </w:rPr>
        <w:t>low and</w:t>
      </w:r>
    </w:p>
    <w:p w14:paraId="2C6054EC" w14:textId="77777777" w:rsidR="002551CE" w:rsidRPr="00F543C1" w:rsidRDefault="002551CE" w:rsidP="002551CE">
      <w:pPr>
        <w:numPr>
          <w:ilvl w:val="0"/>
          <w:numId w:val="1"/>
        </w:numPr>
      </w:pPr>
      <w:r w:rsidRPr="00F543C1">
        <w:t>Long-term, non-transactional, trusted relationships must be formed between</w:t>
      </w:r>
      <w:r w:rsidRPr="00F543C1">
        <w:rPr>
          <w:spacing w:val="-6"/>
        </w:rPr>
        <w:t xml:space="preserve"> </w:t>
      </w:r>
      <w:r w:rsidRPr="00F543C1">
        <w:t>the</w:t>
      </w:r>
      <w:r w:rsidRPr="00F543C1">
        <w:rPr>
          <w:spacing w:val="-8"/>
        </w:rPr>
        <w:t xml:space="preserve"> </w:t>
      </w:r>
      <w:r w:rsidRPr="00F543C1">
        <w:t>provider</w:t>
      </w:r>
      <w:r w:rsidRPr="00F543C1">
        <w:rPr>
          <w:spacing w:val="-4"/>
        </w:rPr>
        <w:t xml:space="preserve"> </w:t>
      </w:r>
      <w:r w:rsidRPr="00F543C1">
        <w:t>and</w:t>
      </w:r>
      <w:r w:rsidRPr="00F543C1">
        <w:rPr>
          <w:spacing w:val="-3"/>
        </w:rPr>
        <w:t xml:space="preserve"> </w:t>
      </w:r>
      <w:r w:rsidRPr="00F543C1">
        <w:t>their</w:t>
      </w:r>
      <w:r w:rsidRPr="00F543C1">
        <w:rPr>
          <w:spacing w:val="-7"/>
        </w:rPr>
        <w:t xml:space="preserve"> </w:t>
      </w:r>
      <w:r w:rsidRPr="00F543C1">
        <w:t>clients</w:t>
      </w:r>
      <w:r w:rsidRPr="00F543C1">
        <w:rPr>
          <w:spacing w:val="-2"/>
        </w:rPr>
        <w:t xml:space="preserve"> </w:t>
      </w:r>
      <w:r w:rsidRPr="00F543C1">
        <w:t>to</w:t>
      </w:r>
      <w:r w:rsidRPr="00F543C1">
        <w:rPr>
          <w:spacing w:val="-6"/>
        </w:rPr>
        <w:t xml:space="preserve"> </w:t>
      </w:r>
      <w:r w:rsidRPr="00F543C1">
        <w:t>determine</w:t>
      </w:r>
      <w:r w:rsidRPr="00F543C1">
        <w:rPr>
          <w:spacing w:val="-7"/>
        </w:rPr>
        <w:t xml:space="preserve"> </w:t>
      </w:r>
      <w:r w:rsidRPr="00F543C1">
        <w:t>what</w:t>
      </w:r>
      <w:r w:rsidRPr="00F543C1">
        <w:rPr>
          <w:spacing w:val="-8"/>
        </w:rPr>
        <w:t xml:space="preserve"> </w:t>
      </w:r>
      <w:r w:rsidRPr="00F543C1">
        <w:t>services</w:t>
      </w:r>
      <w:r w:rsidRPr="00F543C1">
        <w:rPr>
          <w:spacing w:val="-2"/>
        </w:rPr>
        <w:t xml:space="preserve"> </w:t>
      </w:r>
      <w:r w:rsidRPr="00F543C1">
        <w:t>are needed and how best to deliver, monitor and evaluate them.</w:t>
      </w:r>
    </w:p>
    <w:p w14:paraId="61F6AA42" w14:textId="0571F35C" w:rsidR="005D6808" w:rsidRPr="00F543C1" w:rsidRDefault="005D6808" w:rsidP="005D6808">
      <w:pPr>
        <w:pStyle w:val="USBodyText"/>
      </w:pPr>
      <w:r w:rsidRPr="00F543C1">
        <w:t>At the same time, there are many cases where centralised provision is appropriate because it will be both effective and efficient, for example</w:t>
      </w:r>
      <w:r w:rsidR="008C6EEF" w:rsidRPr="00F543C1">
        <w:t>,</w:t>
      </w:r>
      <w:r w:rsidRPr="00F543C1">
        <w:t xml:space="preserve"> when:</w:t>
      </w:r>
    </w:p>
    <w:p w14:paraId="4EEE8D01" w14:textId="77777777" w:rsidR="005D6808" w:rsidRPr="00F543C1" w:rsidRDefault="005D6808" w:rsidP="005D6808">
      <w:pPr>
        <w:numPr>
          <w:ilvl w:val="0"/>
          <w:numId w:val="1"/>
        </w:numPr>
      </w:pPr>
      <w:r w:rsidRPr="00F543C1">
        <w:t>The</w:t>
      </w:r>
      <w:r w:rsidRPr="00F543C1">
        <w:rPr>
          <w:spacing w:val="-5"/>
        </w:rPr>
        <w:t xml:space="preserve"> </w:t>
      </w:r>
      <w:r w:rsidRPr="00F543C1">
        <w:t>services</w:t>
      </w:r>
      <w:r w:rsidRPr="00F543C1">
        <w:rPr>
          <w:spacing w:val="-3"/>
        </w:rPr>
        <w:t xml:space="preserve"> </w:t>
      </w:r>
      <w:r w:rsidRPr="00F543C1">
        <w:t>to</w:t>
      </w:r>
      <w:r w:rsidRPr="00F543C1">
        <w:rPr>
          <w:spacing w:val="-4"/>
        </w:rPr>
        <w:t xml:space="preserve"> </w:t>
      </w:r>
      <w:r w:rsidRPr="00F543C1">
        <w:t>be</w:t>
      </w:r>
      <w:r w:rsidRPr="00F543C1">
        <w:rPr>
          <w:spacing w:val="-6"/>
        </w:rPr>
        <w:t xml:space="preserve"> </w:t>
      </w:r>
      <w:r w:rsidRPr="00F543C1">
        <w:t>provided can</w:t>
      </w:r>
      <w:r w:rsidRPr="00F543C1">
        <w:rPr>
          <w:spacing w:val="-4"/>
        </w:rPr>
        <w:t xml:space="preserve"> </w:t>
      </w:r>
      <w:r w:rsidRPr="00F543C1">
        <w:t>be</w:t>
      </w:r>
      <w:r w:rsidRPr="00F543C1">
        <w:rPr>
          <w:spacing w:val="-3"/>
        </w:rPr>
        <w:t xml:space="preserve"> </w:t>
      </w:r>
      <w:r w:rsidRPr="00F543C1">
        <w:t>specified</w:t>
      </w:r>
      <w:r w:rsidRPr="00F543C1">
        <w:rPr>
          <w:spacing w:val="-4"/>
        </w:rPr>
        <w:t xml:space="preserve"> </w:t>
      </w:r>
      <w:r w:rsidRPr="00F543C1">
        <w:t>in</w:t>
      </w:r>
      <w:r w:rsidRPr="00F543C1">
        <w:rPr>
          <w:spacing w:val="-3"/>
        </w:rPr>
        <w:t xml:space="preserve"> </w:t>
      </w:r>
      <w:proofErr w:type="gramStart"/>
      <w:r w:rsidRPr="00F543C1">
        <w:rPr>
          <w:spacing w:val="-2"/>
        </w:rPr>
        <w:t>advance</w:t>
      </w:r>
      <w:proofErr w:type="gramEnd"/>
    </w:p>
    <w:p w14:paraId="30A42FD6" w14:textId="77777777" w:rsidR="005D6808" w:rsidRPr="00F543C1" w:rsidRDefault="005D6808" w:rsidP="005D6808">
      <w:pPr>
        <w:numPr>
          <w:ilvl w:val="0"/>
          <w:numId w:val="1"/>
        </w:numPr>
      </w:pPr>
      <w:r w:rsidRPr="00F543C1">
        <w:t>There</w:t>
      </w:r>
      <w:r w:rsidRPr="00F543C1">
        <w:rPr>
          <w:spacing w:val="-6"/>
        </w:rPr>
        <w:t xml:space="preserve"> </w:t>
      </w:r>
      <w:r w:rsidRPr="00F543C1">
        <w:t>are</w:t>
      </w:r>
      <w:r w:rsidRPr="00F543C1">
        <w:rPr>
          <w:spacing w:val="-3"/>
        </w:rPr>
        <w:t xml:space="preserve"> </w:t>
      </w:r>
      <w:r w:rsidRPr="00F543C1">
        <w:t>economies</w:t>
      </w:r>
      <w:r w:rsidRPr="00F543C1">
        <w:rPr>
          <w:spacing w:val="-3"/>
        </w:rPr>
        <w:t xml:space="preserve"> </w:t>
      </w:r>
      <w:r w:rsidRPr="00F543C1">
        <w:t>of</w:t>
      </w:r>
      <w:r w:rsidRPr="00F543C1">
        <w:rPr>
          <w:spacing w:val="-4"/>
        </w:rPr>
        <w:t xml:space="preserve"> </w:t>
      </w:r>
      <w:r w:rsidRPr="00F543C1">
        <w:t>scale</w:t>
      </w:r>
      <w:r w:rsidRPr="00F543C1">
        <w:rPr>
          <w:spacing w:val="-2"/>
        </w:rPr>
        <w:t xml:space="preserve"> </w:t>
      </w:r>
      <w:r w:rsidRPr="00F543C1">
        <w:t>or</w:t>
      </w:r>
      <w:r w:rsidRPr="00F543C1">
        <w:rPr>
          <w:spacing w:val="-5"/>
        </w:rPr>
        <w:t xml:space="preserve"> </w:t>
      </w:r>
      <w:r w:rsidRPr="00F543C1">
        <w:t>scope</w:t>
      </w:r>
      <w:r w:rsidRPr="00F543C1">
        <w:rPr>
          <w:spacing w:val="-1"/>
        </w:rPr>
        <w:t xml:space="preserve"> </w:t>
      </w:r>
      <w:r w:rsidRPr="00F543C1">
        <w:t>in</w:t>
      </w:r>
      <w:r w:rsidRPr="00F543C1">
        <w:rPr>
          <w:spacing w:val="-4"/>
        </w:rPr>
        <w:t xml:space="preserve"> </w:t>
      </w:r>
      <w:proofErr w:type="gramStart"/>
      <w:r w:rsidRPr="00F543C1">
        <w:rPr>
          <w:spacing w:val="-2"/>
        </w:rPr>
        <w:t>delivery</w:t>
      </w:r>
      <w:proofErr w:type="gramEnd"/>
    </w:p>
    <w:p w14:paraId="25CC01BB" w14:textId="77777777" w:rsidR="005D6808" w:rsidRPr="00F543C1" w:rsidRDefault="005D6808" w:rsidP="005D6808">
      <w:pPr>
        <w:numPr>
          <w:ilvl w:val="0"/>
          <w:numId w:val="1"/>
        </w:numPr>
      </w:pPr>
      <w:r w:rsidRPr="00F543C1">
        <w:t>Relatively</w:t>
      </w:r>
      <w:r w:rsidRPr="00F543C1">
        <w:rPr>
          <w:spacing w:val="-7"/>
        </w:rPr>
        <w:t xml:space="preserve"> </w:t>
      </w:r>
      <w:r w:rsidRPr="00F543C1">
        <w:t>homogeneous</w:t>
      </w:r>
      <w:r w:rsidRPr="00F543C1">
        <w:rPr>
          <w:spacing w:val="-5"/>
        </w:rPr>
        <w:t xml:space="preserve"> </w:t>
      </w:r>
      <w:r w:rsidRPr="00F543C1">
        <w:t>services</w:t>
      </w:r>
      <w:r w:rsidRPr="00F543C1">
        <w:rPr>
          <w:spacing w:val="-5"/>
        </w:rPr>
        <w:t xml:space="preserve"> </w:t>
      </w:r>
      <w:r w:rsidRPr="00F543C1">
        <w:t>are</w:t>
      </w:r>
      <w:r w:rsidRPr="00F543C1">
        <w:rPr>
          <w:spacing w:val="-8"/>
        </w:rPr>
        <w:t xml:space="preserve"> </w:t>
      </w:r>
      <w:proofErr w:type="gramStart"/>
      <w:r w:rsidRPr="00F543C1">
        <w:rPr>
          <w:spacing w:val="-2"/>
        </w:rPr>
        <w:t>required</w:t>
      </w:r>
      <w:proofErr w:type="gramEnd"/>
    </w:p>
    <w:p w14:paraId="1E6B265F" w14:textId="0CF36248" w:rsidR="005D6808" w:rsidRPr="00F543C1" w:rsidRDefault="005D6808" w:rsidP="005D6808">
      <w:pPr>
        <w:numPr>
          <w:ilvl w:val="0"/>
          <w:numId w:val="1"/>
        </w:numPr>
      </w:pPr>
      <w:r w:rsidRPr="00F543C1">
        <w:t>Professional</w:t>
      </w:r>
      <w:r w:rsidRPr="00F543C1">
        <w:rPr>
          <w:spacing w:val="-8"/>
        </w:rPr>
        <w:t xml:space="preserve"> </w:t>
      </w:r>
      <w:r w:rsidRPr="00F543C1">
        <w:t>and</w:t>
      </w:r>
      <w:r w:rsidRPr="00F543C1">
        <w:rPr>
          <w:spacing w:val="-8"/>
        </w:rPr>
        <w:t xml:space="preserve"> </w:t>
      </w:r>
      <w:r w:rsidRPr="00F543C1">
        <w:t>occupational</w:t>
      </w:r>
      <w:r w:rsidRPr="00F543C1">
        <w:rPr>
          <w:spacing w:val="-8"/>
        </w:rPr>
        <w:t xml:space="preserve"> </w:t>
      </w:r>
      <w:r w:rsidRPr="00F543C1">
        <w:t>regulation</w:t>
      </w:r>
      <w:r w:rsidRPr="00F543C1">
        <w:rPr>
          <w:spacing w:val="-9"/>
        </w:rPr>
        <w:t xml:space="preserve"> </w:t>
      </w:r>
      <w:r w:rsidRPr="00F543C1">
        <w:t>provides</w:t>
      </w:r>
      <w:r w:rsidRPr="00F543C1">
        <w:rPr>
          <w:spacing w:val="-8"/>
        </w:rPr>
        <w:t xml:space="preserve"> </w:t>
      </w:r>
      <w:r w:rsidRPr="00F543C1">
        <w:t>assurance</w:t>
      </w:r>
      <w:r w:rsidRPr="00F543C1">
        <w:rPr>
          <w:spacing w:val="-11"/>
        </w:rPr>
        <w:t xml:space="preserve"> </w:t>
      </w:r>
      <w:r w:rsidRPr="00F543C1">
        <w:t>that providers can be trusted (</w:t>
      </w:r>
      <w:r w:rsidR="00070CBD">
        <w:t>i</w:t>
      </w:r>
      <w:r w:rsidRPr="00F543C1">
        <w:t>bid</w:t>
      </w:r>
      <w:r w:rsidR="002A45DE" w:rsidRPr="00F543C1">
        <w:t>.)</w:t>
      </w:r>
      <w:r w:rsidR="009A52B1">
        <w:t>.</w:t>
      </w:r>
    </w:p>
    <w:p w14:paraId="496DD295" w14:textId="0944FEC0" w:rsidR="002551CE" w:rsidRPr="00F543C1" w:rsidRDefault="002551CE" w:rsidP="0064131F">
      <w:pPr>
        <w:pStyle w:val="USBodyText"/>
      </w:pPr>
      <w:r w:rsidRPr="00F543C1">
        <w:lastRenderedPageBreak/>
        <w:t xml:space="preserve">We return to </w:t>
      </w:r>
      <w:r w:rsidR="008B6B19" w:rsidRPr="00F543C1">
        <w:t>applying</w:t>
      </w:r>
      <w:r w:rsidRPr="00F543C1">
        <w:t xml:space="preserve"> different accountability arrangements to different levels of government and NGOs in </w:t>
      </w:r>
      <w:r w:rsidR="00FE04F9" w:rsidRPr="00F543C1">
        <w:t>s</w:t>
      </w:r>
      <w:r w:rsidRPr="00F543C1">
        <w:t xml:space="preserve">ection </w:t>
      </w:r>
      <w:r w:rsidR="00AB24C3" w:rsidRPr="00F543C1">
        <w:fldChar w:fldCharType="begin"/>
      </w:r>
      <w:r w:rsidR="00AB24C3" w:rsidRPr="00F543C1">
        <w:instrText xml:space="preserve"> REF _Ref124882853 \r \h </w:instrText>
      </w:r>
      <w:r w:rsidR="000177FE" w:rsidRPr="00F543C1">
        <w:instrText xml:space="preserve"> \* MERGEFORMAT </w:instrText>
      </w:r>
      <w:r w:rsidR="00AB24C3" w:rsidRPr="00F543C1">
        <w:fldChar w:fldCharType="separate"/>
      </w:r>
      <w:r w:rsidR="00E06351">
        <w:t>3.9.3</w:t>
      </w:r>
      <w:r w:rsidR="00AB24C3" w:rsidRPr="00F543C1">
        <w:fldChar w:fldCharType="end"/>
      </w:r>
      <w:r w:rsidR="00B7279E" w:rsidRPr="00726346">
        <w:t>.</w:t>
      </w:r>
      <w:r w:rsidRPr="00F543C1">
        <w:t xml:space="preserve"> </w:t>
      </w:r>
    </w:p>
    <w:p w14:paraId="30059D07" w14:textId="03F5CDE4" w:rsidR="006506F7" w:rsidRPr="00F543C1" w:rsidRDefault="00DD7060" w:rsidP="00410791">
      <w:pPr>
        <w:pStyle w:val="Heading2"/>
      </w:pPr>
      <w:bookmarkStart w:id="119" w:name="_Ref124882106"/>
      <w:bookmarkStart w:id="120" w:name="_Ref124882121"/>
      <w:bookmarkStart w:id="121" w:name="_Toc126092107"/>
      <w:bookmarkStart w:id="122" w:name="_Toc126841210"/>
      <w:r w:rsidRPr="00F543C1">
        <w:t>D</w:t>
      </w:r>
      <w:r w:rsidR="00CF7765" w:rsidRPr="00F543C1">
        <w:t>efinition</w:t>
      </w:r>
      <w:r w:rsidRPr="00F543C1">
        <w:t xml:space="preserve">s are </w:t>
      </w:r>
      <w:proofErr w:type="gramStart"/>
      <w:r w:rsidRPr="00F543C1">
        <w:t>evolving</w:t>
      </w:r>
      <w:bookmarkEnd w:id="119"/>
      <w:bookmarkEnd w:id="120"/>
      <w:bookmarkEnd w:id="121"/>
      <w:bookmarkEnd w:id="122"/>
      <w:proofErr w:type="gramEnd"/>
      <w:r w:rsidR="002050F2" w:rsidRPr="00F543C1">
        <w:t xml:space="preserve"> </w:t>
      </w:r>
    </w:p>
    <w:p w14:paraId="5D65AE38" w14:textId="66F018B9" w:rsidR="006506F7" w:rsidRPr="00F543C1" w:rsidRDefault="006506F7" w:rsidP="006506F7">
      <w:pPr>
        <w:pStyle w:val="USBodyText"/>
      </w:pPr>
      <w:r w:rsidRPr="00F543C1">
        <w:t>The fluidity of</w:t>
      </w:r>
      <w:r w:rsidR="00EE1716">
        <w:t xml:space="preserve"> </w:t>
      </w:r>
      <w:r w:rsidRPr="00F543C1">
        <w:t>accountability</w:t>
      </w:r>
      <w:r w:rsidR="00EE1716">
        <w:t xml:space="preserve"> concepts</w:t>
      </w:r>
      <w:r w:rsidRPr="00F543C1">
        <w:t xml:space="preserve"> mean</w:t>
      </w:r>
      <w:r w:rsidR="008B6B19" w:rsidRPr="00F543C1">
        <w:t>s</w:t>
      </w:r>
      <w:r w:rsidRPr="00F543C1">
        <w:t xml:space="preserve"> that the literature is continuing to evolve, especially in the face of </w:t>
      </w:r>
      <w:r w:rsidR="00030DA0" w:rsidRPr="00F543C1">
        <w:t>ongoing</w:t>
      </w:r>
      <w:r w:rsidRPr="00F543C1">
        <w:t xml:space="preserve"> changes in the operations of government</w:t>
      </w:r>
      <w:r w:rsidR="00EE1716">
        <w:t>s</w:t>
      </w:r>
      <w:r w:rsidRPr="00F543C1">
        <w:t xml:space="preserve"> around the world. There are</w:t>
      </w:r>
      <w:r w:rsidR="008B6B19" w:rsidRPr="00F543C1">
        <w:t>,</w:t>
      </w:r>
      <w:r w:rsidRPr="00F543C1">
        <w:t xml:space="preserve"> however</w:t>
      </w:r>
      <w:r w:rsidR="008B6B19" w:rsidRPr="00F543C1">
        <w:t>,</w:t>
      </w:r>
      <w:r w:rsidRPr="00F543C1">
        <w:t xml:space="preserve"> recurrent themes that we have been able to apply in this report.</w:t>
      </w:r>
      <w:r w:rsidR="0064131F" w:rsidRPr="00F543C1">
        <w:t xml:space="preserve"> In this section, we review some of the main contributions before setting out the definition we have adopted.</w:t>
      </w:r>
    </w:p>
    <w:p w14:paraId="1EA82ECE" w14:textId="2692A079" w:rsidR="00CF7765" w:rsidRPr="00F543C1" w:rsidRDefault="00CF7765" w:rsidP="00410791">
      <w:pPr>
        <w:pStyle w:val="USBodyText"/>
      </w:pPr>
      <w:r w:rsidRPr="00F543C1">
        <w:t>The standard meaning of accountability in public administration found in the academic literature is that of being held to account to some authority for one’s actions.</w:t>
      </w:r>
      <w:r w:rsidRPr="009006D7">
        <w:rPr>
          <w:rStyle w:val="FootnoteReference"/>
        </w:rPr>
        <w:footnoteReference w:id="94"/>
      </w:r>
      <w:r w:rsidRPr="00726346">
        <w:t xml:space="preserve"> Within this meaning, accountability is assumed to:</w:t>
      </w:r>
    </w:p>
    <w:p w14:paraId="35186456" w14:textId="33581923" w:rsidR="00CF7765" w:rsidRPr="00F543C1" w:rsidRDefault="00CF7765" w:rsidP="00CF7765">
      <w:pPr>
        <w:numPr>
          <w:ilvl w:val="0"/>
          <w:numId w:val="1"/>
        </w:numPr>
      </w:pPr>
      <w:r w:rsidRPr="00F543C1">
        <w:t xml:space="preserve">Be external, in </w:t>
      </w:r>
      <w:r w:rsidR="009A7346" w:rsidRPr="00F543C1">
        <w:t>that account</w:t>
      </w:r>
      <w:r w:rsidRPr="00F543C1">
        <w:t xml:space="preserve"> is given to someone </w:t>
      </w:r>
      <w:proofErr w:type="gramStart"/>
      <w:r w:rsidRPr="00F543C1">
        <w:t>else</w:t>
      </w:r>
      <w:proofErr w:type="gramEnd"/>
    </w:p>
    <w:p w14:paraId="03CE065F" w14:textId="68A1AFA8" w:rsidR="00CF7765" w:rsidRPr="00F543C1" w:rsidRDefault="00CF7765" w:rsidP="00CF7765">
      <w:pPr>
        <w:numPr>
          <w:ilvl w:val="0"/>
          <w:numId w:val="1"/>
        </w:numPr>
      </w:pPr>
      <w:r w:rsidRPr="00F543C1">
        <w:t xml:space="preserve">Involve social interaction and exchange, in that being held to account requires giving answers and information and having sanctions </w:t>
      </w:r>
      <w:proofErr w:type="gramStart"/>
      <w:r w:rsidRPr="00F543C1">
        <w:t>imposed</w:t>
      </w:r>
      <w:proofErr w:type="gramEnd"/>
    </w:p>
    <w:p w14:paraId="11D716CC" w14:textId="75E35CAF" w:rsidR="00CF7765" w:rsidRPr="00F543C1" w:rsidRDefault="00CF7765" w:rsidP="00CF7765">
      <w:pPr>
        <w:numPr>
          <w:ilvl w:val="0"/>
          <w:numId w:val="1"/>
        </w:numPr>
      </w:pPr>
      <w:r w:rsidRPr="00F543C1">
        <w:t xml:space="preserve">Imply rights of authority in that those calling for an account assert higher rights of authority than the person, group or organisation being held accountable: they have </w:t>
      </w:r>
      <w:r w:rsidRPr="00DA7D72">
        <w:t xml:space="preserve">the </w:t>
      </w:r>
      <w:r w:rsidRPr="00005FB2">
        <w:t>right</w:t>
      </w:r>
      <w:r w:rsidRPr="00DA7D72">
        <w:t xml:space="preserve"> to</w:t>
      </w:r>
      <w:r w:rsidRPr="00F543C1">
        <w:t xml:space="preserve"> demand answers and to impose sanctions</w:t>
      </w:r>
      <w:r w:rsidR="001A143F" w:rsidRPr="00F543C1">
        <w:t>,</w:t>
      </w:r>
      <w:r w:rsidRPr="00F543C1">
        <w:t xml:space="preserve"> and this right is acknowledged and acted on by those required to give account </w:t>
      </w:r>
      <w:r w:rsidRPr="00F543C1">
        <w:fldChar w:fldCharType="begin"/>
      </w:r>
      <w:r w:rsidR="009B0EC4">
        <w:instrText xml:space="preserve"> ADDIN ZOTERO_ITEM CSL_CITATION {"citationID":"nmboJUON","properties":{"formattedCitation":"(Mulgan 2000)","plainCitation":"(Mulgan 2000)","noteIndex":0},"citationItems":[{"id":16242,"uris":["http://zotero.org/groups/4801058/items/6GRYSNYS"],"itemData":{"id":16242,"type":"article-journal","container-title":"Public Administration","DOI":"10.1111/1467-9299.00218","ISSN":"0033-3298, 1467-9299","issue":"3","journalAbbreviation":"Public Administration","language":"en","note":"number: 3","page":"555-573","source":"DOI.org (Crossref)","title":"'Accountability': An Ever-Expanding Concept?","title-short":"'Accountability'","volume":"78","author":[{"family":"Mulgan","given":"Richard"}],"issued":{"date-parts":[["2000",1]]}}}],"schema":"https://github.com/citation-style-language/schema/raw/master/csl-citation.json"} </w:instrText>
      </w:r>
      <w:r w:rsidRPr="00F543C1">
        <w:fldChar w:fldCharType="separate"/>
      </w:r>
      <w:r w:rsidRPr="00F543C1">
        <w:rPr>
          <w:rFonts w:cs="Calibri"/>
        </w:rPr>
        <w:t>(Mulgan 2000)</w:t>
      </w:r>
      <w:r w:rsidRPr="00F543C1">
        <w:fldChar w:fldCharType="end"/>
      </w:r>
      <w:r w:rsidRPr="00726346">
        <w:t>.</w:t>
      </w:r>
    </w:p>
    <w:p w14:paraId="03925100" w14:textId="01DDE08B" w:rsidR="00CF7765" w:rsidRPr="00F543C1" w:rsidRDefault="00CF7765" w:rsidP="00CF7765">
      <w:pPr>
        <w:spacing w:before="120" w:line="240" w:lineRule="auto"/>
        <w:ind w:left="709"/>
      </w:pPr>
      <w:r w:rsidRPr="00F543C1">
        <w:t>More recently, accountability, at least in the academic literature, has been extended into other meanings:</w:t>
      </w:r>
    </w:p>
    <w:p w14:paraId="1F3A2C04" w14:textId="1058BD8A" w:rsidR="00CF7765" w:rsidRPr="00726346" w:rsidRDefault="00CF7765" w:rsidP="00CF7765">
      <w:pPr>
        <w:numPr>
          <w:ilvl w:val="0"/>
          <w:numId w:val="1"/>
        </w:numPr>
      </w:pPr>
      <w:r w:rsidRPr="00F543C1">
        <w:t>Accountability can imply individual responsibility (professional accountability), where a person holds themselves to account for their actions or to an ethical standard.</w:t>
      </w:r>
      <w:r w:rsidRPr="009006D7">
        <w:rPr>
          <w:rStyle w:val="FootnoteReference"/>
        </w:rPr>
        <w:footnoteReference w:id="95"/>
      </w:r>
    </w:p>
    <w:p w14:paraId="15B76614" w14:textId="77777777" w:rsidR="00CF7765" w:rsidRPr="00726346" w:rsidRDefault="00CF7765" w:rsidP="00CF7765">
      <w:pPr>
        <w:numPr>
          <w:ilvl w:val="0"/>
          <w:numId w:val="1"/>
        </w:numPr>
      </w:pPr>
      <w:r w:rsidRPr="00F543C1">
        <w:t>Accountability is a mechanism by which checks are imposed on government (accountability as control). This does not require social interaction or exchange: rules and sanctions are imposed.</w:t>
      </w:r>
      <w:r w:rsidRPr="009006D7">
        <w:rPr>
          <w:rStyle w:val="FootnoteReference"/>
        </w:rPr>
        <w:footnoteReference w:id="96"/>
      </w:r>
    </w:p>
    <w:p w14:paraId="37D3D1D3" w14:textId="77777777" w:rsidR="00CF7765" w:rsidRPr="00F543C1" w:rsidRDefault="00CF7765" w:rsidP="00CF7765">
      <w:pPr>
        <w:numPr>
          <w:ilvl w:val="0"/>
          <w:numId w:val="1"/>
        </w:numPr>
      </w:pPr>
      <w:r w:rsidRPr="00F543C1">
        <w:t xml:space="preserve">Accountability has been linked to the extent to which governments respond to the wishes of their citizens (accountability </w:t>
      </w:r>
      <w:proofErr w:type="gramStart"/>
      <w:r w:rsidRPr="00F543C1">
        <w:t>as a way to</w:t>
      </w:r>
      <w:proofErr w:type="gramEnd"/>
      <w:r w:rsidRPr="00F543C1">
        <w:t xml:space="preserve"> ensure responsiveness and legitimacy).</w:t>
      </w:r>
    </w:p>
    <w:p w14:paraId="54256D35" w14:textId="6DFE07E5" w:rsidR="00CF7765" w:rsidRPr="00F543C1" w:rsidRDefault="00CF7765" w:rsidP="00CF7765">
      <w:pPr>
        <w:numPr>
          <w:ilvl w:val="0"/>
          <w:numId w:val="1"/>
        </w:numPr>
      </w:pPr>
      <w:r w:rsidRPr="00F543C1">
        <w:lastRenderedPageBreak/>
        <w:t>Accountability can mean the public discussions between citizens in a democracy (accountability as dialogue). There is no implied superior status of anyone in the dialogue (</w:t>
      </w:r>
      <w:r w:rsidR="00070CBD">
        <w:t>i</w:t>
      </w:r>
      <w:r w:rsidRPr="00F543C1">
        <w:t>bid.)</w:t>
      </w:r>
      <w:r w:rsidR="009A52B1">
        <w:t>.</w:t>
      </w:r>
    </w:p>
    <w:p w14:paraId="3ADB7720" w14:textId="17F3E9C3" w:rsidR="00CF7765" w:rsidRPr="00F543C1" w:rsidRDefault="00CF7765" w:rsidP="00CF7765">
      <w:pPr>
        <w:ind w:left="851"/>
      </w:pPr>
      <w:r w:rsidRPr="00F543C1">
        <w:t xml:space="preserve">Regardless of the precise meaning, </w:t>
      </w:r>
      <w:proofErr w:type="spellStart"/>
      <w:r w:rsidRPr="00F543C1">
        <w:t>Mulgan</w:t>
      </w:r>
      <w:proofErr w:type="spellEnd"/>
      <w:r w:rsidRPr="00F543C1">
        <w:t xml:space="preserve"> </w:t>
      </w:r>
      <w:r w:rsidRPr="00F543C1">
        <w:fldChar w:fldCharType="begin"/>
      </w:r>
      <w:r w:rsidR="009B0EC4">
        <w:instrText xml:space="preserve"> ADDIN ZOTERO_ITEM CSL_CITATION {"citationID":"9RjJ9h0U","properties":{"formattedCitation":"(2003)","plainCitation":"(2003)","noteIndex":0},"citationItems":[{"id":16001,"uris":["http://zotero.org/groups/4623831/items/A24BVFR9"],"itemData":{"id":16001,"type":"book","event-place":"London","ISBN":"978-1-349-43141-0","language":"en","note":"DOI: 10.1057/9781403943835","publisher":"Palgrave Macmillan UK","publisher-place":"London","source":"DOI.org (Crossref)","title":"Holding Power to Account","URL":"http://link.springer.com/10.1057/9781403943835","author":[{"family":"Mulgan","given":"Richard"}],"accessed":{"date-parts":[["2022",9,21]]},"issued":{"date-parts":[["2003"]]}},"label":"page","suppress-author":true}],"schema":"https://github.com/citation-style-language/schema/raw/master/csl-citation.json"} </w:instrText>
      </w:r>
      <w:r w:rsidRPr="00F543C1">
        <w:fldChar w:fldCharType="separate"/>
      </w:r>
      <w:r w:rsidRPr="00F543C1">
        <w:rPr>
          <w:rFonts w:cs="Calibri"/>
        </w:rPr>
        <w:t>(2003)</w:t>
      </w:r>
      <w:r w:rsidRPr="00F543C1">
        <w:fldChar w:fldCharType="end"/>
      </w:r>
      <w:r w:rsidRPr="00726346">
        <w:t xml:space="preserve"> suggests that </w:t>
      </w:r>
      <w:r w:rsidR="00F3701C" w:rsidRPr="00F543C1">
        <w:t xml:space="preserve">any </w:t>
      </w:r>
      <w:r w:rsidRPr="00F543C1">
        <w:t xml:space="preserve">accountability </w:t>
      </w:r>
      <w:r w:rsidR="00F3701C" w:rsidRPr="00F543C1">
        <w:t>system can be examined by asking the following questions:</w:t>
      </w:r>
    </w:p>
    <w:p w14:paraId="1075DD8C" w14:textId="0C6BB262" w:rsidR="00CF7765" w:rsidRPr="00F543C1" w:rsidRDefault="00542B58" w:rsidP="00F53CC5">
      <w:pPr>
        <w:pStyle w:val="USNumbera"/>
      </w:pPr>
      <w:r w:rsidRPr="00F543C1">
        <w:t>W</w:t>
      </w:r>
      <w:r w:rsidR="00CF7765" w:rsidRPr="00F543C1">
        <w:t>ho are accountable?</w:t>
      </w:r>
    </w:p>
    <w:p w14:paraId="14C0EBF3" w14:textId="11EF5D4B" w:rsidR="00CF7765" w:rsidRPr="00F543C1" w:rsidRDefault="00542B58" w:rsidP="00F53CC5">
      <w:pPr>
        <w:pStyle w:val="USNumbera"/>
      </w:pPr>
      <w:r w:rsidRPr="00F543C1">
        <w:t>T</w:t>
      </w:r>
      <w:r w:rsidR="00CF7765" w:rsidRPr="00F543C1">
        <w:t xml:space="preserve">o whom are they accountable? </w:t>
      </w:r>
    </w:p>
    <w:p w14:paraId="48288392" w14:textId="493624FD" w:rsidR="00CF7765" w:rsidRPr="00F543C1" w:rsidRDefault="00542B58" w:rsidP="00F53CC5">
      <w:pPr>
        <w:pStyle w:val="USNumbera"/>
      </w:pPr>
      <w:r w:rsidRPr="00F543C1">
        <w:t>F</w:t>
      </w:r>
      <w:r w:rsidR="00CF7765" w:rsidRPr="00F543C1">
        <w:t xml:space="preserve">or what are they accountable? </w:t>
      </w:r>
    </w:p>
    <w:p w14:paraId="554C5E04" w14:textId="78B30B46" w:rsidR="00CF7765" w:rsidRPr="00F543C1" w:rsidRDefault="00542B58" w:rsidP="00F53CC5">
      <w:pPr>
        <w:pStyle w:val="USNumbera"/>
      </w:pPr>
      <w:r w:rsidRPr="00F543C1">
        <w:t>H</w:t>
      </w:r>
      <w:r w:rsidR="00CF7765" w:rsidRPr="00F543C1">
        <w:t>ow are they accountable?</w:t>
      </w:r>
    </w:p>
    <w:p w14:paraId="13BB4913" w14:textId="59C92EEF" w:rsidR="00853225" w:rsidRPr="00F543C1" w:rsidRDefault="00853225" w:rsidP="00853225">
      <w:pPr>
        <w:ind w:left="851"/>
      </w:pPr>
      <w:r w:rsidRPr="00F543C1">
        <w:t xml:space="preserve">After reviewing the literature across </w:t>
      </w:r>
      <w:r w:rsidR="002D72D9" w:rsidRPr="00F543C1">
        <w:t xml:space="preserve">a </w:t>
      </w:r>
      <w:r w:rsidRPr="00F543C1">
        <w:t xml:space="preserve">range of disciplines, </w:t>
      </w:r>
      <w:proofErr w:type="spellStart"/>
      <w:r w:rsidRPr="00F543C1">
        <w:t>Bovens</w:t>
      </w:r>
      <w:proofErr w:type="spellEnd"/>
      <w:r w:rsidRPr="00F543C1">
        <w:t xml:space="preserve"> et al. </w:t>
      </w:r>
      <w:r w:rsidRPr="00F543C1">
        <w:fldChar w:fldCharType="begin"/>
      </w:r>
      <w:r w:rsidR="009B0EC4">
        <w:instrText xml:space="preserve"> ADDIN ZOTERO_ITEM CSL_CITATION {"citationID":"3mfGkg0l","properties":{"formattedCitation":"(2014, 6)","plainCitation":"(2014, 6)","noteIndex":0},"citationItems":[{"id":16004,"uris":["http://zotero.org/groups/4623831/items/DZ8AUE7N"],"itemData":{"id":16004,"type":"chapter","container-title":"The Oxford Handbook of Public Accountability","ISBN":"978-0-19-964125-3","note":"DOI: 10.1093/oxfordhb/9780199641253.013.0012","page":"1-20","publisher":"Oxford University Press","source":"DOI.org (Crossref)","title":"Public Accountability","URL":"https://academic.oup.com/edited-volume/28191/chapter/213102034","editor":[{"family":"Bovens","given":"Mark"},{"family":"Goodin","given":"Robert E."},{"family":"Schillemans","given":"Thomas"}],"author":[{"family":"Bovens","given":"Mark"},{"family":"Goodin","given":"Robert E."},{"family":"Schillemans","given":"Thomas"}],"accessed":{"date-parts":[["2022",9,27]]},"issued":{"date-parts":[["2014",5,1]]}},"locator":"6","label":"page","suppress-author":true}],"schema":"https://github.com/citation-style-language/schema/raw/master/csl-citation.json"} </w:instrText>
      </w:r>
      <w:r w:rsidRPr="00F543C1">
        <w:fldChar w:fldCharType="separate"/>
      </w:r>
      <w:r w:rsidRPr="00F543C1">
        <w:rPr>
          <w:rFonts w:cs="Calibri"/>
        </w:rPr>
        <w:t>(2014, 6)</w:t>
      </w:r>
      <w:r w:rsidRPr="00F543C1">
        <w:fldChar w:fldCharType="end"/>
      </w:r>
      <w:r w:rsidRPr="00726346">
        <w:t xml:space="preserve"> suggest that a </w:t>
      </w:r>
      <w:r w:rsidR="00891E89" w:rsidRPr="00F543C1">
        <w:t>“</w:t>
      </w:r>
      <w:r w:rsidRPr="00F543C1">
        <w:t>minimal conceptual consensus</w:t>
      </w:r>
      <w:r w:rsidR="00891E89" w:rsidRPr="00F543C1">
        <w:t>”</w:t>
      </w:r>
      <w:r w:rsidRPr="00F543C1">
        <w:t xml:space="preserve"> has emerged that points to a set of possible first principles of accountability. They suggest that accountability can be understood as involving:</w:t>
      </w:r>
    </w:p>
    <w:p w14:paraId="12EF241D" w14:textId="77777777" w:rsidR="00853225" w:rsidRPr="00F543C1" w:rsidRDefault="00853225" w:rsidP="00853225">
      <w:pPr>
        <w:numPr>
          <w:ilvl w:val="0"/>
          <w:numId w:val="1"/>
        </w:numPr>
      </w:pPr>
      <w:r w:rsidRPr="00F543C1">
        <w:t xml:space="preserve">Answering to someone who has a legitimate claim to require </w:t>
      </w:r>
      <w:proofErr w:type="gramStart"/>
      <w:r w:rsidRPr="00F543C1">
        <w:t>account</w:t>
      </w:r>
      <w:proofErr w:type="gramEnd"/>
    </w:p>
    <w:p w14:paraId="7B492793" w14:textId="77777777" w:rsidR="00853225" w:rsidRPr="00F543C1" w:rsidRDefault="00853225" w:rsidP="00853225">
      <w:pPr>
        <w:numPr>
          <w:ilvl w:val="0"/>
          <w:numId w:val="1"/>
        </w:numPr>
      </w:pPr>
      <w:r w:rsidRPr="00F543C1">
        <w:t>A relationship between</w:t>
      </w:r>
      <w:r w:rsidRPr="00F543C1">
        <w:rPr>
          <w:rFonts w:cs="Minion Pro"/>
          <w:i/>
          <w:iCs/>
          <w:color w:val="211D1E"/>
          <w:sz w:val="21"/>
          <w:szCs w:val="21"/>
        </w:rPr>
        <w:t xml:space="preserve"> </w:t>
      </w:r>
      <w:r w:rsidRPr="00F543C1">
        <w:t xml:space="preserve">those who owe an account and those to whom it is </w:t>
      </w:r>
      <w:proofErr w:type="gramStart"/>
      <w:r w:rsidRPr="00F543C1">
        <w:t>owed</w:t>
      </w:r>
      <w:proofErr w:type="gramEnd"/>
    </w:p>
    <w:p w14:paraId="408037B3" w14:textId="77777777" w:rsidR="00853225" w:rsidRPr="00F543C1" w:rsidRDefault="00853225" w:rsidP="00853225">
      <w:pPr>
        <w:numPr>
          <w:ilvl w:val="0"/>
          <w:numId w:val="1"/>
        </w:numPr>
      </w:pPr>
      <w:r w:rsidRPr="00F543C1">
        <w:t xml:space="preserve">Linking agents and others for whom they perform tasks or who are affected by the tasks they </w:t>
      </w:r>
      <w:proofErr w:type="gramStart"/>
      <w:r w:rsidRPr="00F543C1">
        <w:t>perform</w:t>
      </w:r>
      <w:proofErr w:type="gramEnd"/>
      <w:r w:rsidRPr="00F543C1">
        <w:t xml:space="preserve"> </w:t>
      </w:r>
    </w:p>
    <w:p w14:paraId="11E5AD44" w14:textId="7E797823" w:rsidR="00853225" w:rsidRPr="00F543C1" w:rsidRDefault="00853225" w:rsidP="00853225">
      <w:pPr>
        <w:numPr>
          <w:ilvl w:val="0"/>
          <w:numId w:val="1"/>
        </w:numPr>
      </w:pPr>
      <w:r w:rsidRPr="00F543C1">
        <w:t>Retrospective activity</w:t>
      </w:r>
      <w:r w:rsidR="002571B9" w:rsidRPr="00F543C1">
        <w:t xml:space="preserve">, with past activity being recorded, </w:t>
      </w:r>
      <w:proofErr w:type="gramStart"/>
      <w:r w:rsidR="002571B9" w:rsidRPr="00F543C1">
        <w:t>reported</w:t>
      </w:r>
      <w:proofErr w:type="gramEnd"/>
      <w:r w:rsidR="002571B9" w:rsidRPr="00F543C1">
        <w:t xml:space="preserve"> and </w:t>
      </w:r>
      <w:r w:rsidR="00FE6704" w:rsidRPr="00F543C1">
        <w:t>justified.</w:t>
      </w:r>
      <w:r w:rsidR="005379A7" w:rsidRPr="009006D7">
        <w:rPr>
          <w:rStyle w:val="FootnoteReference"/>
        </w:rPr>
        <w:footnoteReference w:id="97"/>
      </w:r>
      <w:r w:rsidR="00FE6704" w:rsidRPr="00726346">
        <w:t xml:space="preserve"> </w:t>
      </w:r>
      <w:r w:rsidRPr="00F543C1">
        <w:t xml:space="preserve"> </w:t>
      </w:r>
    </w:p>
    <w:p w14:paraId="3334B803" w14:textId="77777777" w:rsidR="00853225" w:rsidRPr="00F543C1" w:rsidRDefault="00853225" w:rsidP="00853225">
      <w:pPr>
        <w:numPr>
          <w:ilvl w:val="0"/>
          <w:numId w:val="1"/>
        </w:numPr>
      </w:pPr>
      <w:r w:rsidRPr="00F543C1">
        <w:t>Consequences.</w:t>
      </w:r>
      <w:r w:rsidRPr="009006D7">
        <w:rPr>
          <w:rStyle w:val="FootnoteReference"/>
        </w:rPr>
        <w:footnoteReference w:id="98"/>
      </w:r>
      <w:r w:rsidRPr="00726346">
        <w:t xml:space="preserve"> </w:t>
      </w:r>
    </w:p>
    <w:p w14:paraId="0884084F" w14:textId="51CC70B5" w:rsidR="00853225" w:rsidRPr="00726346" w:rsidRDefault="00853225" w:rsidP="00853225">
      <w:pPr>
        <w:ind w:left="851"/>
      </w:pPr>
      <w:r w:rsidRPr="00F543C1">
        <w:t xml:space="preserve">Elsewhere, </w:t>
      </w:r>
      <w:proofErr w:type="spellStart"/>
      <w:r w:rsidRPr="00F543C1">
        <w:t>Bovens</w:t>
      </w:r>
      <w:proofErr w:type="spellEnd"/>
      <w:r w:rsidRPr="00F543C1">
        <w:t xml:space="preserve"> provides a </w:t>
      </w:r>
      <w:r w:rsidR="007D1CD0" w:rsidRPr="00F543C1">
        <w:t>much-quoted</w:t>
      </w:r>
      <w:r w:rsidR="00B51C5C" w:rsidRPr="00F543C1">
        <w:t xml:space="preserve"> </w:t>
      </w:r>
      <w:r w:rsidRPr="00F543C1">
        <w:t xml:space="preserve">definition of accountability that encapsulates </w:t>
      </w:r>
      <w:r w:rsidR="008267E2" w:rsidRPr="00F543C1">
        <w:t>all</w:t>
      </w:r>
      <w:r w:rsidRPr="00F543C1">
        <w:t xml:space="preserve"> these aspects:</w:t>
      </w:r>
      <w:r w:rsidR="001C5370" w:rsidRPr="00F543C1">
        <w:rPr>
          <w:rStyle w:val="FootnoteReference"/>
        </w:rPr>
        <w:t xml:space="preserve"> </w:t>
      </w:r>
      <w:r w:rsidR="001C5370" w:rsidRPr="009006D7">
        <w:rPr>
          <w:rStyle w:val="FootnoteReference"/>
        </w:rPr>
        <w:footnoteReference w:id="99"/>
      </w:r>
    </w:p>
    <w:p w14:paraId="4C3F8189" w14:textId="77777777" w:rsidR="00853225" w:rsidRPr="00F543C1" w:rsidRDefault="00853225" w:rsidP="00853225">
      <w:pPr>
        <w:spacing w:before="120"/>
        <w:ind w:left="1276" w:right="425"/>
        <w:rPr>
          <w:iCs/>
          <w:color w:val="30353F"/>
        </w:rPr>
      </w:pPr>
      <w:r w:rsidRPr="00F543C1">
        <w:rPr>
          <w:i/>
          <w:color w:val="30353F"/>
        </w:rPr>
        <w:t xml:space="preserve">Accountability is a relationship between an actor and a forum, in which the actor has an obligation to explain and to justify his or her conduct, the forum can pose questions and pass judgement, and the actor may face consequences. </w:t>
      </w:r>
      <w:r w:rsidRPr="00F543C1">
        <w:rPr>
          <w:iCs/>
          <w:color w:val="30353F"/>
        </w:rPr>
        <w:t>(</w:t>
      </w:r>
      <w:proofErr w:type="spellStart"/>
      <w:r w:rsidRPr="00F543C1">
        <w:rPr>
          <w:iCs/>
          <w:color w:val="30353F"/>
        </w:rPr>
        <w:t>Bovens</w:t>
      </w:r>
      <w:proofErr w:type="spellEnd"/>
      <w:r w:rsidRPr="00F543C1">
        <w:rPr>
          <w:iCs/>
          <w:color w:val="30353F"/>
        </w:rPr>
        <w:t xml:space="preserve"> 2007, 450)</w:t>
      </w:r>
    </w:p>
    <w:p w14:paraId="07D96CBB" w14:textId="77777777" w:rsidR="0033074D" w:rsidRPr="00F543C1" w:rsidRDefault="0033074D" w:rsidP="0033074D">
      <w:pPr>
        <w:ind w:left="851"/>
      </w:pPr>
      <w:r w:rsidRPr="00F543C1">
        <w:t xml:space="preserve">In this report, we will use </w:t>
      </w:r>
      <w:proofErr w:type="spellStart"/>
      <w:r w:rsidRPr="00F543C1">
        <w:t>Bovens</w:t>
      </w:r>
      <w:proofErr w:type="spellEnd"/>
      <w:r w:rsidRPr="00F543C1">
        <w:t>’ definition as the basis of our analysis.</w:t>
      </w:r>
    </w:p>
    <w:p w14:paraId="00402D78" w14:textId="1F29F058" w:rsidR="0033074D" w:rsidRPr="00F543C1" w:rsidRDefault="0033074D" w:rsidP="00CF7765">
      <w:pPr>
        <w:ind w:left="851"/>
      </w:pPr>
      <w:r w:rsidRPr="00F543C1">
        <w:t xml:space="preserve">This definition shows that accountability can be imposed in </w:t>
      </w:r>
      <w:r w:rsidR="003B6929" w:rsidRPr="00F543C1">
        <w:t>many relationships using a wide variety of mechanisms with</w:t>
      </w:r>
      <w:r w:rsidRPr="00F543C1">
        <w:t xml:space="preserve"> many different names.</w:t>
      </w:r>
    </w:p>
    <w:p w14:paraId="3C56B248" w14:textId="53BE3DE6" w:rsidR="00060AF9" w:rsidRPr="00F543C1" w:rsidRDefault="00060AF9" w:rsidP="00060AF9">
      <w:pPr>
        <w:ind w:left="851"/>
      </w:pPr>
      <w:proofErr w:type="spellStart"/>
      <w:r w:rsidRPr="00F543C1">
        <w:t>Bovens</w:t>
      </w:r>
      <w:proofErr w:type="spellEnd"/>
      <w:r w:rsidRPr="00F543C1">
        <w:t xml:space="preserve">’ idea of accountability as a forum is nested within </w:t>
      </w:r>
      <w:r w:rsidR="008A29E9" w:rsidRPr="00F543C1">
        <w:t xml:space="preserve">a particular conceptualisation of power relationships called the </w:t>
      </w:r>
      <w:r w:rsidRPr="00F543C1">
        <w:t xml:space="preserve">‘principal-agent’ theory </w:t>
      </w:r>
      <w:r w:rsidRPr="00F543C1">
        <w:fldChar w:fldCharType="begin"/>
      </w:r>
      <w:r w:rsidR="009B0EC4">
        <w:instrText xml:space="preserve"> ADDIN ZOTERO_ITEM CSL_CITATION {"citationID":"a212kktsko7","properties":{"formattedCitation":"(Steets 2010, 17)","plainCitation":"(Steets 2010, 17)","noteIndex":0},"citationItems":[{"id":17204,"uris":["http://zotero.org/groups/4801058/items/XYWME5X9"],"itemData":{"id":17204,"type":"book","call-number":"HD3871 .S74 2010","event-place":"Houndmills, Basingstoke, Hampshire; New York","ISBN":"978-0-230-23897-8","note":"OCLC: ocn635463644","number-of-pages":"264","publisher":"Palgrave Macmillan","publisher-place":"Houndmills, Basingstoke, Hampshire; New York","source":"Library of Congress ISBN","title":"Accountability in public policy partnerships","author":[{"family":"Steets","given":"Julia"}],"issued":{"date-parts":[["2010"]]}},"locator":"17","label":"page"}],"schema":"https://github.com/citation-style-language/schema/raw/master/csl-citation.json"} </w:instrText>
      </w:r>
      <w:r w:rsidRPr="00F543C1">
        <w:fldChar w:fldCharType="separate"/>
      </w:r>
      <w:r w:rsidRPr="00F543C1">
        <w:rPr>
          <w:rFonts w:cs="Calibri"/>
          <w:szCs w:val="24"/>
        </w:rPr>
        <w:t>(Steets 2010, 17)</w:t>
      </w:r>
      <w:r w:rsidRPr="00F543C1">
        <w:fldChar w:fldCharType="end"/>
      </w:r>
      <w:r w:rsidRPr="00726346">
        <w:t xml:space="preserve">. This theory is concerned with </w:t>
      </w:r>
      <w:r w:rsidRPr="00F543C1">
        <w:t>behaviours where t</w:t>
      </w:r>
      <w:r w:rsidR="003B6929" w:rsidRPr="00F543C1">
        <w:t>wo (or more) people ar</w:t>
      </w:r>
      <w:r w:rsidRPr="00F543C1">
        <w:t xml:space="preserve">e in a relationship with different levels of authority and information. The ‘principal’ has authority over their </w:t>
      </w:r>
      <w:r w:rsidRPr="00F543C1">
        <w:lastRenderedPageBreak/>
        <w:t>‘agent’, but the agent has more information about what they do th</w:t>
      </w:r>
      <w:r w:rsidR="001C5370" w:rsidRPr="00F543C1">
        <w:t>an</w:t>
      </w:r>
      <w:r w:rsidRPr="00F543C1">
        <w:t xml:space="preserve"> the principal </w:t>
      </w:r>
      <w:r w:rsidRPr="00F543C1">
        <w:fldChar w:fldCharType="begin"/>
      </w:r>
      <w:r w:rsidR="009B0EC4">
        <w:instrText xml:space="preserve"> ADDIN ZOTERO_ITEM CSL_CITATION {"citationID":"a1fpeamoq3q","properties":{"formattedCitation":"(Miller 2005, 203)","plainCitation":"(Miller 2005, 203)","noteIndex":0},"citationItems":[{"id":17236,"uris":["http://zotero.org/groups/4801058/items/2V5T2QY7"],"itemData":{"id":17236,"type":"article-journal","abstract":"With tools borrowed from the economic analysis of insurance, principal-agency theory has allowed political scientists new insights into the role of information asymmetry and incentives in political relationships. It has given us a way to think formally about power as the modification of incentives to induce actions in the interests of the principal. Principal-agency theory has evolved significantly as political scientists have sought to make it more applicable to peculiarly political institutions. In congressional oversight of the bureaucracy, increasing emphasis has been placed on negotiation of administrative procedures, rather than the imposition of outcome-based incentives, as originally conceived. Awareness of the problem of credible commitment has impelled more dramatic reformulations, in which agents perform their function only when their interests conflict with those of the principal, and they are guaranteed some degree of autonomy. The ‘political master’ finds himself in the position of the ‘dilettante’ who stands opposite the ‘expert,’ facing the trained official who stands within the management of administration. (Weber 1958)","container-title":"Annual Review of Political Science","DOI":"10.1146/annurev.polisci.8.082103.104840","issue":"1","note":"_eprint: https://doi.org/10.1146/annurev.polisci.8.082103.104840","page":"203-225","source":"Annual Reviews","title":"The Political Evolution of Principal-Agent Models","volume":"8","author":[{"family":"Miller","given":"Gary J."}],"issued":{"date-parts":[["2005"]]}},"locator":"203","label":"page"}],"schema":"https://github.com/citation-style-language/schema/raw/master/csl-citation.json"} </w:instrText>
      </w:r>
      <w:r w:rsidRPr="00F543C1">
        <w:fldChar w:fldCharType="separate"/>
      </w:r>
      <w:r w:rsidRPr="00F543C1">
        <w:rPr>
          <w:rFonts w:cs="Calibri"/>
          <w:szCs w:val="24"/>
        </w:rPr>
        <w:t>(Miller 2005, 203)</w:t>
      </w:r>
      <w:r w:rsidRPr="00F543C1">
        <w:fldChar w:fldCharType="end"/>
      </w:r>
      <w:r w:rsidRPr="00726346">
        <w:t>.</w:t>
      </w:r>
      <w:r w:rsidRPr="009006D7">
        <w:rPr>
          <w:rStyle w:val="FootnoteReference"/>
        </w:rPr>
        <w:footnoteReference w:id="100"/>
      </w:r>
      <w:r w:rsidRPr="00726346">
        <w:t xml:space="preserve"> </w:t>
      </w:r>
    </w:p>
    <w:p w14:paraId="01410F1C" w14:textId="3285061E" w:rsidR="00060AF9" w:rsidRPr="00726346" w:rsidRDefault="00060AF9" w:rsidP="00060AF9">
      <w:pPr>
        <w:pStyle w:val="Quotation"/>
      </w:pPr>
      <w:r w:rsidRPr="00F543C1">
        <w:t xml:space="preserve">In </w:t>
      </w:r>
      <w:proofErr w:type="gramStart"/>
      <w:r w:rsidRPr="00F543C1">
        <w:t>principal</w:t>
      </w:r>
      <w:proofErr w:type="gramEnd"/>
      <w:r w:rsidRPr="00F543C1">
        <w:t xml:space="preserve">-agent models, some actor (or group of actors) called an agent undertakes an action on behalf of another actor (or group of actors) called a principal. The principal, for its part, can make decisions that affect the </w:t>
      </w:r>
      <w:r w:rsidRPr="00F543C1">
        <w:rPr>
          <w:color w:val="auto"/>
        </w:rPr>
        <w:t xml:space="preserve">incentives of the agent to take any of its various possible actions. This process of structuring incentives </w:t>
      </w:r>
      <w:r w:rsidRPr="00F543C1">
        <w:t xml:space="preserve">for the agent is the central focus of principal agent theory. The decisions made by the principal that structure the agent’s incentives to take various actions constitute a contract, in the language of principal-agent theory, and principal-agent theory is often taken as a specific area of contract theory more generally. </w:t>
      </w:r>
      <w:r w:rsidRPr="00F543C1">
        <w:rPr>
          <w:i w:val="0"/>
          <w:iCs/>
        </w:rPr>
        <w:fldChar w:fldCharType="begin"/>
      </w:r>
      <w:r w:rsidR="009B0EC4">
        <w:rPr>
          <w:i w:val="0"/>
          <w:iCs/>
        </w:rPr>
        <w:instrText xml:space="preserve"> ADDIN ZOTERO_ITEM CSL_CITATION {"citationID":"wzPke3Rj","properties":{"formattedCitation":"(Gailmard 2012, 3)","plainCitation":"(Gailmard 2012, 3)","noteIndex":0},"citationItems":[{"id":17283,"uris":["http://zotero.org/groups/4801058/items/XNMJKVQ7"],"itemData":{"id":17283,"type":"chapter","container-title":"Oxford Handbook of Public Accountability","title":"Accountability and Principal-Agent Models","author":[{"family":"Gailmard","given":"Sean"}],"issued":{"date-parts":[["2012"]]}},"locator":"3","label":"page"}],"schema":"https://github.com/citation-style-language/schema/raw/master/csl-citation.json"} </w:instrText>
      </w:r>
      <w:r w:rsidRPr="00F543C1">
        <w:rPr>
          <w:i w:val="0"/>
          <w:iCs/>
        </w:rPr>
        <w:fldChar w:fldCharType="separate"/>
      </w:r>
      <w:r w:rsidRPr="00F543C1">
        <w:rPr>
          <w:rFonts w:cs="Calibri"/>
          <w:i w:val="0"/>
          <w:iCs/>
        </w:rPr>
        <w:t>(Gailmard 2012, 3)</w:t>
      </w:r>
      <w:r w:rsidRPr="00F543C1">
        <w:rPr>
          <w:i w:val="0"/>
          <w:iCs/>
        </w:rPr>
        <w:fldChar w:fldCharType="end"/>
      </w:r>
    </w:p>
    <w:p w14:paraId="01D10500" w14:textId="77777777" w:rsidR="00406F9C" w:rsidRPr="00F543C1" w:rsidRDefault="00406F9C" w:rsidP="00406F9C">
      <w:pPr>
        <w:ind w:left="851"/>
      </w:pPr>
      <w:r w:rsidRPr="00F543C1">
        <w:t xml:space="preserve">In </w:t>
      </w:r>
      <w:proofErr w:type="spellStart"/>
      <w:r w:rsidRPr="00F543C1">
        <w:t>Bovens</w:t>
      </w:r>
      <w:proofErr w:type="spellEnd"/>
      <w:r w:rsidRPr="00F543C1">
        <w:t xml:space="preserve">’ framework, the principal needs to have a mechanism in place to ensure that their agent’s interests are aligned with their own. He uses the name ‘accountability’ to describe that mechanism. </w:t>
      </w:r>
    </w:p>
    <w:p w14:paraId="7EDACF82" w14:textId="790977C5" w:rsidR="001C5370" w:rsidRPr="00F543C1" w:rsidRDefault="005B382A" w:rsidP="00060AF9">
      <w:pPr>
        <w:ind w:left="851"/>
      </w:pPr>
      <w:r w:rsidRPr="00F543C1">
        <w:rPr>
          <w:rFonts w:cs="Calibri"/>
        </w:rPr>
        <w:t>This power relationship-based model is particularly suited to analysi</w:t>
      </w:r>
      <w:r w:rsidR="001C5370" w:rsidRPr="00F543C1">
        <w:rPr>
          <w:rFonts w:cs="Calibri"/>
        </w:rPr>
        <w:t>ng</w:t>
      </w:r>
      <w:r w:rsidRPr="00F543C1">
        <w:rPr>
          <w:rFonts w:cs="Calibri"/>
        </w:rPr>
        <w:t xml:space="preserve"> accountability within </w:t>
      </w:r>
      <w:r w:rsidR="001C5370" w:rsidRPr="00F543C1">
        <w:rPr>
          <w:rFonts w:cs="Calibri"/>
        </w:rPr>
        <w:t xml:space="preserve">the </w:t>
      </w:r>
      <w:r w:rsidRPr="00F543C1">
        <w:rPr>
          <w:rFonts w:cs="Calibri"/>
        </w:rPr>
        <w:t xml:space="preserve">hierarchical structures </w:t>
      </w:r>
      <w:r w:rsidR="001C5370" w:rsidRPr="00F543C1">
        <w:rPr>
          <w:rFonts w:cs="Calibri"/>
        </w:rPr>
        <w:t xml:space="preserve">and </w:t>
      </w:r>
      <w:r w:rsidRPr="00F543C1">
        <w:rPr>
          <w:rFonts w:cs="Calibri"/>
        </w:rPr>
        <w:t>organisations commonly found in the public sector</w:t>
      </w:r>
      <w:r w:rsidR="00F901AC" w:rsidRPr="00F543C1">
        <w:rPr>
          <w:rFonts w:cs="Calibri"/>
        </w:rPr>
        <w:t>.</w:t>
      </w:r>
      <w:r w:rsidR="00302D2C" w:rsidRPr="009006D7">
        <w:rPr>
          <w:rStyle w:val="FootnoteReference"/>
        </w:rPr>
        <w:footnoteReference w:id="101"/>
      </w:r>
      <w:r w:rsidR="00015492" w:rsidRPr="00726346">
        <w:rPr>
          <w:rFonts w:cs="Calibri"/>
        </w:rPr>
        <w:t xml:space="preserve"> </w:t>
      </w:r>
      <w:r w:rsidRPr="00F543C1">
        <w:rPr>
          <w:rFonts w:cs="Calibri"/>
        </w:rPr>
        <w:t xml:space="preserve">Ciarán O’Kelly and Mel </w:t>
      </w:r>
      <w:proofErr w:type="spellStart"/>
      <w:r w:rsidRPr="00F543C1">
        <w:rPr>
          <w:rFonts w:cs="Calibri"/>
        </w:rPr>
        <w:t>Dubnick</w:t>
      </w:r>
      <w:proofErr w:type="spellEnd"/>
      <w:r w:rsidRPr="00F543C1">
        <w:rPr>
          <w:rFonts w:cs="Calibri"/>
        </w:rPr>
        <w:t xml:space="preserve">, however, point out that </w:t>
      </w:r>
      <w:r w:rsidR="00147687" w:rsidRPr="00F543C1">
        <w:rPr>
          <w:rFonts w:cs="Calibri"/>
        </w:rPr>
        <w:t>many other sorts of relationship</w:t>
      </w:r>
      <w:r w:rsidR="00B26F3B">
        <w:rPr>
          <w:rFonts w:cs="Calibri"/>
        </w:rPr>
        <w:t>s</w:t>
      </w:r>
      <w:r w:rsidR="00147687" w:rsidRPr="00F543C1">
        <w:rPr>
          <w:rFonts w:cs="Calibri"/>
        </w:rPr>
        <w:t xml:space="preserve"> in any society can give rise to</w:t>
      </w:r>
      <w:r w:rsidRPr="00F543C1">
        <w:rPr>
          <w:rFonts w:cs="Calibri"/>
        </w:rPr>
        <w:t xml:space="preserve"> accountability-type obligations. These relationships do not have the information asymmetries and preference differences that </w:t>
      </w:r>
      <w:r w:rsidR="00124FFD" w:rsidRPr="00F543C1">
        <w:rPr>
          <w:rFonts w:cs="Calibri"/>
        </w:rPr>
        <w:t xml:space="preserve">apply </w:t>
      </w:r>
      <w:r w:rsidRPr="00F543C1">
        <w:rPr>
          <w:rFonts w:cs="Calibri"/>
        </w:rPr>
        <w:t>under principal</w:t>
      </w:r>
      <w:r w:rsidR="00A6521A" w:rsidRPr="00F543C1">
        <w:rPr>
          <w:rFonts w:cs="Calibri"/>
        </w:rPr>
        <w:t>-</w:t>
      </w:r>
      <w:r w:rsidRPr="00F543C1">
        <w:rPr>
          <w:rFonts w:cs="Calibri"/>
        </w:rPr>
        <w:t>agent relationships. On</w:t>
      </w:r>
      <w:r w:rsidR="003608F0" w:rsidRPr="00F543C1">
        <w:rPr>
          <w:rFonts w:cs="Calibri"/>
        </w:rPr>
        <w:t>e</w:t>
      </w:r>
      <w:r w:rsidRPr="00F543C1">
        <w:rPr>
          <w:rFonts w:cs="Calibri"/>
        </w:rPr>
        <w:t xml:space="preserve"> </w:t>
      </w:r>
      <w:r w:rsidR="00406F9C" w:rsidRPr="00F543C1">
        <w:rPr>
          <w:rFonts w:cs="Calibri"/>
        </w:rPr>
        <w:t>example</w:t>
      </w:r>
      <w:r w:rsidRPr="00F543C1">
        <w:rPr>
          <w:rFonts w:cs="Calibri"/>
        </w:rPr>
        <w:t xml:space="preserve"> is the relationship </w:t>
      </w:r>
      <w:r w:rsidR="003608F0" w:rsidRPr="00F543C1">
        <w:rPr>
          <w:rFonts w:cs="Calibri"/>
        </w:rPr>
        <w:t xml:space="preserve">between people engaged in trade. </w:t>
      </w:r>
      <w:r w:rsidR="00060AF9" w:rsidRPr="00F543C1">
        <w:t xml:space="preserve">Rather than overcoming a particular problem (different preferences between principals and agents), parties </w:t>
      </w:r>
      <w:r w:rsidR="002301D3" w:rsidRPr="00F543C1">
        <w:t>seek</w:t>
      </w:r>
      <w:r w:rsidR="00060AF9" w:rsidRPr="00F543C1">
        <w:t xml:space="preserve"> to achieve a mutually beneficial relationship</w:t>
      </w:r>
      <w:r w:rsidRPr="00F543C1">
        <w:t>.</w:t>
      </w:r>
      <w:r w:rsidR="00060AF9" w:rsidRPr="00F543C1">
        <w:t xml:space="preserve"> </w:t>
      </w:r>
      <w:r w:rsidR="003608F0" w:rsidRPr="00F543C1">
        <w:t>Both parties gain and have incentives to hold each other to the deal</w:t>
      </w:r>
      <w:r w:rsidR="00406F9C" w:rsidRPr="00F543C1">
        <w:t xml:space="preserve"> they have struck</w:t>
      </w:r>
      <w:r w:rsidR="003608F0" w:rsidRPr="00F543C1">
        <w:t xml:space="preserve">. </w:t>
      </w:r>
    </w:p>
    <w:p w14:paraId="1895DDAC" w14:textId="38EC38B9" w:rsidR="003608F0" w:rsidRPr="00F543C1" w:rsidRDefault="003608F0" w:rsidP="00060AF9">
      <w:pPr>
        <w:ind w:left="851"/>
      </w:pPr>
      <w:r w:rsidRPr="00F543C1">
        <w:t>Norms and institutions play an important role here. There are also material differences between one-off transactions and repeat business. People will invest more in building trust when they are in a long-standing relationship</w:t>
      </w:r>
      <w:r w:rsidR="001C5370" w:rsidRPr="00F543C1">
        <w:t>:</w:t>
      </w:r>
      <w:r w:rsidRPr="00F543C1">
        <w:t xml:space="preserve"> </w:t>
      </w:r>
    </w:p>
    <w:p w14:paraId="1C20AEB5" w14:textId="0795DF43" w:rsidR="00060AF9" w:rsidRPr="00F543C1" w:rsidRDefault="00060AF9" w:rsidP="00060AF9">
      <w:pPr>
        <w:spacing w:before="120" w:line="240" w:lineRule="auto"/>
        <w:ind w:left="1440"/>
        <w:rPr>
          <w:i/>
          <w:iCs/>
        </w:rPr>
      </w:pPr>
      <w:r w:rsidRPr="00F543C1">
        <w:rPr>
          <w:i/>
          <w:iCs/>
        </w:rPr>
        <w:t>Our point is that an understanding of accountability must entail an understanding of the ground-level environment through which people construct their fields of action. Those environments involve the construction, management and maintenance of both thick and thin relationships between people and most importantly they are the substrate through which the productive character of work emerges</w:t>
      </w:r>
      <w:r w:rsidR="003608F0" w:rsidRPr="00F543C1">
        <w:rPr>
          <w:i/>
          <w:iCs/>
        </w:rPr>
        <w:t xml:space="preserve">. </w:t>
      </w:r>
      <w:r w:rsidR="003608F0" w:rsidRPr="00F543C1">
        <w:rPr>
          <w:i/>
          <w:iCs/>
        </w:rPr>
        <w:fldChar w:fldCharType="begin"/>
      </w:r>
      <w:r w:rsidR="009B0EC4">
        <w:rPr>
          <w:i/>
          <w:iCs/>
        </w:rPr>
        <w:instrText xml:space="preserve"> ADDIN ZOTERO_ITEM CSL_CITATION {"citationID":"yIrFXxZF","properties":{"formattedCitation":"(O\\uc0\\u8217{}Kelly and Dubnick 2020, 71)","plainCitation":"(O’Kelly and Dubnick 2020, 71)","noteIndex":0},"citationItems":[{"id":16082,"uris":["http://zotero.org/groups/4801058/items/4ZVCRV6T"],"itemData":{"id":16082,"type":"chapter","abstract":"In this chapter, we address the many different meanings that accountability harbors and examine the effects of such complex and multifaceted interpretations in the light of governance quality. We seek to develop a ‘relational’ perspective on accountability and on the so-called ‘unaccountability.’ We focus on Mark Bovens’s use of the forum metaphor in his accountability model, arguing that his relational perspective is too narrow. We advocate instead a far broader and more fundamental engagement with the idea of relational accountability. Expanding the metaphors, we point to two other accountability spaces: ‘agora,’ a primordial accountability space and ‘bazaar,’ an emergent accountability space rooted in ground-level exchange between different actors. Assertions about ‘unaccountability,’ we argue, very often reflect a failure to appreciate the fundamentally relational nature of accountability: those who use such assertions as bases for action aimed at making situations, processes, or people ‘more accountable’ in fact seek to assert or impose a certain form of relationship—one that is hierarchical and monopolistic—and reflect therefore a drive to power and domination. This represents a violation of accountability at the cost of the overall quality of governance.","container-title":"Quality of Governance: Values and Violations","event-place":"Cham","ISBN":"978-3-030-21522-4","language":"en","note":"DOI: 10.1007/978-3-030-21522-4_3","page":"45-79","publisher":"Springer International Publishing","publisher-place":"Cham","source":"Springer Link","title":"Dissecting the Semantics of Accountability and Its Misuse","URL":"https://doi.org/10.1007/978-3-030-21522-4_3","author":[{"family":"O’Kelly","given":"Ciarán"},{"family":"Dubnick","given":"Melvin J."}],"editor":[{"family":"Paanakker","given":"Hester"},{"family":"Masters","given":"Adam"},{"family":"Huberts","given":"Leo"}],"accessed":{"date-parts":[["2022",9,20]]},"issued":{"date-parts":[["2020"]]}},"locator":"71","label":"page"}],"schema":"https://github.com/citation-style-language/schema/raw/master/csl-citation.json"} </w:instrText>
      </w:r>
      <w:r w:rsidR="003608F0" w:rsidRPr="00F543C1">
        <w:rPr>
          <w:i/>
          <w:iCs/>
        </w:rPr>
        <w:fldChar w:fldCharType="separate"/>
      </w:r>
      <w:r w:rsidR="003608F0" w:rsidRPr="00F543C1">
        <w:rPr>
          <w:rFonts w:cs="Calibri"/>
          <w:szCs w:val="24"/>
        </w:rPr>
        <w:t>(O’Kelly and Dubnick 2020, 71)</w:t>
      </w:r>
      <w:r w:rsidR="003608F0" w:rsidRPr="00F543C1">
        <w:rPr>
          <w:i/>
          <w:iCs/>
        </w:rPr>
        <w:fldChar w:fldCharType="end"/>
      </w:r>
      <w:r w:rsidRPr="00726346">
        <w:rPr>
          <w:i/>
          <w:iCs/>
        </w:rPr>
        <w:t xml:space="preserve"> </w:t>
      </w:r>
    </w:p>
    <w:p w14:paraId="004EFDCD" w14:textId="2A46E1BA" w:rsidR="00060AF9" w:rsidRPr="00F543C1" w:rsidRDefault="0033074D" w:rsidP="00CF7765">
      <w:pPr>
        <w:ind w:left="851"/>
      </w:pPr>
      <w:r w:rsidRPr="00F543C1">
        <w:t>We will expand on the role of different types of relationships when</w:t>
      </w:r>
      <w:r w:rsidR="00F327E7" w:rsidRPr="00F543C1">
        <w:t xml:space="preserve"> we discuss the role of the environment in which NGOs operate in promoting accountability </w:t>
      </w:r>
      <w:r w:rsidR="00CE765E" w:rsidRPr="00F543C1">
        <w:t xml:space="preserve">– </w:t>
      </w:r>
      <w:r w:rsidR="00F327E7" w:rsidRPr="00F543C1">
        <w:t xml:space="preserve">‘network accountability’ </w:t>
      </w:r>
      <w:r w:rsidR="00CE765E" w:rsidRPr="00F543C1">
        <w:t>– in</w:t>
      </w:r>
      <w:r w:rsidR="00F327E7" w:rsidRPr="00F543C1">
        <w:t xml:space="preserve"> </w:t>
      </w:r>
      <w:r w:rsidR="001C5370" w:rsidRPr="00F543C1">
        <w:t>s</w:t>
      </w:r>
      <w:r w:rsidR="00F327E7" w:rsidRPr="00F543C1">
        <w:t xml:space="preserve">ection </w:t>
      </w:r>
      <w:r w:rsidR="00F327E7" w:rsidRPr="00F543C1">
        <w:fldChar w:fldCharType="begin"/>
      </w:r>
      <w:r w:rsidR="00F327E7" w:rsidRPr="00F543C1">
        <w:instrText xml:space="preserve"> REF _Ref124683405 \r \h </w:instrText>
      </w:r>
      <w:r w:rsidR="000177FE" w:rsidRPr="00F543C1">
        <w:instrText xml:space="preserve"> \* MERGEFORMAT </w:instrText>
      </w:r>
      <w:r w:rsidR="00F327E7" w:rsidRPr="00F543C1">
        <w:fldChar w:fldCharType="separate"/>
      </w:r>
      <w:r w:rsidR="00E06351">
        <w:t>3.7.1</w:t>
      </w:r>
      <w:r w:rsidR="00F327E7" w:rsidRPr="00F543C1">
        <w:fldChar w:fldCharType="end"/>
      </w:r>
      <w:r w:rsidR="00F327E7" w:rsidRPr="00726346">
        <w:t xml:space="preserve"> and the role of workers at the coalface of assisting people experiencing persistent disadvantage </w:t>
      </w:r>
      <w:r w:rsidR="00CE765E" w:rsidRPr="00F543C1">
        <w:t>–</w:t>
      </w:r>
      <w:r w:rsidR="00CE765E" w:rsidRPr="00F543C1" w:rsidDel="00CE765E">
        <w:t xml:space="preserve"> </w:t>
      </w:r>
      <w:r w:rsidR="00F327E7" w:rsidRPr="00F543C1">
        <w:t>‘front-line staff</w:t>
      </w:r>
      <w:r w:rsidR="003F46B4">
        <w:t>’</w:t>
      </w:r>
      <w:r w:rsidR="00F327E7" w:rsidRPr="00F543C1">
        <w:t xml:space="preserve"> –</w:t>
      </w:r>
      <w:r w:rsidR="00147E48" w:rsidRPr="00F543C1">
        <w:t xml:space="preserve"> in</w:t>
      </w:r>
      <w:r w:rsidR="00F327E7" w:rsidRPr="00F543C1">
        <w:t xml:space="preserve"> </w:t>
      </w:r>
      <w:r w:rsidR="001C5370" w:rsidRPr="00F543C1">
        <w:t>s</w:t>
      </w:r>
      <w:r w:rsidR="00F327E7" w:rsidRPr="00F543C1">
        <w:t xml:space="preserve">ection </w:t>
      </w:r>
      <w:r w:rsidR="00F327E7" w:rsidRPr="00F543C1">
        <w:fldChar w:fldCharType="begin"/>
      </w:r>
      <w:r w:rsidR="00F327E7" w:rsidRPr="00F543C1">
        <w:instrText xml:space="preserve"> REF _Ref124683501 \r \h </w:instrText>
      </w:r>
      <w:r w:rsidR="000177FE" w:rsidRPr="00F543C1">
        <w:instrText xml:space="preserve"> \* MERGEFORMAT </w:instrText>
      </w:r>
      <w:r w:rsidR="00F327E7" w:rsidRPr="00F543C1">
        <w:fldChar w:fldCharType="separate"/>
      </w:r>
      <w:r w:rsidR="00E06351">
        <w:t>3.7.2</w:t>
      </w:r>
      <w:r w:rsidR="00F327E7" w:rsidRPr="00F543C1">
        <w:fldChar w:fldCharType="end"/>
      </w:r>
      <w:r w:rsidR="00F327E7" w:rsidRPr="00726346">
        <w:t xml:space="preserve">. </w:t>
      </w:r>
    </w:p>
    <w:p w14:paraId="35D2965C" w14:textId="0B31B05F" w:rsidR="00853225" w:rsidRPr="00F543C1" w:rsidRDefault="00853225" w:rsidP="00853225">
      <w:pPr>
        <w:pStyle w:val="Heading2"/>
      </w:pPr>
      <w:bookmarkStart w:id="123" w:name="_Ref124868159"/>
      <w:bookmarkStart w:id="124" w:name="_Ref124951727"/>
      <w:bookmarkStart w:id="125" w:name="_Ref124963926"/>
      <w:bookmarkStart w:id="126" w:name="_Toc126092108"/>
      <w:bookmarkStart w:id="127" w:name="_Toc126841211"/>
      <w:r w:rsidRPr="00F543C1">
        <w:lastRenderedPageBreak/>
        <w:t>The purpose of accountability</w:t>
      </w:r>
      <w:bookmarkEnd w:id="123"/>
      <w:bookmarkEnd w:id="124"/>
      <w:bookmarkEnd w:id="125"/>
      <w:bookmarkEnd w:id="126"/>
      <w:bookmarkEnd w:id="127"/>
    </w:p>
    <w:p w14:paraId="6027403F" w14:textId="050EEF1D" w:rsidR="00853225" w:rsidRPr="00F543C1" w:rsidRDefault="00CF7765" w:rsidP="00CF7765">
      <w:pPr>
        <w:ind w:left="851"/>
      </w:pPr>
      <w:r w:rsidRPr="00F543C1">
        <w:t xml:space="preserve">While </w:t>
      </w:r>
      <w:r w:rsidR="00853225" w:rsidRPr="00F543C1">
        <w:t>these definition</w:t>
      </w:r>
      <w:r w:rsidR="00406F9C" w:rsidRPr="00F543C1">
        <w:t>s</w:t>
      </w:r>
      <w:r w:rsidR="00853225" w:rsidRPr="00F543C1">
        <w:t xml:space="preserve"> </w:t>
      </w:r>
      <w:r w:rsidR="00F3701C" w:rsidRPr="00F543C1">
        <w:t xml:space="preserve">provide a </w:t>
      </w:r>
      <w:r w:rsidR="00853225" w:rsidRPr="00F543C1">
        <w:t xml:space="preserve">useful </w:t>
      </w:r>
      <w:r w:rsidR="00595375" w:rsidRPr="00F543C1">
        <w:t>description of</w:t>
      </w:r>
      <w:r w:rsidR="00F3701C" w:rsidRPr="00F543C1">
        <w:t xml:space="preserve"> an </w:t>
      </w:r>
      <w:r w:rsidRPr="00F543C1">
        <w:t xml:space="preserve">accountability </w:t>
      </w:r>
      <w:r w:rsidR="00F3701C" w:rsidRPr="00F543C1">
        <w:t>system</w:t>
      </w:r>
      <w:r w:rsidR="00F0672A" w:rsidRPr="00F543C1">
        <w:t>,</w:t>
      </w:r>
      <w:r w:rsidRPr="00F543C1">
        <w:t xml:space="preserve"> they do not address the purpose of accountability or</w:t>
      </w:r>
      <w:r w:rsidR="00F0672A" w:rsidRPr="00F543C1">
        <w:t xml:space="preserve"> explain</w:t>
      </w:r>
      <w:r w:rsidRPr="00F543C1">
        <w:t xml:space="preserve"> why it is important. </w:t>
      </w:r>
    </w:p>
    <w:p w14:paraId="6BA1F5D2" w14:textId="62AF8F23" w:rsidR="00CF7765" w:rsidRPr="00F543C1" w:rsidRDefault="00CF7765" w:rsidP="00CF7765">
      <w:pPr>
        <w:ind w:left="851"/>
      </w:pPr>
      <w:r w:rsidRPr="00F543C1">
        <w:t xml:space="preserve">In the context of this study, we need to </w:t>
      </w:r>
      <w:r w:rsidR="0033074D" w:rsidRPr="00F543C1">
        <w:t xml:space="preserve">go back to first principles and </w:t>
      </w:r>
      <w:r w:rsidRPr="00F543C1">
        <w:t>understand the role of accountability in improving the lives of the diverse range of people experiencing or at risk of experiencing persistent disadvantage in Aotearoa today.</w:t>
      </w:r>
      <w:r w:rsidRPr="00726346">
        <w:t xml:space="preserve"> We need to have tools that tell us whether any </w:t>
      </w:r>
      <w:proofErr w:type="gramStart"/>
      <w:r w:rsidRPr="00726346">
        <w:t>particular accountability</w:t>
      </w:r>
      <w:proofErr w:type="gramEnd"/>
      <w:r w:rsidRPr="00726346">
        <w:t xml:space="preserve"> s</w:t>
      </w:r>
      <w:r w:rsidRPr="00F543C1">
        <w:t xml:space="preserve">ystem is doing its </w:t>
      </w:r>
      <w:r w:rsidR="00F3701C" w:rsidRPr="00F543C1">
        <w:t xml:space="preserve">intended </w:t>
      </w:r>
      <w:r w:rsidRPr="00F543C1">
        <w:t xml:space="preserve">job. </w:t>
      </w:r>
    </w:p>
    <w:p w14:paraId="3F605DEB" w14:textId="0EA2C8CC" w:rsidR="00CF7765" w:rsidRPr="00F543C1" w:rsidRDefault="00CF7765" w:rsidP="00CF7765">
      <w:pPr>
        <w:keepNext/>
        <w:keepLines/>
        <w:ind w:left="851"/>
      </w:pPr>
      <w:r w:rsidRPr="00F543C1">
        <w:t xml:space="preserve">Aucoin and </w:t>
      </w:r>
      <w:proofErr w:type="spellStart"/>
      <w:r w:rsidRPr="00F543C1">
        <w:t>Heintzman</w:t>
      </w:r>
      <w:proofErr w:type="spellEnd"/>
      <w:r w:rsidRPr="00F543C1">
        <w:t xml:space="preserve"> suggest that</w:t>
      </w:r>
      <w:r w:rsidR="00F13A16">
        <w:t>:</w:t>
      </w:r>
    </w:p>
    <w:p w14:paraId="6EFFD81C" w14:textId="679C99D4" w:rsidR="00CF7765" w:rsidRPr="00F543C1" w:rsidRDefault="00CF7765" w:rsidP="00CF7765">
      <w:pPr>
        <w:keepNext/>
        <w:keepLines/>
        <w:spacing w:before="120"/>
        <w:ind w:left="1276" w:right="425"/>
        <w:rPr>
          <w:i/>
          <w:color w:val="30353F"/>
        </w:rPr>
      </w:pPr>
      <w:r w:rsidRPr="00F543C1">
        <w:rPr>
          <w:i/>
          <w:color w:val="30353F"/>
        </w:rPr>
        <w:t xml:space="preserve">The purposes that accountability </w:t>
      </w:r>
      <w:proofErr w:type="gramStart"/>
      <w:r w:rsidRPr="00F543C1">
        <w:rPr>
          <w:i/>
          <w:color w:val="30353F"/>
        </w:rPr>
        <w:t>are</w:t>
      </w:r>
      <w:proofErr w:type="gramEnd"/>
      <w:r w:rsidRPr="00F543C1">
        <w:rPr>
          <w:i/>
          <w:color w:val="30353F"/>
        </w:rPr>
        <w:t xml:space="preserve"> meant to serve are essentially threefold, although they overlap in several ways. The first is to control for the abuse and misuse of public authority. The second is to provide assurance in respect to the use of public resources and adherence to the law and public service values. The third is to encourage and promote learning in pursuit of continuous improvement in governance and public management. </w:t>
      </w:r>
      <w:r w:rsidRPr="00F543C1">
        <w:rPr>
          <w:color w:val="30353F"/>
        </w:rPr>
        <w:fldChar w:fldCharType="begin"/>
      </w:r>
      <w:r w:rsidR="009B0EC4">
        <w:rPr>
          <w:color w:val="30353F"/>
        </w:rPr>
        <w:instrText xml:space="preserve"> ADDIN ZOTERO_ITEM CSL_CITATION {"citationID":"Edzhf4l9","properties":{"formattedCitation":"(Aucoin and Heintzman 2000, 45)","plainCitation":"(Aucoin and Heintzman 2000, 45)","noteIndex":0},"citationItems":[{"id":16683,"uris":["http://zotero.org/groups/4801058/items/4ST2HGKV"],"itemData":{"id":16683,"type":"article-journal","container-title":"International review of administrative sciences","issue":"1","note":"publisher: Sage Publications London, Thousand Oaks, CA and New Delhi","page":"45–55","source":"Google Scholar","title":"The dialectics of accountability for performance in public management reform","volume":"66","author":[{"family":"Aucoin","given":"Peter"},{"family":"Heintzman","given":"Ralph"}],"issued":{"date-parts":[["2000"]]}},"locator":"45","label":"page"}],"schema":"https://github.com/citation-style-language/schema/raw/master/csl-citation.json"} </w:instrText>
      </w:r>
      <w:r w:rsidRPr="00F543C1">
        <w:rPr>
          <w:color w:val="30353F"/>
        </w:rPr>
        <w:fldChar w:fldCharType="separate"/>
      </w:r>
      <w:r w:rsidRPr="00F543C1">
        <w:rPr>
          <w:color w:val="30353F"/>
        </w:rPr>
        <w:t>(Aucoin and Heintzman 2000, 45)</w:t>
      </w:r>
      <w:r w:rsidRPr="00F543C1">
        <w:rPr>
          <w:color w:val="30353F"/>
        </w:rPr>
        <w:fldChar w:fldCharType="end"/>
      </w:r>
    </w:p>
    <w:p w14:paraId="68129EE8" w14:textId="77777777" w:rsidR="00CF7765" w:rsidRPr="00F543C1" w:rsidRDefault="00CF7765" w:rsidP="00CF7765">
      <w:pPr>
        <w:ind w:left="851"/>
      </w:pPr>
      <w:r w:rsidRPr="00F543C1">
        <w:t>From this, we can see that accountability has three dimensions:</w:t>
      </w:r>
    </w:p>
    <w:p w14:paraId="2D672A7C" w14:textId="554E8962" w:rsidR="00CF7765" w:rsidRPr="00F543C1" w:rsidRDefault="00CF7765" w:rsidP="00CF7765">
      <w:pPr>
        <w:pStyle w:val="USBullet1"/>
      </w:pPr>
      <w:r w:rsidRPr="00F543C1">
        <w:t xml:space="preserve">ensuring that individuals and organisations are held responsible for their actions and decisions, and are not able to avoid or evade responsibility for any negative </w:t>
      </w:r>
      <w:proofErr w:type="gramStart"/>
      <w:r w:rsidRPr="00F543C1">
        <w:t>outcomes</w:t>
      </w:r>
      <w:proofErr w:type="gramEnd"/>
      <w:r w:rsidR="002050F2" w:rsidRPr="00F543C1">
        <w:t xml:space="preserve"> </w:t>
      </w:r>
    </w:p>
    <w:p w14:paraId="69D5A8B7" w14:textId="77777777" w:rsidR="00CF7765" w:rsidRPr="00F543C1" w:rsidRDefault="00CF7765" w:rsidP="00CF7765">
      <w:pPr>
        <w:pStyle w:val="USBullet1"/>
      </w:pPr>
      <w:r w:rsidRPr="00F543C1">
        <w:t xml:space="preserve">promoting transparency, </w:t>
      </w:r>
      <w:proofErr w:type="gramStart"/>
      <w:r w:rsidRPr="00F543C1">
        <w:t>honesty</w:t>
      </w:r>
      <w:proofErr w:type="gramEnd"/>
      <w:r w:rsidRPr="00F543C1">
        <w:t xml:space="preserve"> and ethical behaviour, and</w:t>
      </w:r>
    </w:p>
    <w:p w14:paraId="44B6743C" w14:textId="77777777" w:rsidR="00CF7765" w:rsidRPr="00F543C1" w:rsidRDefault="00CF7765" w:rsidP="00CF7765">
      <w:pPr>
        <w:pStyle w:val="USBullet1"/>
      </w:pPr>
      <w:r w:rsidRPr="00F543C1">
        <w:t>promoting learning at a system, organisation, and individual level.</w:t>
      </w:r>
    </w:p>
    <w:p w14:paraId="2695F006" w14:textId="7AA0BC8E" w:rsidR="00CF7765" w:rsidRPr="00F543C1" w:rsidRDefault="00CF7765" w:rsidP="00CF7765">
      <w:pPr>
        <w:ind w:left="851"/>
      </w:pPr>
      <w:r w:rsidRPr="00F543C1">
        <w:t xml:space="preserve">Mark </w:t>
      </w:r>
      <w:proofErr w:type="spellStart"/>
      <w:r w:rsidRPr="00F543C1">
        <w:t>Bovens</w:t>
      </w:r>
      <w:proofErr w:type="spellEnd"/>
      <w:r w:rsidRPr="00F543C1">
        <w:t xml:space="preserve"> and his co-authors </w:t>
      </w:r>
      <w:r w:rsidR="00057743" w:rsidRPr="00F543C1">
        <w:t xml:space="preserve">refer to </w:t>
      </w:r>
      <w:r w:rsidRPr="00F543C1">
        <w:t>these</w:t>
      </w:r>
      <w:r w:rsidR="00C73BBD" w:rsidRPr="00F543C1">
        <w:t xml:space="preserve"> as</w:t>
      </w:r>
      <w:r w:rsidR="00BE295F" w:rsidRPr="00F543C1">
        <w:t xml:space="preserve"> </w:t>
      </w:r>
      <w:r w:rsidRPr="00F543C1">
        <w:t>‘democratic’, ‘constitutional’,</w:t>
      </w:r>
      <w:r w:rsidRPr="009006D7">
        <w:rPr>
          <w:rStyle w:val="FootnoteReference"/>
        </w:rPr>
        <w:footnoteReference w:id="102"/>
      </w:r>
      <w:r w:rsidRPr="00726346">
        <w:t xml:space="preserve"> and ‘learning’ accountability:</w:t>
      </w:r>
    </w:p>
    <w:p w14:paraId="6125E1EE" w14:textId="0F219801" w:rsidR="00CF7765" w:rsidRPr="00726346" w:rsidRDefault="00CF7765" w:rsidP="00CF7765">
      <w:pPr>
        <w:spacing w:before="120"/>
        <w:ind w:left="1276" w:right="425"/>
        <w:rPr>
          <w:i/>
          <w:color w:val="30353F"/>
        </w:rPr>
      </w:pPr>
      <w:r w:rsidRPr="00F543C1">
        <w:rPr>
          <w:i/>
          <w:color w:val="30353F"/>
        </w:rPr>
        <w:t xml:space="preserve">In the democratic perspective, accountability arrangements should effectively link government actions to the ‘democratic chain of delegation’. In the constitutional perspective, it is essential that accountability arrangements prevent or uncover abuses of public authority. In the learning perspective, accountability is a tool to make governments effective in delivering on their promises. </w:t>
      </w:r>
      <w:r w:rsidRPr="00F543C1">
        <w:rPr>
          <w:iCs/>
          <w:color w:val="30353F"/>
        </w:rPr>
        <w:fldChar w:fldCharType="begin"/>
      </w:r>
      <w:r w:rsidR="009B0EC4">
        <w:rPr>
          <w:iCs/>
          <w:color w:val="30353F"/>
        </w:rPr>
        <w:instrText xml:space="preserve"> ADDIN ZOTERO_ITEM CSL_CITATION {"citationID":"ah6p16e9a0","properties":{"formattedCitation":"(Bovens, Schillemans, and \\uc0\\u8217{}t Hart 2008, 225)","plainCitation":"(Bovens, Schillemans, and ’t Hart 2008, 225)","noteIndex":0},"citationItems":[{"id":16134,"uris":["http://zotero.org/groups/4801058/items/M7TAYTHR"],"itemData":{"id":16134,"type":"article-journal","abstract":"In recent years, there has been a drive to strengthen existing public accountability arrangements and to design new ones. This prompts the question whether accountability arrangements actually work. In the existing literature, both accountability ‘deficits’ and ‘overloads’ are alleged to exist. However, owing to the lack of a cogent yardstick, the debate tends to be impressionistic and event-driven. In this article we develop an instrument for systematically assessing public accountability arrangements, drawing on three different normative perspectives. In the democratic perspective, accountability arrangements should effectively link government actions to the ‘democratic chain of delegation’. In the constitutional perspective, it is essential that accountability arrangements prevent or uncover abuses of public authority. In the learning perspective, accountability is a tool to make governments effective in delivering on their promises. We demonstrate the use of our multicriteria assessment tool in an analysis of a new accountability arrangement: the boards of oversight of agencies.","container-title":"Public Administration","DOI":"10.1111/j.1467-9299.2008.00716.x","ISSN":"1467-9299","issue":"1","language":"en","note":"number: 1\n_eprint: https://onlinelibrary.wiley.com/doi/pdf/10.1111/j.1467-9299.2008.00716.x","page":"225-242","source":"Wiley Online Library","title":"Does Public Accountability Work? An Assessment Tool","title-short":"Does Public Accountability Work?","volume":"86","author":[{"family":"Bovens","given":"Mark"},{"family":"Schillemans","given":"Thomas"},{"family":"Hart","given":"Paul","non-dropping-particle":"'t"}],"issued":{"date-parts":[["2008"]]}},"locator":"225","label":"page"}],"schema":"https://github.com/citation-style-language/schema/raw/master/csl-citation.json"} </w:instrText>
      </w:r>
      <w:r w:rsidRPr="00F543C1">
        <w:rPr>
          <w:iCs/>
          <w:color w:val="30353F"/>
        </w:rPr>
        <w:fldChar w:fldCharType="separate"/>
      </w:r>
      <w:r w:rsidR="00C97682" w:rsidRPr="00F543C1">
        <w:rPr>
          <w:rFonts w:cs="Calibri"/>
          <w:szCs w:val="24"/>
        </w:rPr>
        <w:t>(Bovens, Schillemans, and ’t Hart 2008, 225)</w:t>
      </w:r>
      <w:r w:rsidRPr="00F543C1">
        <w:rPr>
          <w:iCs/>
          <w:color w:val="30353F"/>
        </w:rPr>
        <w:fldChar w:fldCharType="end"/>
      </w:r>
    </w:p>
    <w:p w14:paraId="7CB0845F" w14:textId="6A7E4182" w:rsidR="004D3ABD" w:rsidRPr="00F543C1" w:rsidRDefault="004D3ABD" w:rsidP="00CF7765">
      <w:pPr>
        <w:ind w:left="851"/>
      </w:pPr>
      <w:r w:rsidRPr="00F543C1">
        <w:t>The ‘democratic chain of delegation’, which has strong roots in principal</w:t>
      </w:r>
      <w:r w:rsidR="00D31B19" w:rsidRPr="00F543C1">
        <w:t>-</w:t>
      </w:r>
      <w:r w:rsidRPr="00F543C1">
        <w:t>agent theory, is the idea that in modern governments, citizen</w:t>
      </w:r>
      <w:r w:rsidR="00A737F9" w:rsidRPr="00F543C1">
        <w:t>s</w:t>
      </w:r>
      <w:r w:rsidRPr="00F543C1">
        <w:t xml:space="preserve"> delegate their sovereignty to members of parliament, who select a government of </w:t>
      </w:r>
      <w:r w:rsidR="0020423C">
        <w:t>M</w:t>
      </w:r>
      <w:r w:rsidRPr="00F543C1">
        <w:t>inisters, who control</w:t>
      </w:r>
      <w:r w:rsidR="00724DC6">
        <w:t>, to varying degrees, government agencies</w:t>
      </w:r>
      <w:r w:rsidRPr="00F543C1">
        <w:t xml:space="preserve">, which deliver the goods and services </w:t>
      </w:r>
      <w:r w:rsidR="001C5370" w:rsidRPr="00F543C1">
        <w:t xml:space="preserve">provided by </w:t>
      </w:r>
      <w:r w:rsidRPr="00F543C1">
        <w:t>the state.</w:t>
      </w:r>
      <w:r w:rsidR="0064131F" w:rsidRPr="009006D7">
        <w:rPr>
          <w:rStyle w:val="FootnoteReference"/>
        </w:rPr>
        <w:footnoteReference w:id="103"/>
      </w:r>
      <w:r w:rsidRPr="00726346">
        <w:t xml:space="preserve"> Given this chain of delegation, each principal (citizens, members of parliament and ministers) needs an accountability mechanism to control the behaviour of their agents (the next group down in the chain). </w:t>
      </w:r>
    </w:p>
    <w:p w14:paraId="69079726" w14:textId="60FFC22D" w:rsidR="004D3ABD" w:rsidRPr="00726346" w:rsidRDefault="004D3ABD" w:rsidP="004D3ABD">
      <w:pPr>
        <w:pStyle w:val="Quotation"/>
      </w:pPr>
      <w:r w:rsidRPr="00F543C1">
        <w:t xml:space="preserve">From this perspective, then, the quality of accountability arrangements hinges upon their demonstrated ability to consolidate and reaffirm the democratic chain of delegation. </w:t>
      </w:r>
      <w:r w:rsidRPr="00F543C1">
        <w:rPr>
          <w:i w:val="0"/>
          <w:iCs/>
        </w:rPr>
        <w:fldChar w:fldCharType="begin"/>
      </w:r>
      <w:r w:rsidR="009B0EC4">
        <w:rPr>
          <w:i w:val="0"/>
          <w:iCs/>
        </w:rPr>
        <w:instrText xml:space="preserve"> ADDIN ZOTERO_ITEM CSL_CITATION {"citationID":"9YPGpS8t","properties":{"formattedCitation":"(Bovens, Schillemans, and \\uc0\\u8217{}t Hart 2008, 231)","plainCitation":"(Bovens, Schillemans, and ’t Hart 2008, 231)","noteIndex":0},"citationItems":[{"id":16134,"uris":["http://zotero.org/groups/4801058/items/M7TAYTHR"],"itemData":{"id":16134,"type":"article-journal","abstract":"In recent years, there has been a drive to strengthen existing public accountability arrangements and to design new ones. This prompts the question whether accountability arrangements actually work. In the existing literature, both accountability ‘deficits’ and ‘overloads’ are alleged to exist. However, owing to the lack of a cogent yardstick, the debate tends to be impressionistic and event-driven. In this article we develop an instrument for systematically assessing public accountability arrangements, drawing on three different normative perspectives. In the democratic perspective, accountability arrangements should effectively link government actions to the ‘democratic chain of delegation’. In the constitutional perspective, it is essential that accountability arrangements prevent or uncover abuses of public authority. In the learning perspective, accountability is a tool to make governments effective in delivering on their promises. We demonstrate the use of our multicriteria assessment tool in an analysis of a new accountability arrangement: the boards of oversight of agencies.","container-title":"Public Administration","DOI":"10.1111/j.1467-9299.2008.00716.x","ISSN":"1467-9299","issue":"1","language":"en","note":"number: 1\n_eprint: https://onlinelibrary.wiley.com/doi/pdf/10.1111/j.1467-9299.2008.00716.x","page":"225-242","source":"Wiley Online Library","title":"Does Public Accountability Work? An Assessment Tool","title-short":"Does Public Accountability Work?","volume":"86","author":[{"family":"Bovens","given":"Mark"},{"family":"Schillemans","given":"Thomas"},{"family":"Hart","given":"Paul","non-dropping-particle":"'t"}],"issued":{"date-parts":[["2008"]]}},"locator":"231","label":"page"}],"schema":"https://github.com/citation-style-language/schema/raw/master/csl-citation.json"} </w:instrText>
      </w:r>
      <w:r w:rsidRPr="00F543C1">
        <w:rPr>
          <w:i w:val="0"/>
          <w:iCs/>
        </w:rPr>
        <w:fldChar w:fldCharType="separate"/>
      </w:r>
      <w:r w:rsidRPr="00F543C1">
        <w:rPr>
          <w:rFonts w:cs="Calibri"/>
          <w:i w:val="0"/>
          <w:iCs/>
          <w:szCs w:val="24"/>
        </w:rPr>
        <w:t>(Bovens, Schillemans, and ’t Hart 2008, 231)</w:t>
      </w:r>
      <w:r w:rsidRPr="00F543C1">
        <w:rPr>
          <w:i w:val="0"/>
          <w:iCs/>
        </w:rPr>
        <w:fldChar w:fldCharType="end"/>
      </w:r>
    </w:p>
    <w:p w14:paraId="6BBA67C3" w14:textId="5FADEC9D" w:rsidR="005542BB" w:rsidRPr="00F543C1" w:rsidRDefault="00CF7765" w:rsidP="005542BB">
      <w:pPr>
        <w:ind w:left="851"/>
      </w:pPr>
      <w:r w:rsidRPr="00F543C1">
        <w:lastRenderedPageBreak/>
        <w:t xml:space="preserve">Democratic accountability has a strong policy and </w:t>
      </w:r>
      <w:r w:rsidR="00BC15CD" w:rsidRPr="00F543C1">
        <w:t xml:space="preserve">programme </w:t>
      </w:r>
      <w:r w:rsidRPr="00F543C1">
        <w:t xml:space="preserve">effectiveness element. It does not necessarily involve judgements of ‘good’ or ‘bad’ behaviour. Rather, the focus is more directed at requiring those exercising power to explain </w:t>
      </w:r>
      <w:r w:rsidR="00AF55DD" w:rsidRPr="00F543C1">
        <w:t>their actions</w:t>
      </w:r>
      <w:r w:rsidRPr="00F543C1">
        <w:t xml:space="preserve"> and, especially, why. The </w:t>
      </w:r>
      <w:r w:rsidR="00A5258F" w:rsidRPr="00F543C1">
        <w:t xml:space="preserve">assumption </w:t>
      </w:r>
      <w:r w:rsidRPr="00F543C1">
        <w:t>behind democratic accountability is that transparency can</w:t>
      </w:r>
      <w:r w:rsidR="00C35D97" w:rsidRPr="00F543C1">
        <w:t xml:space="preserve"> often</w:t>
      </w:r>
      <w:r w:rsidRPr="00F543C1">
        <w:t xml:space="preserve"> result in the responsible exercise of power for the greater good. </w:t>
      </w:r>
      <w:r w:rsidR="005542BB" w:rsidRPr="00F543C1">
        <w:t>Clear evidence of ineffective programmes can</w:t>
      </w:r>
      <w:r w:rsidR="00DA5D82" w:rsidRPr="00F543C1">
        <w:t>, for example,</w:t>
      </w:r>
      <w:r w:rsidR="005542BB" w:rsidRPr="00F543C1">
        <w:t xml:space="preserve"> be a powerful tool for improvement. </w:t>
      </w:r>
    </w:p>
    <w:p w14:paraId="055959CE" w14:textId="52D916D1" w:rsidR="00CF7765" w:rsidRPr="00726346" w:rsidRDefault="005542BB" w:rsidP="008524FC">
      <w:pPr>
        <w:spacing w:before="120"/>
        <w:ind w:left="1276" w:right="425"/>
      </w:pPr>
      <w:r w:rsidRPr="00F543C1">
        <w:rPr>
          <w:i/>
          <w:color w:val="30353F"/>
        </w:rPr>
        <w:t xml:space="preserve">Publicity is justly commended as a remedy for social and industrial diseases. Sunlight is said to be the best of disinfectants, electric light the most efficient policeman. </w:t>
      </w:r>
      <w:r w:rsidRPr="00F543C1">
        <w:rPr>
          <w:iCs/>
          <w:color w:val="30353F"/>
        </w:rPr>
        <w:fldChar w:fldCharType="begin"/>
      </w:r>
      <w:r w:rsidR="009B0EC4">
        <w:rPr>
          <w:iCs/>
          <w:color w:val="30353F"/>
        </w:rPr>
        <w:instrText xml:space="preserve"> ADDIN ZOTERO_ITEM CSL_CITATION {"citationID":"OfGZG5p5","properties":{"formattedCitation":"(Brandeis 1913, 10)","plainCitation":"(Brandeis 1913, 10)","noteIndex":0},"citationItems":[{"id":18468,"uris":["http://zotero.org/groups/4801058/items/WMNRE7ZB"],"itemData":{"id":18468,"type":"article-magazine","container-title":"Harper's Weekly","issue":"20 December 1913","title":"What Publicity Can Do.","author":[{"family":"Brandeis","given":"Louis"}],"issued":{"date-parts":[["1913"]]}},"locator":"10","label":"page"}],"schema":"https://github.com/citation-style-language/schema/raw/master/csl-citation.json"} </w:instrText>
      </w:r>
      <w:r w:rsidRPr="00F543C1">
        <w:rPr>
          <w:iCs/>
          <w:color w:val="30353F"/>
        </w:rPr>
        <w:fldChar w:fldCharType="separate"/>
      </w:r>
      <w:r w:rsidRPr="00F543C1">
        <w:rPr>
          <w:rFonts w:cs="Calibri"/>
          <w:iCs/>
          <w:color w:val="30353F"/>
        </w:rPr>
        <w:t>(Brandeis 1913, 10)</w:t>
      </w:r>
      <w:r w:rsidRPr="00F543C1">
        <w:rPr>
          <w:iCs/>
          <w:color w:val="30353F"/>
        </w:rPr>
        <w:fldChar w:fldCharType="end"/>
      </w:r>
      <w:r w:rsidRPr="009006D7">
        <w:rPr>
          <w:rStyle w:val="FootnoteReference"/>
        </w:rPr>
        <w:footnoteReference w:id="104"/>
      </w:r>
    </w:p>
    <w:p w14:paraId="50E11C68" w14:textId="64064E23" w:rsidR="00CF7765" w:rsidRPr="00F543C1" w:rsidRDefault="00CF7765" w:rsidP="00CF7765">
      <w:pPr>
        <w:ind w:left="851"/>
      </w:pPr>
      <w:r w:rsidRPr="00F543C1">
        <w:t>Constitutional accountability, on the other hand, has a stronger emphasis on</w:t>
      </w:r>
      <w:r w:rsidR="00082138" w:rsidRPr="00F543C1">
        <w:t xml:space="preserve"> </w:t>
      </w:r>
      <w:r w:rsidRPr="00F543C1">
        <w:t>preventing ‘bad’ behaviour. The focus is on rules that limit unethical or dishonest activity, especially at the individual level. The New Zealand Auditor-General recently commented:</w:t>
      </w:r>
    </w:p>
    <w:p w14:paraId="670BB338" w14:textId="17DA4F46" w:rsidR="00CF7765" w:rsidRPr="00726346" w:rsidRDefault="002C7757" w:rsidP="00CF7765">
      <w:pPr>
        <w:pStyle w:val="Quotation"/>
        <w:rPr>
          <w:iCs/>
        </w:rPr>
      </w:pPr>
      <w:r w:rsidRPr="00F543C1">
        <w:t>[P</w:t>
      </w:r>
      <w:r w:rsidR="00853225" w:rsidRPr="00F543C1">
        <w:t>]</w:t>
      </w:r>
      <w:proofErr w:type="spellStart"/>
      <w:r w:rsidRPr="00F543C1">
        <w:t>ublic</w:t>
      </w:r>
      <w:proofErr w:type="spellEnd"/>
      <w:r w:rsidRPr="00F543C1">
        <w:t xml:space="preserve"> </w:t>
      </w:r>
      <w:r w:rsidR="00CF7765" w:rsidRPr="00F543C1">
        <w:t xml:space="preserve">accountability </w:t>
      </w:r>
      <w:r w:rsidR="00853225" w:rsidRPr="00F543C1">
        <w:t xml:space="preserve">… </w:t>
      </w:r>
      <w:r w:rsidR="00CF7765" w:rsidRPr="00F543C1">
        <w:t xml:space="preserve">is about the public sector demonstrating its competence, reliability and honesty in a way that allows the public to judge its trustworthiness in using money and resources. </w:t>
      </w:r>
      <w:r w:rsidR="00CF7765" w:rsidRPr="00F543C1">
        <w:rPr>
          <w:i w:val="0"/>
          <w:iCs/>
        </w:rPr>
        <w:fldChar w:fldCharType="begin"/>
      </w:r>
      <w:r w:rsidR="009B0EC4">
        <w:rPr>
          <w:i w:val="0"/>
          <w:iCs/>
        </w:rPr>
        <w:instrText xml:space="preserve"> ADDIN ZOTERO_ITEM CSL_CITATION {"citationID":"etZdJbml","properties":{"formattedCitation":"(Office of the Controller and Auditor-General 2019, 10)","plainCitation":"(Office of the Controller and Auditor-General 2019, 10)","noteIndex":0},"citationItems":[{"id":14085,"uris":["http://zotero.org/groups/4623831/items/9J8H3GIX"],"itemData":{"id":14085,"type":"report","event-place":"Wellington","language":"English","note":"OCLC: 1291717095","publisher":"Office of the Auditor-General","publisher-place":"Wellington","source":"Open WorldCat","title":"Public accountability: a matter of trust and confidence.","title-short":"Public accountability","URL":"https://www.oag.govt.nz/2019/public-accountability?utm_source=subs&amp;utm_medium=subs&amp;utm_campaign=public-accountability","author":[{"literal":"Office of the Controller and Auditor-General"}],"accessed":{"date-parts":[["2022",4,4]]},"issued":{"date-parts":[["2019"]]}},"locator":"10","label":"page"}],"schema":"https://github.com/citation-style-language/schema/raw/master/csl-citation.json"} </w:instrText>
      </w:r>
      <w:r w:rsidR="00CF7765" w:rsidRPr="00F543C1">
        <w:rPr>
          <w:i w:val="0"/>
          <w:iCs/>
        </w:rPr>
        <w:fldChar w:fldCharType="separate"/>
      </w:r>
      <w:r w:rsidR="00CF7765" w:rsidRPr="00F543C1">
        <w:rPr>
          <w:rFonts w:cs="Calibri"/>
          <w:i w:val="0"/>
          <w:iCs/>
        </w:rPr>
        <w:t>(Office of the Controller and Auditor-General 2019, 10)</w:t>
      </w:r>
      <w:r w:rsidR="00CF7765" w:rsidRPr="00F543C1">
        <w:rPr>
          <w:i w:val="0"/>
          <w:iCs/>
        </w:rPr>
        <w:fldChar w:fldCharType="end"/>
      </w:r>
    </w:p>
    <w:p w14:paraId="46E76BB2" w14:textId="54A5E1CB" w:rsidR="00CF7765" w:rsidRPr="00F543C1" w:rsidRDefault="00CF7765" w:rsidP="00CF7765">
      <w:pPr>
        <w:ind w:left="851"/>
      </w:pPr>
      <w:r w:rsidRPr="00726346">
        <w:t>Constitutio</w:t>
      </w:r>
      <w:r w:rsidRPr="00F543C1">
        <w:t xml:space="preserve">nal accountability is often </w:t>
      </w:r>
      <w:proofErr w:type="gramStart"/>
      <w:r w:rsidR="008267E2" w:rsidRPr="00F543C1">
        <w:t>backward</w:t>
      </w:r>
      <w:r w:rsidR="00DB162B">
        <w:t>s</w:t>
      </w:r>
      <w:r w:rsidR="006F20FE">
        <w:t>-</w:t>
      </w:r>
      <w:r w:rsidR="008267E2" w:rsidRPr="00F543C1">
        <w:t>looking</w:t>
      </w:r>
      <w:proofErr w:type="gramEnd"/>
      <w:r w:rsidRPr="00F543C1">
        <w:t xml:space="preserve"> and is based on reporting past actions. As we will </w:t>
      </w:r>
      <w:r w:rsidR="001D2E79" w:rsidRPr="00F543C1">
        <w:t xml:space="preserve">discuss further </w:t>
      </w:r>
      <w:r w:rsidRPr="00F543C1">
        <w:t xml:space="preserve">below, </w:t>
      </w:r>
      <w:r w:rsidR="0064386A" w:rsidRPr="00F543C1">
        <w:t>much</w:t>
      </w:r>
      <w:r w:rsidRPr="00F543C1">
        <w:t xml:space="preserve"> of the current New Zealand public accountability system is constitutional in character.</w:t>
      </w:r>
    </w:p>
    <w:p w14:paraId="371B6B46" w14:textId="77777777" w:rsidR="00CF7765" w:rsidRPr="00F543C1" w:rsidRDefault="00CF7765" w:rsidP="00CF7765">
      <w:pPr>
        <w:ind w:left="851"/>
      </w:pPr>
      <w:r w:rsidRPr="00F543C1">
        <w:t xml:space="preserve">Accountability as learning, however, has a more forward-looking approach. While it may take past experiences as a guide, it does so to change the way things are done in the future. It is not about assigning blame; rather, it seeks to improve performance. As </w:t>
      </w:r>
      <w:proofErr w:type="spellStart"/>
      <w:r w:rsidRPr="00F543C1">
        <w:t>Bovens</w:t>
      </w:r>
      <w:proofErr w:type="spellEnd"/>
      <w:r w:rsidRPr="00F543C1">
        <w:t xml:space="preserve"> et al. put it:</w:t>
      </w:r>
    </w:p>
    <w:p w14:paraId="31EF2D94" w14:textId="41E661AC" w:rsidR="00CF7765" w:rsidRPr="00726346" w:rsidRDefault="00CF7765" w:rsidP="00CF7765">
      <w:pPr>
        <w:pStyle w:val="Quotation"/>
        <w:rPr>
          <w:i w:val="0"/>
          <w:iCs/>
        </w:rPr>
      </w:pPr>
      <w:r w:rsidRPr="00F543C1">
        <w:t xml:space="preserve">Accountability [as learning] is not so much an </w:t>
      </w:r>
      <w:r w:rsidR="002C7757" w:rsidRPr="00F543C1">
        <w:t>adversarial</w:t>
      </w:r>
      <w:r w:rsidR="002C7757" w:rsidRPr="00F543C1" w:rsidDel="002C7757">
        <w:t xml:space="preserve"> </w:t>
      </w:r>
      <w:r w:rsidRPr="00F543C1">
        <w:t>mechanism, as in the other two perspectives, but rather an ‘extortive’ one. It is not about ‘keeping the bastards honest’ but about ‘keeping the bastards smart and sharp’.</w:t>
      </w:r>
      <w:r w:rsidR="001C5370" w:rsidRPr="00F543C1">
        <w:t xml:space="preserve"> </w:t>
      </w:r>
      <w:r w:rsidRPr="00F543C1">
        <w:rPr>
          <w:i w:val="0"/>
          <w:iCs/>
        </w:rPr>
        <w:fldChar w:fldCharType="begin"/>
      </w:r>
      <w:r w:rsidR="009B0EC4">
        <w:rPr>
          <w:i w:val="0"/>
          <w:iCs/>
        </w:rPr>
        <w:instrText xml:space="preserve"> ADDIN ZOTERO_ITEM CSL_CITATION {"citationID":"BppGRVxs","properties":{"formattedCitation":"(Bovens, Schillemans, and \\uc0\\u8217{}t Hart 2008, 232)","plainCitation":"(Bovens, Schillemans, and ’t Hart 2008, 232)","noteIndex":0},"citationItems":[{"id":16134,"uris":["http://zotero.org/groups/4801058/items/M7TAYTHR"],"itemData":{"id":16134,"type":"article-journal","abstract":"In recent years, there has been a drive to strengthen existing public accountability arrangements and to design new ones. This prompts the question whether accountability arrangements actually work. In the existing literature, both accountability ‘deficits’ and ‘overloads’ are alleged to exist. However, owing to the lack of a cogent yardstick, the debate tends to be impressionistic and event-driven. In this article we develop an instrument for systematically assessing public accountability arrangements, drawing on three different normative perspectives. In the democratic perspective, accountability arrangements should effectively link government actions to the ‘democratic chain of delegation’. In the constitutional perspective, it is essential that accountability arrangements prevent or uncover abuses of public authority. In the learning perspective, accountability is a tool to make governments effective in delivering on their promises. We demonstrate the use of our multicriteria assessment tool in an analysis of a new accountability arrangement: the boards of oversight of agencies.","container-title":"Public Administration","DOI":"10.1111/j.1467-9299.2008.00716.x","ISSN":"1467-9299","issue":"1","language":"en","note":"number: 1\n_eprint: https://onlinelibrary.wiley.com/doi/pdf/10.1111/j.1467-9299.2008.00716.x","page":"225-242","source":"Wiley Online Library","title":"Does Public Accountability Work? An Assessment Tool","title-short":"Does Public Accountability Work?","volume":"86","author":[{"family":"Bovens","given":"Mark"},{"family":"Schillemans","given":"Thomas"},{"family":"Hart","given":"Paul","non-dropping-particle":"'t"}],"issued":{"date-parts":[["2008"]]}},"locator":"232","label":"page"}],"schema":"https://github.com/citation-style-language/schema/raw/master/csl-citation.json"} </w:instrText>
      </w:r>
      <w:r w:rsidRPr="00F543C1">
        <w:rPr>
          <w:i w:val="0"/>
          <w:iCs/>
        </w:rPr>
        <w:fldChar w:fldCharType="separate"/>
      </w:r>
      <w:r w:rsidR="00C97682" w:rsidRPr="00F543C1">
        <w:rPr>
          <w:rFonts w:cs="Calibri"/>
          <w:i w:val="0"/>
          <w:iCs/>
          <w:szCs w:val="24"/>
        </w:rPr>
        <w:t>(Bovens, Schillemans, and ’t Hart 2008, 232)</w:t>
      </w:r>
      <w:r w:rsidRPr="00F543C1">
        <w:rPr>
          <w:i w:val="0"/>
          <w:iCs/>
        </w:rPr>
        <w:fldChar w:fldCharType="end"/>
      </w:r>
    </w:p>
    <w:p w14:paraId="6BB525A3" w14:textId="2073536A" w:rsidR="00997437" w:rsidRPr="00F543C1" w:rsidRDefault="00997437" w:rsidP="00852078">
      <w:pPr>
        <w:pStyle w:val="USBodyText"/>
      </w:pPr>
      <w:r w:rsidRPr="00F543C1">
        <w:t xml:space="preserve">There are, however, limits to what accountability can achieve. The available evidence </w:t>
      </w:r>
      <w:r w:rsidR="009C35FD" w:rsidRPr="00F543C1">
        <w:t>provides</w:t>
      </w:r>
      <w:r w:rsidRPr="00F543C1">
        <w:t xml:space="preserve"> guidance on what policies might or might not be effective, but even here, </w:t>
      </w:r>
      <w:r w:rsidR="00377E3B">
        <w:t xml:space="preserve">different people can have different views on </w:t>
      </w:r>
      <w:r w:rsidRPr="00F543C1">
        <w:t>exactly what effective means.</w:t>
      </w:r>
      <w:r w:rsidR="0062270F">
        <w:t xml:space="preserve"> For example, d</w:t>
      </w:r>
      <w:r w:rsidRPr="00F543C1">
        <w:t>oing ‘what works’ or, more formally, using an ‘evidence-based’ policy approach is a common theme in New Zealand and international policy discourse.</w:t>
      </w:r>
      <w:r w:rsidRPr="009006D7">
        <w:rPr>
          <w:rStyle w:val="FootnoteReference"/>
        </w:rPr>
        <w:footnoteReference w:id="105"/>
      </w:r>
      <w:r w:rsidRPr="00726346">
        <w:t xml:space="preserve"> The idea is that interventions to address a particular social problem should be rigorously tested, and the result of that testing should drive policy decisions. But an evidence-based approach is not a panacea for complex social p</w:t>
      </w:r>
      <w:r w:rsidRPr="00F543C1">
        <w:t>roblems:</w:t>
      </w:r>
    </w:p>
    <w:p w14:paraId="1F71E217" w14:textId="1150F601" w:rsidR="00997437" w:rsidRPr="00726346" w:rsidRDefault="00997437" w:rsidP="00997437">
      <w:pPr>
        <w:pStyle w:val="USBodyText"/>
        <w:ind w:left="1080"/>
      </w:pPr>
      <w:r w:rsidRPr="00F543C1">
        <w:rPr>
          <w:i/>
          <w:color w:val="30353F"/>
        </w:rPr>
        <w:t>[E]</w:t>
      </w:r>
      <w:proofErr w:type="spellStart"/>
      <w:r w:rsidRPr="00F543C1">
        <w:rPr>
          <w:i/>
          <w:color w:val="30353F"/>
        </w:rPr>
        <w:t>ven</w:t>
      </w:r>
      <w:proofErr w:type="spellEnd"/>
      <w:r w:rsidRPr="00F543C1">
        <w:rPr>
          <w:i/>
          <w:color w:val="30353F"/>
        </w:rPr>
        <w:t xml:space="preserve"> if well-designed studies convinced policy-makers to act, and even if programs yield their desired effects for individuals, large-scale social benefits may not ensue, because few interventions get at the root of the social problems that led to the need for the intervention. </w:t>
      </w:r>
      <w:r w:rsidRPr="00F543C1">
        <w:rPr>
          <w:iCs/>
          <w:color w:val="30353F"/>
        </w:rPr>
        <w:fldChar w:fldCharType="begin"/>
      </w:r>
      <w:r w:rsidR="009B0EC4">
        <w:rPr>
          <w:iCs/>
          <w:color w:val="30353F"/>
        </w:rPr>
        <w:instrText xml:space="preserve"> ADDIN ZOTERO_ITEM CSL_CITATION {"citationID":"4cvItV16","properties":{"formattedCitation":"(Gamoran 2018, 178)","plainCitation":"(Gamoran 2018, 178)","noteIndex":0},"citationItems":[{"id":15019,"uris":["http://zotero.org/groups/4623831/items/3B8YKKTC"],"itemData":{"id":15019,"type":"article-journal","abstract":"The evidence movement has attended more to improving the supply of evidence than to increasing demand, so even as rigorous evidence production has increased, the use of evidence remains all too rare. A growing body of research indicates that the quality of relationships between researchers, policy-makers, and intermediaries plays a central role in whether rigorous evidence informs decisions in policy and practice. Creating structures to support such relationships remains a major challenge. Yet even when high-quality evidence is used, the intended benefits may not ensue because of broader challenges in society at large. Consequently, we should temper our expectations for the benefits of evidence-based policymaking, but not give up the effort.","container-title":"The Annals of the American Academy of Political and Social Science","ISSN":"0002-7162","note":"publisher: [Sage Publications, Inc., American Academy of Political and Social Science]","page":"180-191","source":"JSTOR","title":"Evidence-Based Policy in the Real World: A Cautionary View","title-short":"Evidence-Based Policy in the Real World","volume":"678","author":[{"family":"Gamoran","given":"Adam"}],"issued":{"date-parts":[["2018"]]}},"locator":"178"}],"schema":"https://github.com/citation-style-language/schema/raw/master/csl-citation.json"} </w:instrText>
      </w:r>
      <w:r w:rsidRPr="00F543C1">
        <w:rPr>
          <w:iCs/>
          <w:color w:val="30353F"/>
        </w:rPr>
        <w:fldChar w:fldCharType="separate"/>
      </w:r>
      <w:r w:rsidRPr="00F543C1">
        <w:rPr>
          <w:rFonts w:cs="Calibri"/>
          <w:color w:val="30353F"/>
        </w:rPr>
        <w:t>(Gamoran 2018, 178)</w:t>
      </w:r>
      <w:r w:rsidRPr="00F543C1">
        <w:rPr>
          <w:iCs/>
          <w:color w:val="30353F"/>
        </w:rPr>
        <w:fldChar w:fldCharType="end"/>
      </w:r>
    </w:p>
    <w:p w14:paraId="086AFA0B" w14:textId="04529FD1" w:rsidR="00BA67E8" w:rsidRPr="00F543C1" w:rsidRDefault="00BA67E8" w:rsidP="003A4473">
      <w:pPr>
        <w:pStyle w:val="USBodyText"/>
      </w:pPr>
      <w:r w:rsidRPr="00F543C1">
        <w:lastRenderedPageBreak/>
        <w:t xml:space="preserve">In </w:t>
      </w:r>
      <w:r w:rsidRPr="00F543C1">
        <w:fldChar w:fldCharType="begin"/>
      </w:r>
      <w:r w:rsidRPr="00F543C1">
        <w:instrText xml:space="preserve"> REF _Ref124688290 \h </w:instrText>
      </w:r>
      <w:r w:rsidR="000177FE" w:rsidRPr="00F543C1">
        <w:instrText xml:space="preserve"> \* MERGEFORMAT </w:instrText>
      </w:r>
      <w:r w:rsidRPr="00F543C1">
        <w:fldChar w:fldCharType="separate"/>
      </w:r>
      <w:r w:rsidR="00E06351" w:rsidRPr="00F543C1">
        <w:t xml:space="preserve">Table </w:t>
      </w:r>
      <w:r w:rsidR="00E06351">
        <w:t>2</w:t>
      </w:r>
      <w:r w:rsidRPr="00F543C1">
        <w:fldChar w:fldCharType="end"/>
      </w:r>
      <w:r w:rsidRPr="00726346">
        <w:t xml:space="preserve">, we present </w:t>
      </w:r>
      <w:proofErr w:type="spellStart"/>
      <w:r w:rsidRPr="00726346">
        <w:t>Bovens</w:t>
      </w:r>
      <w:proofErr w:type="spellEnd"/>
      <w:r w:rsidRPr="00726346">
        <w:t xml:space="preserve"> et</w:t>
      </w:r>
      <w:r w:rsidR="00A52DA1" w:rsidRPr="00F543C1">
        <w:t xml:space="preserve"> al.</w:t>
      </w:r>
      <w:r w:rsidRPr="00F543C1">
        <w:t>’s central ideas and central evaluation criteria for each of these dimensions of accountability.</w:t>
      </w:r>
    </w:p>
    <w:p w14:paraId="3EED9BFB" w14:textId="02955352" w:rsidR="00BA67E8" w:rsidRPr="00F543C1" w:rsidRDefault="00BA67E8" w:rsidP="00BA67E8">
      <w:pPr>
        <w:pStyle w:val="TableCaption"/>
      </w:pPr>
      <w:bookmarkStart w:id="128" w:name="_Ref124688290"/>
      <w:bookmarkStart w:id="129" w:name="_Toc126841246"/>
      <w:r w:rsidRPr="00F543C1">
        <w:t xml:space="preserve">Table </w:t>
      </w:r>
      <w:r w:rsidRPr="00F543C1">
        <w:fldChar w:fldCharType="begin"/>
      </w:r>
      <w:r w:rsidRPr="00F543C1">
        <w:instrText>SEQ Table \* ARABIC</w:instrText>
      </w:r>
      <w:r w:rsidRPr="00F543C1">
        <w:fldChar w:fldCharType="separate"/>
      </w:r>
      <w:r w:rsidR="00E06351">
        <w:rPr>
          <w:noProof/>
        </w:rPr>
        <w:t>2</w:t>
      </w:r>
      <w:r w:rsidRPr="00F543C1">
        <w:fldChar w:fldCharType="end"/>
      </w:r>
      <w:bookmarkEnd w:id="128"/>
      <w:r w:rsidRPr="00726346">
        <w:t xml:space="preserve"> </w:t>
      </w:r>
      <w:r w:rsidR="001C5370" w:rsidRPr="00F543C1">
        <w:t>T</w:t>
      </w:r>
      <w:r w:rsidRPr="00F543C1">
        <w:t>he central elements of accountability</w:t>
      </w:r>
      <w:bookmarkEnd w:id="129"/>
    </w:p>
    <w:p w14:paraId="3C85BBE8" w14:textId="5BF79119" w:rsidR="00BA67E8" w:rsidRPr="00F543C1" w:rsidRDefault="00BA67E8" w:rsidP="00BA67E8">
      <w:pPr>
        <w:pStyle w:val="CaptionSubheading"/>
      </w:pPr>
    </w:p>
    <w:tbl>
      <w:tblPr>
        <w:tblStyle w:val="TableDefault"/>
        <w:tblW w:w="8220" w:type="dxa"/>
        <w:tblLook w:val="0460" w:firstRow="1" w:lastRow="1" w:firstColumn="0" w:lastColumn="0" w:noHBand="0" w:noVBand="1"/>
      </w:tblPr>
      <w:tblGrid>
        <w:gridCol w:w="2740"/>
        <w:gridCol w:w="2741"/>
        <w:gridCol w:w="2739"/>
      </w:tblGrid>
      <w:tr w:rsidR="00BA67E8" w:rsidRPr="00F543C1" w14:paraId="312B9086" w14:textId="77777777" w:rsidTr="0087344D">
        <w:trPr>
          <w:cnfStyle w:val="100000000000" w:firstRow="1" w:lastRow="0" w:firstColumn="0" w:lastColumn="0" w:oddVBand="0" w:evenVBand="0" w:oddHBand="0" w:evenHBand="0" w:firstRowFirstColumn="0" w:firstRowLastColumn="0" w:lastRowFirstColumn="0" w:lastRowLastColumn="0"/>
        </w:trPr>
        <w:tc>
          <w:tcPr>
            <w:tcW w:w="1667" w:type="pct"/>
          </w:tcPr>
          <w:p w14:paraId="7186974F" w14:textId="7E208B53" w:rsidR="00BA67E8" w:rsidRPr="00F543C1" w:rsidRDefault="00BA67E8" w:rsidP="0087344D">
            <w:pPr>
              <w:pStyle w:val="TSTableHeadingWhite-TopRow"/>
            </w:pPr>
            <w:r w:rsidRPr="00F543C1">
              <w:t>Dimension</w:t>
            </w:r>
          </w:p>
        </w:tc>
        <w:tc>
          <w:tcPr>
            <w:tcW w:w="1667" w:type="pct"/>
          </w:tcPr>
          <w:p w14:paraId="53679E58" w14:textId="1AA5117F" w:rsidR="00BA67E8" w:rsidRPr="00F543C1" w:rsidRDefault="00BA67E8" w:rsidP="0087344D">
            <w:pPr>
              <w:pStyle w:val="TSTableHeadingWhite-TopRow"/>
            </w:pPr>
            <w:r w:rsidRPr="00F543C1">
              <w:t>Central idea</w:t>
            </w:r>
          </w:p>
        </w:tc>
        <w:tc>
          <w:tcPr>
            <w:tcW w:w="1666" w:type="pct"/>
          </w:tcPr>
          <w:p w14:paraId="49327E7E" w14:textId="718D428D" w:rsidR="00BA67E8" w:rsidRPr="00F543C1" w:rsidRDefault="00BA67E8" w:rsidP="0087344D">
            <w:pPr>
              <w:pStyle w:val="TSTableHeadingWhite-TopRow"/>
            </w:pPr>
            <w:r w:rsidRPr="00F543C1">
              <w:t>Central evaluation criterion</w:t>
            </w:r>
          </w:p>
        </w:tc>
      </w:tr>
      <w:tr w:rsidR="00BA67E8" w:rsidRPr="00F543C1" w14:paraId="2726B54E" w14:textId="77777777" w:rsidTr="0087344D">
        <w:tc>
          <w:tcPr>
            <w:tcW w:w="1667" w:type="pct"/>
          </w:tcPr>
          <w:p w14:paraId="6F543BF8" w14:textId="49ED32F3" w:rsidR="00BA67E8" w:rsidRPr="00F543C1" w:rsidRDefault="00BA67E8" w:rsidP="0087344D">
            <w:pPr>
              <w:pStyle w:val="TSBodyText"/>
            </w:pPr>
            <w:r w:rsidRPr="00F543C1">
              <w:t>Democratic perspective</w:t>
            </w:r>
          </w:p>
        </w:tc>
        <w:tc>
          <w:tcPr>
            <w:tcW w:w="1667" w:type="pct"/>
          </w:tcPr>
          <w:p w14:paraId="0D8D8A64" w14:textId="0BA3BE28" w:rsidR="00BA67E8" w:rsidRPr="00F543C1" w:rsidRDefault="00BA67E8" w:rsidP="0087344D">
            <w:pPr>
              <w:pStyle w:val="TSBodyText"/>
            </w:pPr>
            <w:r w:rsidRPr="00F543C1">
              <w:t>Accountability controls and legitimi</w:t>
            </w:r>
            <w:r w:rsidR="00222816" w:rsidRPr="00F543C1">
              <w:t>s</w:t>
            </w:r>
            <w:r w:rsidRPr="00F543C1">
              <w:t>es government actions by linking them effectively to the ‘democratic chain of delegation’.</w:t>
            </w:r>
          </w:p>
        </w:tc>
        <w:tc>
          <w:tcPr>
            <w:tcW w:w="1666" w:type="pct"/>
          </w:tcPr>
          <w:p w14:paraId="0A02C405" w14:textId="07E611AE" w:rsidR="00BA67E8" w:rsidRPr="00F543C1" w:rsidRDefault="00BA67E8" w:rsidP="0087344D">
            <w:pPr>
              <w:pStyle w:val="TSBodyText"/>
            </w:pPr>
            <w:r w:rsidRPr="00F543C1">
              <w:t>The degree to which an accountability arrangement or regime enables democratically legitimi</w:t>
            </w:r>
            <w:r w:rsidR="00222816" w:rsidRPr="00F543C1">
              <w:t>s</w:t>
            </w:r>
            <w:r w:rsidRPr="00F543C1">
              <w:t xml:space="preserve">ed bodies to monitor and evaluate executive behaviour and </w:t>
            </w:r>
            <w:r w:rsidR="003800E2" w:rsidRPr="00F543C1">
              <w:t>induce executive actors to modify that behaviour according to</w:t>
            </w:r>
            <w:r w:rsidRPr="00F543C1">
              <w:t xml:space="preserve"> their preferences.</w:t>
            </w:r>
          </w:p>
        </w:tc>
      </w:tr>
      <w:tr w:rsidR="00BA67E8" w:rsidRPr="00F543C1" w14:paraId="4DDAD661" w14:textId="77777777" w:rsidTr="0087344D">
        <w:trPr>
          <w:cnfStyle w:val="000000010000" w:firstRow="0" w:lastRow="0" w:firstColumn="0" w:lastColumn="0" w:oddVBand="0" w:evenVBand="0" w:oddHBand="0" w:evenHBand="1" w:firstRowFirstColumn="0" w:firstRowLastColumn="0" w:lastRowFirstColumn="0" w:lastRowLastColumn="0"/>
        </w:trPr>
        <w:tc>
          <w:tcPr>
            <w:tcW w:w="1667" w:type="pct"/>
          </w:tcPr>
          <w:p w14:paraId="6626C69B" w14:textId="7776D9C0" w:rsidR="00BA67E8" w:rsidRPr="00F543C1" w:rsidRDefault="00BA67E8" w:rsidP="0087344D">
            <w:pPr>
              <w:pStyle w:val="TSBodyText"/>
            </w:pPr>
            <w:r w:rsidRPr="00F543C1">
              <w:t>Constitutional perspective</w:t>
            </w:r>
          </w:p>
        </w:tc>
        <w:tc>
          <w:tcPr>
            <w:tcW w:w="1667" w:type="pct"/>
          </w:tcPr>
          <w:p w14:paraId="789E261C" w14:textId="3D3B7C48" w:rsidR="00BA67E8" w:rsidRPr="00F543C1" w:rsidRDefault="00BA67E8" w:rsidP="0087344D">
            <w:pPr>
              <w:pStyle w:val="TSBodyText"/>
            </w:pPr>
            <w:r w:rsidRPr="00F543C1">
              <w:t xml:space="preserve">Accountability is essential </w:t>
            </w:r>
            <w:proofErr w:type="gramStart"/>
            <w:r w:rsidRPr="00F543C1">
              <w:t>in order to</w:t>
            </w:r>
            <w:proofErr w:type="gramEnd"/>
            <w:r w:rsidRPr="00F543C1">
              <w:t xml:space="preserve"> withstand the ever-present tendency toward power concentration and abuse of powers in the executive branch.</w:t>
            </w:r>
          </w:p>
        </w:tc>
        <w:tc>
          <w:tcPr>
            <w:tcW w:w="1666" w:type="pct"/>
          </w:tcPr>
          <w:p w14:paraId="6628FF66" w14:textId="7FD9403B" w:rsidR="00BA67E8" w:rsidRPr="00F543C1" w:rsidRDefault="00BA67E8" w:rsidP="0087344D">
            <w:pPr>
              <w:pStyle w:val="TSBodyText"/>
            </w:pPr>
            <w:r w:rsidRPr="00F543C1">
              <w:t>The extent to which an accountability arrangement curtails the abuse of executive power and privilege.</w:t>
            </w:r>
          </w:p>
        </w:tc>
      </w:tr>
      <w:tr w:rsidR="00BA67E8" w:rsidRPr="00F543C1" w14:paraId="428BCC39" w14:textId="77777777" w:rsidTr="0087344D">
        <w:trPr>
          <w:cnfStyle w:val="010000000000" w:firstRow="0" w:lastRow="1" w:firstColumn="0" w:lastColumn="0" w:oddVBand="0" w:evenVBand="0" w:oddHBand="0" w:evenHBand="0" w:firstRowFirstColumn="0" w:firstRowLastColumn="0" w:lastRowFirstColumn="0" w:lastRowLastColumn="0"/>
        </w:trPr>
        <w:tc>
          <w:tcPr>
            <w:tcW w:w="1667" w:type="pct"/>
          </w:tcPr>
          <w:p w14:paraId="70CA70BA" w14:textId="45CBFF48" w:rsidR="00BA67E8" w:rsidRPr="00F543C1" w:rsidRDefault="00BA67E8" w:rsidP="0087344D">
            <w:pPr>
              <w:pStyle w:val="TSBodyText"/>
            </w:pPr>
            <w:r w:rsidRPr="00F543C1">
              <w:t>Learning perspective</w:t>
            </w:r>
          </w:p>
        </w:tc>
        <w:tc>
          <w:tcPr>
            <w:tcW w:w="1667" w:type="pct"/>
          </w:tcPr>
          <w:p w14:paraId="21538848" w14:textId="28606B8B" w:rsidR="00BA67E8" w:rsidRPr="00F543C1" w:rsidRDefault="00BA67E8" w:rsidP="00BA67E8">
            <w:pPr>
              <w:pStyle w:val="TSBodyText"/>
              <w:tabs>
                <w:tab w:val="left" w:pos="795"/>
              </w:tabs>
            </w:pPr>
            <w:r w:rsidRPr="00F543C1">
              <w:t xml:space="preserve">Accountability provides public </w:t>
            </w:r>
            <w:r w:rsidR="004F5C44" w:rsidRPr="00F543C1">
              <w:t>officeholders</w:t>
            </w:r>
            <w:r w:rsidRPr="00F543C1">
              <w:t xml:space="preserve"> and agencies with feedback-based inducements to increase their effectiveness and efficiency.</w:t>
            </w:r>
          </w:p>
        </w:tc>
        <w:tc>
          <w:tcPr>
            <w:tcW w:w="1666" w:type="pct"/>
          </w:tcPr>
          <w:p w14:paraId="1CA00927" w14:textId="67FACA21" w:rsidR="00BA67E8" w:rsidRPr="00F543C1" w:rsidRDefault="00BA67E8" w:rsidP="0087344D">
            <w:pPr>
              <w:pStyle w:val="TSBodyText"/>
            </w:pPr>
            <w:r w:rsidRPr="00F543C1">
              <w:t>The degree to which an accountability arrangement stimulates public executives and bodies to focus consistently on achieving desirable societal outcomes.</w:t>
            </w:r>
          </w:p>
        </w:tc>
      </w:tr>
    </w:tbl>
    <w:p w14:paraId="1C30ADFC" w14:textId="6762DD9E" w:rsidR="00BA67E8" w:rsidRPr="00726346" w:rsidRDefault="00BA67E8" w:rsidP="00BA67E8">
      <w:pPr>
        <w:pStyle w:val="USSource"/>
      </w:pPr>
      <w:r w:rsidRPr="00F543C1">
        <w:t xml:space="preserve">Source: </w:t>
      </w:r>
      <w:proofErr w:type="spellStart"/>
      <w:r w:rsidRPr="00F543C1">
        <w:t>Bovens</w:t>
      </w:r>
      <w:proofErr w:type="spellEnd"/>
      <w:r w:rsidRPr="00F543C1">
        <w:t xml:space="preserve">, </w:t>
      </w:r>
      <w:proofErr w:type="spellStart"/>
      <w:r w:rsidRPr="00F543C1">
        <w:t>Schillemans</w:t>
      </w:r>
      <w:proofErr w:type="spellEnd"/>
      <w:r w:rsidRPr="00F543C1">
        <w:t xml:space="preserve">, and ’t Hart </w:t>
      </w:r>
      <w:r w:rsidRPr="00F543C1">
        <w:fldChar w:fldCharType="begin"/>
      </w:r>
      <w:r w:rsidR="009B0EC4">
        <w:instrText xml:space="preserve"> ADDIN ZOTERO_ITEM CSL_CITATION {"citationID":"TLngv5t7","properties":{"formattedCitation":"(2008)","plainCitation":"(2008)","noteIndex":0},"citationItems":[{"id":16134,"uris":["http://zotero.org/groups/4801058/items/M7TAYTHR"],"itemData":{"id":16134,"type":"article-journal","abstract":"In recent years, there has been a drive to strengthen existing public accountability arrangements and to design new ones. This prompts the question whether accountability arrangements actually work. In the existing literature, both accountability ‘deficits’ and ‘overloads’ are alleged to exist. However, owing to the lack of a cogent yardstick, the debate tends to be impressionistic and event-driven. In this article we develop an instrument for systematically assessing public accountability arrangements, drawing on three different normative perspectives. In the democratic perspective, accountability arrangements should effectively link government actions to the ‘democratic chain of delegation’. In the constitutional perspective, it is essential that accountability arrangements prevent or uncover abuses of public authority. In the learning perspective, accountability is a tool to make governments effective in delivering on their promises. We demonstrate the use of our multicriteria assessment tool in an analysis of a new accountability arrangement: the boards of oversight of agencies.","container-title":"Public Administration","DOI":"10.1111/j.1467-9299.2008.00716.x","ISSN":"1467-9299","issue":"1","language":"en","note":"number: 1\n_eprint: https://onlinelibrary.wiley.com/doi/pdf/10.1111/j.1467-9299.2008.00716.x","page":"225-242","source":"Wiley Online Library","title":"Does Public Accountability Work? An Assessment Tool","title-short":"Does Public Accountability Work?","volume":"86","author":[{"family":"Bovens","given":"Mark"},{"family":"Schillemans","given":"Thomas"},{"family":"Hart","given":"Paul","non-dropping-particle":"'t"}],"issued":{"date-parts":[["2008"]]}},"label":"page","suppress-author":true}],"schema":"https://github.com/citation-style-language/schema/raw/master/csl-citation.json"} </w:instrText>
      </w:r>
      <w:r w:rsidRPr="00F543C1">
        <w:fldChar w:fldCharType="separate"/>
      </w:r>
      <w:r w:rsidRPr="00F543C1">
        <w:rPr>
          <w:rFonts w:cs="Calibri"/>
        </w:rPr>
        <w:t>(2008)</w:t>
      </w:r>
      <w:r w:rsidRPr="00F543C1">
        <w:fldChar w:fldCharType="end"/>
      </w:r>
    </w:p>
    <w:p w14:paraId="097EBB46" w14:textId="7CB5B50E" w:rsidR="00976D05" w:rsidRPr="00F543C1" w:rsidRDefault="001B1955" w:rsidP="00712E55">
      <w:pPr>
        <w:pStyle w:val="USBodyText"/>
      </w:pPr>
      <w:r w:rsidRPr="00F543C1">
        <w:t>Within this framework of understanding accountability, the three dimensions are directed at doing three separate things. They can thus exist together at the same time</w:t>
      </w:r>
      <w:r w:rsidR="003D3905" w:rsidRPr="00F543C1">
        <w:t xml:space="preserve">, although </w:t>
      </w:r>
      <w:r w:rsidR="00205FAB" w:rsidRPr="00F543C1">
        <w:t>one or other may dominate</w:t>
      </w:r>
      <w:r w:rsidRPr="00F543C1">
        <w:t xml:space="preserve">. </w:t>
      </w:r>
    </w:p>
    <w:p w14:paraId="486FE407" w14:textId="2A0E7917" w:rsidR="00F35E30" w:rsidRPr="00F543C1" w:rsidRDefault="00F35E30" w:rsidP="00F35E30">
      <w:pPr>
        <w:pStyle w:val="Heading2"/>
      </w:pPr>
      <w:bookmarkStart w:id="130" w:name="_Toc126092109"/>
      <w:bookmarkStart w:id="131" w:name="_Ref126316993"/>
      <w:bookmarkStart w:id="132" w:name="_Toc126841212"/>
      <w:r w:rsidRPr="00F543C1">
        <w:t>Accountability deficits and overload</w:t>
      </w:r>
      <w:bookmarkEnd w:id="130"/>
      <w:bookmarkEnd w:id="131"/>
      <w:bookmarkEnd w:id="132"/>
    </w:p>
    <w:p w14:paraId="078BB331" w14:textId="10CA0319" w:rsidR="00F35E30" w:rsidRPr="00F543C1" w:rsidRDefault="00F35E30" w:rsidP="00F35E30">
      <w:pPr>
        <w:ind w:left="851"/>
      </w:pPr>
      <w:r w:rsidRPr="00F543C1">
        <w:t>The literature and popular discourse often contain discussion</w:t>
      </w:r>
      <w:r w:rsidR="002055DA" w:rsidRPr="00F543C1">
        <w:t>s</w:t>
      </w:r>
      <w:r w:rsidRPr="00F543C1">
        <w:t xml:space="preserve"> of ‘accountability overload’ and ‘accountability deficits’, sometimes </w:t>
      </w:r>
      <w:r w:rsidR="00F53CC5" w:rsidRPr="00F543C1">
        <w:t>in relation to</w:t>
      </w:r>
      <w:r w:rsidRPr="00F543C1">
        <w:t xml:space="preserve"> the same system. ‘Accountability deficits’ arise when those exercising ‘power-over’ are not required to sufficiently explain and justify their conduct, while ‘accountability overload’ is </w:t>
      </w:r>
      <w:r w:rsidR="008F64F3" w:rsidRPr="00F543C1">
        <w:t>when providers</w:t>
      </w:r>
      <w:r w:rsidR="00830178" w:rsidRPr="00F543C1">
        <w:t xml:space="preserve"> and </w:t>
      </w:r>
      <w:r w:rsidR="00200B05" w:rsidRPr="00F543C1">
        <w:t xml:space="preserve">agencies </w:t>
      </w:r>
      <w:r w:rsidRPr="00F543C1">
        <w:t xml:space="preserve">are mired in an increasingly complex web of rules and reporting. </w:t>
      </w:r>
    </w:p>
    <w:p w14:paraId="15661FB1" w14:textId="2FAD430B" w:rsidR="00F35E30" w:rsidRPr="00726346" w:rsidRDefault="00F35E30" w:rsidP="00F35E30">
      <w:pPr>
        <w:pStyle w:val="USBodyText"/>
      </w:pPr>
      <w:proofErr w:type="spellStart"/>
      <w:r w:rsidRPr="00F543C1">
        <w:t>Bovens</w:t>
      </w:r>
      <w:proofErr w:type="spellEnd"/>
      <w:r w:rsidRPr="00F543C1">
        <w:t xml:space="preserve"> et al. discuss the implications of insufficient accountability, or accountability deficits, which, “according to various scholars…can be found in various pockets of the public sector”</w:t>
      </w:r>
      <w:r w:rsidRPr="00F543C1">
        <w:fldChar w:fldCharType="begin"/>
      </w:r>
      <w:r w:rsidR="009B0EC4">
        <w:instrText xml:space="preserve"> ADDIN ZOTERO_ITEM CSL_CITATION {"citationID":"DNqZmIWT","properties":{"formattedCitation":"(Bovens, Schillemans, and \\uc0\\u8217{}t Hart 2008, 229)","plainCitation":"(Bovens, Schillemans, and ’t Hart 2008, 229)","noteIndex":0},"citationItems":[{"id":16134,"uris":["http://zotero.org/groups/4801058/items/M7TAYTHR"],"itemData":{"id":16134,"type":"article-journal","abstract":"In recent years, there has been a drive to strengthen existing public accountability arrangements and to design new ones. This prompts the question whether accountability arrangements actually work. In the existing literature, both accountability ‘deficits’ and ‘overloads’ are alleged to exist. However, owing to the lack of a cogent yardstick, the debate tends to be impressionistic and event-driven. In this article we develop an instrument for systematically assessing public accountability arrangements, drawing on three different normative perspectives. In the democratic perspective, accountability arrangements should effectively link government actions to the ‘democratic chain of delegation’. In the constitutional perspective, it is essential that accountability arrangements prevent or uncover abuses of public authority. In the learning perspective, accountability is a tool to make governments effective in delivering on their promises. We demonstrate the use of our multicriteria assessment tool in an analysis of a new accountability arrangement: the boards of oversight of agencies.","container-title":"Public Administration","DOI":"10.1111/j.1467-9299.2008.00716.x","ISSN":"1467-9299","issue":"1","language":"en","note":"number: 1\n_eprint: https://onlinelibrary.wiley.com/doi/pdf/10.1111/j.1467-9299.2008.00716.x","page":"225-242","source":"Wiley Online Library","title":"Does Public Accountability Work? An Assessment Tool","title-short":"Does Public Accountability Work?","volume":"86","author":[{"family":"Bovens","given":"Mark"},{"family":"Schillemans","given":"Thomas"},{"family":"Hart","given":"Paul","non-dropping-particle":"'t"}],"issued":{"date-parts":[["2008"]]}},"locator":"229","label":"page"}],"schema":"https://github.com/citation-style-language/schema/raw/master/csl-citation.json"} </w:instrText>
      </w:r>
      <w:r w:rsidRPr="00F543C1">
        <w:fldChar w:fldCharType="separate"/>
      </w:r>
      <w:r w:rsidRPr="00F543C1">
        <w:rPr>
          <w:rFonts w:cs="Calibri"/>
          <w:szCs w:val="24"/>
        </w:rPr>
        <w:t>(</w:t>
      </w:r>
      <w:proofErr w:type="spellStart"/>
      <w:r w:rsidRPr="00F543C1">
        <w:rPr>
          <w:rFonts w:cs="Calibri"/>
          <w:szCs w:val="24"/>
        </w:rPr>
        <w:t>Bovens</w:t>
      </w:r>
      <w:proofErr w:type="spellEnd"/>
      <w:r w:rsidRPr="00F543C1">
        <w:rPr>
          <w:rFonts w:cs="Calibri"/>
          <w:szCs w:val="24"/>
        </w:rPr>
        <w:t>, Schillemans, and ’t Hart 2008, 229)</w:t>
      </w:r>
      <w:r w:rsidRPr="00F543C1">
        <w:fldChar w:fldCharType="end"/>
      </w:r>
      <w:r w:rsidRPr="00726346">
        <w:t>:</w:t>
      </w:r>
      <w:r w:rsidRPr="009006D7">
        <w:rPr>
          <w:rStyle w:val="FootnoteReference"/>
        </w:rPr>
        <w:footnoteReference w:id="106"/>
      </w:r>
    </w:p>
    <w:p w14:paraId="09DA8852" w14:textId="7B08C8BF" w:rsidR="00F35E30" w:rsidRPr="00F543C1" w:rsidRDefault="00F35E30" w:rsidP="00F35E30">
      <w:pPr>
        <w:pStyle w:val="Quotation"/>
      </w:pPr>
      <w:r w:rsidRPr="00F543C1">
        <w:t xml:space="preserve">[Accountability deficits refer] to a condition where those who govern us are not sufficiently hemmed in by requirements to explain their conduct publicly – to legal, professional, administrative, </w:t>
      </w:r>
      <w:proofErr w:type="gramStart"/>
      <w:r w:rsidRPr="00F543C1">
        <w:t>social</w:t>
      </w:r>
      <w:proofErr w:type="gramEnd"/>
      <w:r w:rsidRPr="00F543C1">
        <w:t xml:space="preserve"> or political forums who have some sort of power to sanction them.</w:t>
      </w:r>
      <w:r w:rsidRPr="006A03BD">
        <w:rPr>
          <w:i w:val="0"/>
          <w:iCs/>
        </w:rPr>
        <w:t xml:space="preserve"> (</w:t>
      </w:r>
      <w:r w:rsidR="00070CBD">
        <w:rPr>
          <w:i w:val="0"/>
          <w:iCs/>
        </w:rPr>
        <w:t>ibid</w:t>
      </w:r>
      <w:r w:rsidR="00F13A35">
        <w:rPr>
          <w:i w:val="0"/>
          <w:iCs/>
        </w:rPr>
        <w:t>.</w:t>
      </w:r>
      <w:r w:rsidRPr="00F543C1">
        <w:rPr>
          <w:i w:val="0"/>
          <w:iCs/>
        </w:rPr>
        <w:t>).</w:t>
      </w:r>
    </w:p>
    <w:p w14:paraId="1FAC5C0D" w14:textId="0B634645" w:rsidR="00F35E30" w:rsidRDefault="00F35E30" w:rsidP="00F35E30">
      <w:pPr>
        <w:ind w:left="851"/>
      </w:pPr>
      <w:r w:rsidRPr="00F543C1">
        <w:lastRenderedPageBreak/>
        <w:t xml:space="preserve">Accountability deficits </w:t>
      </w:r>
      <w:r w:rsidR="00503CFA" w:rsidRPr="00F543C1">
        <w:t xml:space="preserve">described in the literature </w:t>
      </w:r>
      <w:r w:rsidRPr="00F543C1">
        <w:t xml:space="preserve">mainly relate to </w:t>
      </w:r>
      <w:r w:rsidRPr="00F543C1">
        <w:rPr>
          <w:b/>
          <w:bCs/>
        </w:rPr>
        <w:t>democratic</w:t>
      </w:r>
      <w:r w:rsidRPr="00F543C1">
        <w:t xml:space="preserve"> accountability and can focus on the effectiveness and value</w:t>
      </w:r>
      <w:r w:rsidR="005723E7">
        <w:t xml:space="preserve"> </w:t>
      </w:r>
      <w:r w:rsidRPr="00F543C1">
        <w:t>for</w:t>
      </w:r>
      <w:r w:rsidR="005723E7">
        <w:t xml:space="preserve"> </w:t>
      </w:r>
      <w:r w:rsidRPr="00F543C1">
        <w:t xml:space="preserve">money of programmes and projects </w:t>
      </w:r>
      <w:r w:rsidRPr="00F543C1">
        <w:fldChar w:fldCharType="begin"/>
      </w:r>
      <w:r w:rsidR="009B0EC4">
        <w:instrText xml:space="preserve"> ADDIN ZOTERO_ITEM CSL_CITATION {"citationID":"YMBdn7Cz","properties":{"formattedCitation":"(Mulgan 2014)","plainCitation":"(Mulgan 2014)","noteIndex":0},"citationItems":[{"id":16569,"uris":["http://zotero.org/groups/4801058/items/WKFMD6P2"],"itemData":{"id":16569,"type":"chapter","container-title":"The Oxford Handbook of Public Accountability","ISBN":"978-0-19-964125-3","note":"DOI: 10.1093/oxfordhb/9780199641253.013.0010","publisher":"Oxford University Press","source":"DOI.org (Crossref)","title":"Accountability Deficits","URL":"https://academic.oup.com/edited-volume/28191/chapter/213135914","author":[{"family":"Mulgan","given":"Richard"}],"accessed":{"date-parts":[["2022",10,11]]},"issued":{"date-parts":[["2014",5,1]]}}}],"schema":"https://github.com/citation-style-language/schema/raw/master/csl-citation.json"} </w:instrText>
      </w:r>
      <w:r w:rsidRPr="00F543C1">
        <w:fldChar w:fldCharType="separate"/>
      </w:r>
      <w:r w:rsidRPr="00F543C1">
        <w:rPr>
          <w:rFonts w:cs="Calibri"/>
        </w:rPr>
        <w:t>(Mulgan 2014)</w:t>
      </w:r>
      <w:r w:rsidRPr="00F543C1">
        <w:fldChar w:fldCharType="end"/>
      </w:r>
      <w:r w:rsidRPr="00726346">
        <w:t xml:space="preserve">. But </w:t>
      </w:r>
      <w:r w:rsidR="00B55C50" w:rsidRPr="00F543C1">
        <w:t xml:space="preserve">in our view, especially as </w:t>
      </w:r>
      <w:r w:rsidR="00230AF7" w:rsidRPr="00F543C1">
        <w:t xml:space="preserve">practised </w:t>
      </w:r>
      <w:r w:rsidR="00B55C50" w:rsidRPr="00F543C1">
        <w:t xml:space="preserve">in New Zealand, </w:t>
      </w:r>
      <w:r w:rsidR="008078A2" w:rsidRPr="00F543C1">
        <w:t xml:space="preserve">deficits </w:t>
      </w:r>
      <w:r w:rsidR="00B55C50" w:rsidRPr="00F543C1">
        <w:t xml:space="preserve">can </w:t>
      </w:r>
      <w:r w:rsidRPr="00F543C1">
        <w:t xml:space="preserve">also relate to accountability as a mechanism for </w:t>
      </w:r>
      <w:r w:rsidRPr="00F543C1">
        <w:rPr>
          <w:b/>
          <w:bCs/>
        </w:rPr>
        <w:t>learning</w:t>
      </w:r>
      <w:r w:rsidRPr="00F543C1">
        <w:t xml:space="preserve">, where </w:t>
      </w:r>
      <w:r w:rsidR="00230AF7" w:rsidRPr="00F543C1">
        <w:t xml:space="preserve">the </w:t>
      </w:r>
      <w:r w:rsidRPr="00F543C1">
        <w:t xml:space="preserve">experience of programme effectiveness at multiple levels is not brought to bear to improve outcomes. </w:t>
      </w:r>
    </w:p>
    <w:p w14:paraId="32542349" w14:textId="34C4CD40" w:rsidR="00F35E30" w:rsidRPr="00F543C1" w:rsidRDefault="00197A63" w:rsidP="00F35E30">
      <w:pPr>
        <w:ind w:left="851"/>
      </w:pPr>
      <w:r>
        <w:t>A</w:t>
      </w:r>
      <w:r w:rsidR="0026601B">
        <w:t>ccountability deficits</w:t>
      </w:r>
      <w:r>
        <w:t xml:space="preserve">, especially at the level of </w:t>
      </w:r>
      <w:r w:rsidR="00A51A02">
        <w:t xml:space="preserve">agencies </w:t>
      </w:r>
      <w:r>
        <w:t>and service providers</w:t>
      </w:r>
      <w:r w:rsidR="00A8366A">
        <w:t>,</w:t>
      </w:r>
      <w:r w:rsidR="0026601B">
        <w:t xml:space="preserve"> </w:t>
      </w:r>
      <w:r>
        <w:t xml:space="preserve">can arise because </w:t>
      </w:r>
      <w:r w:rsidR="00A8366A">
        <w:t xml:space="preserve">organisational </w:t>
      </w:r>
      <w:r w:rsidR="00916D17">
        <w:t>structures</w:t>
      </w:r>
      <w:r w:rsidR="00A8366A">
        <w:t xml:space="preserve"> and </w:t>
      </w:r>
      <w:r w:rsidR="00916D17">
        <w:t>contracts can create perverse incentives</w:t>
      </w:r>
      <w:r w:rsidR="00FB5C34">
        <w:t xml:space="preserve"> that can lead to agencies and service providers</w:t>
      </w:r>
      <w:r w:rsidR="00FB5C34" w:rsidDel="005B196B">
        <w:t xml:space="preserve"> </w:t>
      </w:r>
      <w:r w:rsidR="00FB5C34">
        <w:t xml:space="preserve">to act in ways that reduce the </w:t>
      </w:r>
      <w:r w:rsidR="00A55076">
        <w:t xml:space="preserve">overall </w:t>
      </w:r>
      <w:r w:rsidR="00FB5C34">
        <w:t>effectiveness of programme</w:t>
      </w:r>
      <w:r w:rsidR="002D2D27">
        <w:t>s</w:t>
      </w:r>
      <w:r w:rsidR="00FB5C34">
        <w:t xml:space="preserve"> </w:t>
      </w:r>
      <w:r w:rsidR="006930DB" w:rsidRPr="00667F92">
        <w:rPr>
          <w:i/>
          <w:iCs/>
        </w:rPr>
        <w:fldChar w:fldCharType="begin"/>
      </w:r>
      <w:r w:rsidR="009B0EC4">
        <w:rPr>
          <w:i/>
          <w:iCs/>
        </w:rPr>
        <w:instrText xml:space="preserve"> ADDIN ZOTERO_ITEM CSL_CITATION {"citationID":"Z4zZMV30","properties":{"formattedCitation":"(Government Outcomes Lab 2023)","plainCitation":"(Government Outcomes Lab 2023)","noteIndex":0},"citationItems":[{"id":18626,"uris":["http://zotero.org/groups/4801058/items/XT9BBFKD"],"itemData":{"id":18626,"type":"webpage","abstract":"This guide offers an introduction to outcomes-based contracting, including its place among other methods of contracting out public services, the theoretical pros and cons, and the evidence to date.","container-title":"The Government Outcomes Lab","language":"en","title":"Outcomes-based contracting","URL":"https://golab.bsg.ox.ac.uk/the-basics/outcomes-based-contracting/","author":[{"family":"Government Outcomes Lab","given":""}],"accessed":{"date-parts":[["2023",1,26]]},"issued":{"date-parts":[["2023"]]}}}],"schema":"https://github.com/citation-style-language/schema/raw/master/csl-citation.json"} </w:instrText>
      </w:r>
      <w:r w:rsidR="006930DB" w:rsidRPr="00667F92">
        <w:rPr>
          <w:i/>
          <w:iCs/>
        </w:rPr>
        <w:fldChar w:fldCharType="separate"/>
      </w:r>
      <w:r w:rsidR="006930DB" w:rsidRPr="00667F92">
        <w:rPr>
          <w:rFonts w:cs="Calibri"/>
          <w:iCs/>
        </w:rPr>
        <w:t>(Government Outcomes Lab 2023)</w:t>
      </w:r>
      <w:r w:rsidR="006930DB" w:rsidRPr="00667F92">
        <w:rPr>
          <w:i/>
          <w:iCs/>
        </w:rPr>
        <w:fldChar w:fldCharType="end"/>
      </w:r>
      <w:r w:rsidR="00E376E5">
        <w:rPr>
          <w:i/>
          <w:iCs/>
        </w:rPr>
        <w:t>.</w:t>
      </w:r>
      <w:r w:rsidR="00407660" w:rsidRPr="009006D7">
        <w:rPr>
          <w:rStyle w:val="FootnoteReference"/>
        </w:rPr>
        <w:footnoteReference w:id="107"/>
      </w:r>
      <w:r w:rsidR="00407660">
        <w:t xml:space="preserve"> </w:t>
      </w:r>
      <w:r w:rsidR="005B196B">
        <w:rPr>
          <w:i/>
          <w:iCs/>
        </w:rPr>
        <w:t xml:space="preserve"> </w:t>
      </w:r>
      <w:r w:rsidR="00230AF7" w:rsidRPr="00F543C1">
        <w:t>On the other hand, accountability overload mainly relates to the constitutional aspect of accountability, where</w:t>
      </w:r>
      <w:r w:rsidR="00F35E30" w:rsidRPr="00F543C1">
        <w:t xml:space="preserve"> excessive concern about probity can drive systems to the point of collapse.</w:t>
      </w:r>
      <w:r w:rsidR="002050F2" w:rsidRPr="00F543C1">
        <w:t xml:space="preserve"> </w:t>
      </w:r>
    </w:p>
    <w:p w14:paraId="60DA62B6" w14:textId="7437C18B" w:rsidR="00F35E30" w:rsidRPr="00726346" w:rsidRDefault="00F35E30" w:rsidP="00F35E30">
      <w:pPr>
        <w:pStyle w:val="Quotation"/>
      </w:pPr>
      <w:r w:rsidRPr="00F543C1">
        <w:t>Many contemporary public administrators complain about accountability overload. They refer to the increasingly dense web of material and procedural law specifying criteria for administrative conduct. They say it has opened the door to judicial control practices that are minute, time-consuming and paralytic in their effects.</w:t>
      </w:r>
      <w:r w:rsidR="00DE0B9B" w:rsidRPr="00F543C1">
        <w:t xml:space="preserve"> </w:t>
      </w:r>
      <w:r w:rsidRPr="00F543C1">
        <w:rPr>
          <w:i w:val="0"/>
          <w:iCs/>
        </w:rPr>
        <w:fldChar w:fldCharType="begin"/>
      </w:r>
      <w:r w:rsidR="009B0EC4">
        <w:rPr>
          <w:i w:val="0"/>
          <w:iCs/>
        </w:rPr>
        <w:instrText xml:space="preserve"> ADDIN ZOTERO_ITEM CSL_CITATION {"citationID":"trEt5OYs","properties":{"formattedCitation":"(Bovens, Schillemans, and \\uc0\\u8217{}t Hart 2008, 227, internal citations omitted.)","plainCitation":"(Bovens, Schillemans, and ’t Hart 2008, 227, internal citations omitted.)","noteIndex":0},"citationItems":[{"id":16134,"uris":["http://zotero.org/groups/4801058/items/M7TAYTHR"],"itemData":{"id":16134,"type":"article-journal","abstract":"In recent years, there has been a drive to strengthen existing public accountability arrangements and to design new ones. This prompts the question whether accountability arrangements actually work. In the existing literature, both accountability ‘deficits’ and ‘overloads’ are alleged to exist. However, owing to the lack of a cogent yardstick, the debate tends to be impressionistic and event-driven. In this article we develop an instrument for systematically assessing public accountability arrangements, drawing on three different normative perspectives. In the democratic perspective, accountability arrangements should effectively link government actions to the ‘democratic chain of delegation’. In the constitutional perspective, it is essential that accountability arrangements prevent or uncover abuses of public authority. In the learning perspective, accountability is a tool to make governments effective in delivering on their promises. We demonstrate the use of our multicriteria assessment tool in an analysis of a new accountability arrangement: the boards of oversight of agencies.","container-title":"Public Administration","DOI":"10.1111/j.1467-9299.2008.00716.x","ISSN":"1467-9299","issue":"1","language":"en","note":"number: 1\n_eprint: https://onlinelibrary.wiley.com/doi/pdf/10.1111/j.1467-9299.2008.00716.x","page":"225-242","source":"Wiley Online Library","title":"Does Public Accountability Work? An Assessment Tool","title-short":"Does Public Accountability Work?","volume":"86","author":[{"family":"Bovens","given":"Mark"},{"family":"Schillemans","given":"Thomas"},{"family":"Hart","given":"Paul","non-dropping-particle":"'t"}],"issued":{"date-parts":[["2008"]]}},"locator":"227","label":"page","suffix":", internal citations omitted."}],"schema":"https://github.com/citation-style-language/schema/raw/master/csl-citation.json"} </w:instrText>
      </w:r>
      <w:r w:rsidRPr="00F543C1">
        <w:rPr>
          <w:i w:val="0"/>
          <w:iCs/>
        </w:rPr>
        <w:fldChar w:fldCharType="separate"/>
      </w:r>
      <w:r w:rsidRPr="00F543C1">
        <w:rPr>
          <w:rFonts w:cs="Calibri"/>
          <w:i w:val="0"/>
          <w:iCs/>
          <w:szCs w:val="24"/>
        </w:rPr>
        <w:t>(Bovens, Schillemans, and ’t Hart 2008, 227, internal citations omitted.)</w:t>
      </w:r>
      <w:r w:rsidRPr="00F543C1">
        <w:rPr>
          <w:i w:val="0"/>
          <w:iCs/>
        </w:rPr>
        <w:fldChar w:fldCharType="end"/>
      </w:r>
    </w:p>
    <w:p w14:paraId="3509CCFD" w14:textId="306F9A90" w:rsidR="00F35E30" w:rsidRPr="00F543C1" w:rsidRDefault="00F35E30" w:rsidP="00F35E30">
      <w:pPr>
        <w:ind w:left="851"/>
      </w:pPr>
      <w:r w:rsidRPr="00726346">
        <w:t xml:space="preserve">Mark </w:t>
      </w:r>
      <w:proofErr w:type="spellStart"/>
      <w:r w:rsidRPr="00726346">
        <w:t>Bovens</w:t>
      </w:r>
      <w:proofErr w:type="spellEnd"/>
      <w:r w:rsidRPr="00726346">
        <w:t xml:space="preserve"> suggests that there are ‘functions and dysfunctions’ of public accountabili</w:t>
      </w:r>
      <w:r w:rsidRPr="00F543C1">
        <w:t xml:space="preserve">ty. ‘Too much’ of any type of accountability can have negative consequences </w:t>
      </w:r>
      <w:r w:rsidRPr="00F543C1">
        <w:fldChar w:fldCharType="begin"/>
      </w:r>
      <w:r w:rsidR="009B0EC4">
        <w:instrText xml:space="preserve"> ADDIN ZOTERO_ITEM CSL_CITATION {"citationID":"JUss118r","properties":{"formattedCitation":"(Bovens 2007b, 194)","plainCitation":"(Bovens 2007b, 194)","noteIndex":0},"citationItems":[{"id":16002,"uris":["http://zotero.org/groups/4623831/items/YWYIR55T"],"itemData":{"id":16002,"type":"chapter","abstract":"Public accountability is the hallmark of modern democratic governance. Democracy remains a paper procedure if those in power cannot be held accountable in public for their acts and omissions, for their decisions, their policies, and their expenditures. Public accountability, as an institution, therefore, is the complement of public management. As a concept, however, “public accountability” is rather elusive. It is one of those evocative political words that can be used to patch up a rambling argument, to evoke an image of trustworthiness, fidelity, and justice, or to hold critics at bay. Historically, the concept of accountability is closely related to accounting. In fact, it literally comes from bookkeeping. Nowadays, accountability has moved far beyond its bookkeeping origins and has become a symbol for good governance, both in the public and in the private sector.","container-title":"The Oxford Handbook of Public Management","ISBN":"978-0-19-922644-3","note":"DOI: 10.1093/oxfordhb/9780199226443.003.0009","page":"0","publisher":"Oxford University Press","source":"Silverchair","title":"Public Accountability","URL":"https://doi.org/10.1093/oxfordhb/9780199226443.003.0009","author":[{"family":"Bovens","given":"Mark"}],"editor":[{"family":"Ferlie","given":"Ewan"},{"family":"Lynn","given":"Laurence E."},{"family":"Pollitt","given":"Christopher"}],"accessed":{"date-parts":[["2022",9,27]]},"issued":{"date-parts":[["2007",6,21]]}},"locator":"194","label":"page"}],"schema":"https://github.com/citation-style-language/schema/raw/master/csl-citation.json"} </w:instrText>
      </w:r>
      <w:r w:rsidRPr="00F543C1">
        <w:fldChar w:fldCharType="separate"/>
      </w:r>
      <w:r w:rsidRPr="00F543C1">
        <w:rPr>
          <w:rFonts w:cs="Calibri"/>
        </w:rPr>
        <w:t>(Bovens 2007b, 194)</w:t>
      </w:r>
      <w:r w:rsidRPr="00F543C1">
        <w:fldChar w:fldCharType="end"/>
      </w:r>
      <w:r w:rsidR="00EE01C2" w:rsidRPr="00726346">
        <w:t xml:space="preserve">, just as ‘too little’ will </w:t>
      </w:r>
      <w:r w:rsidR="00B3694F" w:rsidRPr="00F543C1">
        <w:t>lead to the inappropriate use of power</w:t>
      </w:r>
      <w:r w:rsidRPr="00F543C1">
        <w:t>.</w:t>
      </w:r>
      <w:r w:rsidR="00F60891" w:rsidRPr="009006D7">
        <w:rPr>
          <w:rStyle w:val="FootnoteReference"/>
        </w:rPr>
        <w:footnoteReference w:id="108"/>
      </w:r>
      <w:r w:rsidRPr="00726346">
        <w:t xml:space="preserve"> </w:t>
      </w:r>
      <w:proofErr w:type="spellStart"/>
      <w:r w:rsidR="00B3694F" w:rsidRPr="00F543C1">
        <w:t>Bovens</w:t>
      </w:r>
      <w:proofErr w:type="spellEnd"/>
      <w:r w:rsidR="00B3694F" w:rsidRPr="00F543C1">
        <w:t xml:space="preserve"> </w:t>
      </w:r>
      <w:r w:rsidR="000D7B51" w:rsidRPr="00F543C1">
        <w:t>considers the</w:t>
      </w:r>
      <w:r w:rsidRPr="00F543C1">
        <w:t xml:space="preserve"> possibilities</w:t>
      </w:r>
      <w:r w:rsidR="000D7B51" w:rsidRPr="00F543C1">
        <w:t xml:space="preserve"> </w:t>
      </w:r>
      <w:r w:rsidR="00B430AE" w:rsidRPr="00F543C1">
        <w:t xml:space="preserve">as </w:t>
      </w:r>
      <w:r w:rsidR="000D7B51" w:rsidRPr="00F543C1">
        <w:t>set out in Table 3 below</w:t>
      </w:r>
      <w:r w:rsidRPr="00F543C1">
        <w:t>.</w:t>
      </w:r>
    </w:p>
    <w:p w14:paraId="5409DCD3" w14:textId="5AA1C8C8" w:rsidR="00F35E30" w:rsidRPr="00F543C1" w:rsidRDefault="00F35E30" w:rsidP="00F35E30">
      <w:pPr>
        <w:pStyle w:val="TableCaption"/>
      </w:pPr>
      <w:bookmarkStart w:id="133" w:name="_Toc126841247"/>
      <w:r w:rsidRPr="00F543C1">
        <w:t xml:space="preserve">Table </w:t>
      </w:r>
      <w:r w:rsidRPr="00F543C1">
        <w:fldChar w:fldCharType="begin"/>
      </w:r>
      <w:r w:rsidRPr="00F543C1">
        <w:instrText>SEQ Table \* ARABIC</w:instrText>
      </w:r>
      <w:r w:rsidRPr="00F543C1">
        <w:fldChar w:fldCharType="separate"/>
      </w:r>
      <w:r w:rsidR="00E06351">
        <w:rPr>
          <w:noProof/>
        </w:rPr>
        <w:t>3</w:t>
      </w:r>
      <w:r w:rsidRPr="00F543C1">
        <w:fldChar w:fldCharType="end"/>
      </w:r>
      <w:r w:rsidRPr="00726346">
        <w:t xml:space="preserve"> Functions and dysfunctions of public accountability</w:t>
      </w:r>
      <w:bookmarkEnd w:id="133"/>
    </w:p>
    <w:p w14:paraId="19697F78" w14:textId="77777777" w:rsidR="00F35E30" w:rsidRPr="00F543C1" w:rsidRDefault="00F35E30" w:rsidP="00F35E30">
      <w:pPr>
        <w:pStyle w:val="CaptionSubheading"/>
      </w:pPr>
    </w:p>
    <w:tbl>
      <w:tblPr>
        <w:tblStyle w:val="TableDefault"/>
        <w:tblW w:w="7229" w:type="dxa"/>
        <w:tblLook w:val="0460" w:firstRow="1" w:lastRow="1" w:firstColumn="0" w:lastColumn="0" w:noHBand="0" w:noVBand="1"/>
      </w:tblPr>
      <w:tblGrid>
        <w:gridCol w:w="2550"/>
        <w:gridCol w:w="4679"/>
      </w:tblGrid>
      <w:tr w:rsidR="00F35E30" w:rsidRPr="00F543C1" w14:paraId="0AE96B23" w14:textId="77777777" w:rsidTr="00C63FD8">
        <w:trPr>
          <w:cnfStyle w:val="100000000000" w:firstRow="1" w:lastRow="0" w:firstColumn="0" w:lastColumn="0" w:oddVBand="0" w:evenVBand="0" w:oddHBand="0" w:evenHBand="0" w:firstRowFirstColumn="0" w:firstRowLastColumn="0" w:lastRowFirstColumn="0" w:lastRowLastColumn="0"/>
        </w:trPr>
        <w:tc>
          <w:tcPr>
            <w:tcW w:w="1764" w:type="pct"/>
          </w:tcPr>
          <w:p w14:paraId="7F4BD8E2" w14:textId="77777777" w:rsidR="00F35E30" w:rsidRPr="00F543C1" w:rsidRDefault="00F35E30" w:rsidP="00182528">
            <w:pPr>
              <w:pStyle w:val="TSTableHeadingWhite-TopRow"/>
            </w:pPr>
            <w:r w:rsidRPr="00F543C1">
              <w:t>Functions</w:t>
            </w:r>
          </w:p>
        </w:tc>
        <w:tc>
          <w:tcPr>
            <w:tcW w:w="3236" w:type="pct"/>
          </w:tcPr>
          <w:p w14:paraId="1BCC6272" w14:textId="77777777" w:rsidR="00F35E30" w:rsidRPr="00F543C1" w:rsidRDefault="00F35E30" w:rsidP="00182528">
            <w:pPr>
              <w:pStyle w:val="TSTableHeadingWhite-TopRow"/>
            </w:pPr>
            <w:r w:rsidRPr="00F543C1">
              <w:t>Dysfunctions</w:t>
            </w:r>
          </w:p>
        </w:tc>
      </w:tr>
      <w:tr w:rsidR="00F35E30" w:rsidRPr="00F543C1" w14:paraId="7EB4C05B" w14:textId="77777777" w:rsidTr="00C63FD8">
        <w:tc>
          <w:tcPr>
            <w:tcW w:w="1764" w:type="pct"/>
          </w:tcPr>
          <w:p w14:paraId="37BFC846" w14:textId="77777777" w:rsidR="00F35E30" w:rsidRPr="00F543C1" w:rsidRDefault="00F35E30" w:rsidP="00182528">
            <w:pPr>
              <w:pStyle w:val="TSBodyText"/>
            </w:pPr>
            <w:r w:rsidRPr="00F543C1">
              <w:t>Democratic control</w:t>
            </w:r>
          </w:p>
        </w:tc>
        <w:tc>
          <w:tcPr>
            <w:tcW w:w="3236" w:type="pct"/>
          </w:tcPr>
          <w:p w14:paraId="537305DD" w14:textId="6F595656" w:rsidR="00F35E30" w:rsidRPr="00726346" w:rsidRDefault="00A47CF9" w:rsidP="00182528">
            <w:pPr>
              <w:pStyle w:val="TSBodyText"/>
            </w:pPr>
            <w:r w:rsidRPr="00F543C1">
              <w:t>An obsession with following rules at the expense of innovation.</w:t>
            </w:r>
            <w:r w:rsidR="005D5905" w:rsidRPr="009006D7">
              <w:rPr>
                <w:rStyle w:val="FootnoteReference"/>
              </w:rPr>
              <w:footnoteReference w:id="109"/>
            </w:r>
          </w:p>
        </w:tc>
      </w:tr>
      <w:tr w:rsidR="00F35E30" w:rsidRPr="00F543C1" w14:paraId="50586172" w14:textId="77777777" w:rsidTr="00C63FD8">
        <w:trPr>
          <w:cnfStyle w:val="000000010000" w:firstRow="0" w:lastRow="0" w:firstColumn="0" w:lastColumn="0" w:oddVBand="0" w:evenVBand="0" w:oddHBand="0" w:evenHBand="1" w:firstRowFirstColumn="0" w:firstRowLastColumn="0" w:lastRowFirstColumn="0" w:lastRowLastColumn="0"/>
        </w:trPr>
        <w:tc>
          <w:tcPr>
            <w:tcW w:w="1764" w:type="pct"/>
          </w:tcPr>
          <w:p w14:paraId="7744516D" w14:textId="77777777" w:rsidR="00F35E30" w:rsidRPr="00F543C1" w:rsidRDefault="00F35E30" w:rsidP="00182528">
            <w:pPr>
              <w:pStyle w:val="TSBodyText"/>
            </w:pPr>
            <w:r w:rsidRPr="00F543C1">
              <w:t>Integrity</w:t>
            </w:r>
          </w:p>
        </w:tc>
        <w:tc>
          <w:tcPr>
            <w:tcW w:w="3236" w:type="pct"/>
          </w:tcPr>
          <w:p w14:paraId="12F4B1DF" w14:textId="09F8F658" w:rsidR="00F35E30" w:rsidRPr="00F543C1" w:rsidRDefault="00F35E30" w:rsidP="00182528">
            <w:pPr>
              <w:pStyle w:val="TSBodyText"/>
            </w:pPr>
            <w:r w:rsidRPr="00F543C1">
              <w:t>Proceduralism</w:t>
            </w:r>
            <w:r w:rsidR="003365C5" w:rsidRPr="00F543C1">
              <w:t xml:space="preserve">, where </w:t>
            </w:r>
            <w:r w:rsidR="00BD715A" w:rsidRPr="00F543C1">
              <w:t>results</w:t>
            </w:r>
            <w:r w:rsidR="003365C5" w:rsidRPr="00F543C1">
              <w:t xml:space="preserve"> are judged </w:t>
            </w:r>
            <w:r w:rsidR="00BD715A" w:rsidRPr="00F543C1">
              <w:t>fair if they are produced by the right process, rather than by their content.</w:t>
            </w:r>
            <w:r w:rsidR="00135249" w:rsidRPr="009006D7">
              <w:rPr>
                <w:rStyle w:val="FootnoteReference"/>
              </w:rPr>
              <w:footnoteReference w:id="110"/>
            </w:r>
            <w:r w:rsidR="00BD715A" w:rsidRPr="00726346">
              <w:t xml:space="preserve"> </w:t>
            </w:r>
          </w:p>
        </w:tc>
      </w:tr>
      <w:tr w:rsidR="00F35E30" w:rsidRPr="00F543C1" w14:paraId="35F601DF" w14:textId="77777777" w:rsidTr="00C63FD8">
        <w:tc>
          <w:tcPr>
            <w:tcW w:w="1764" w:type="pct"/>
          </w:tcPr>
          <w:p w14:paraId="699F3D69" w14:textId="77777777" w:rsidR="00F35E30" w:rsidRPr="00F543C1" w:rsidRDefault="00F35E30" w:rsidP="00182528">
            <w:pPr>
              <w:pStyle w:val="TSBodyText"/>
            </w:pPr>
            <w:r w:rsidRPr="00F543C1">
              <w:t>Improvement</w:t>
            </w:r>
          </w:p>
        </w:tc>
        <w:tc>
          <w:tcPr>
            <w:tcW w:w="3236" w:type="pct"/>
          </w:tcPr>
          <w:p w14:paraId="1D03CDAC" w14:textId="14D095E8" w:rsidR="00F35E30" w:rsidRPr="00F543C1" w:rsidRDefault="00F35E30" w:rsidP="00182528">
            <w:pPr>
              <w:pStyle w:val="TSBodyText"/>
            </w:pPr>
            <w:r w:rsidRPr="00F543C1">
              <w:t>Rigidity</w:t>
            </w:r>
            <w:r w:rsidR="00ED35F9" w:rsidRPr="00F543C1">
              <w:t xml:space="preserve">, where it becomes difficult to change rules and </w:t>
            </w:r>
            <w:r w:rsidR="00145E1C" w:rsidRPr="00F543C1">
              <w:t>procedures</w:t>
            </w:r>
            <w:r w:rsidR="00ED35F9" w:rsidRPr="00F543C1">
              <w:t xml:space="preserve">, even </w:t>
            </w:r>
            <w:r w:rsidR="00145E1C" w:rsidRPr="00F543C1">
              <w:t>in</w:t>
            </w:r>
            <w:r w:rsidR="00ED35F9" w:rsidRPr="00F543C1">
              <w:t xml:space="preserve"> the </w:t>
            </w:r>
            <w:r w:rsidR="00145E1C" w:rsidRPr="00F543C1">
              <w:t>f</w:t>
            </w:r>
            <w:r w:rsidR="00ED35F9" w:rsidRPr="00F543C1">
              <w:t xml:space="preserve">ace of evidence of </w:t>
            </w:r>
            <w:r w:rsidR="00145E1C" w:rsidRPr="00F543C1">
              <w:t xml:space="preserve">poor outcomes. </w:t>
            </w:r>
          </w:p>
        </w:tc>
      </w:tr>
      <w:tr w:rsidR="00F35E30" w:rsidRPr="00F543C1" w14:paraId="62DF82C1" w14:textId="77777777" w:rsidTr="00C63FD8">
        <w:trPr>
          <w:cnfStyle w:val="000000010000" w:firstRow="0" w:lastRow="0" w:firstColumn="0" w:lastColumn="0" w:oddVBand="0" w:evenVBand="0" w:oddHBand="0" w:evenHBand="1" w:firstRowFirstColumn="0" w:firstRowLastColumn="0" w:lastRowFirstColumn="0" w:lastRowLastColumn="0"/>
        </w:trPr>
        <w:tc>
          <w:tcPr>
            <w:tcW w:w="1764" w:type="pct"/>
          </w:tcPr>
          <w:p w14:paraId="39B29F4E" w14:textId="77777777" w:rsidR="00F35E30" w:rsidRPr="00F543C1" w:rsidRDefault="00F35E30" w:rsidP="00182528">
            <w:pPr>
              <w:pStyle w:val="TSBodyText"/>
            </w:pPr>
            <w:r w:rsidRPr="00F543C1">
              <w:t>Legitimacy</w:t>
            </w:r>
          </w:p>
        </w:tc>
        <w:tc>
          <w:tcPr>
            <w:tcW w:w="3236" w:type="pct"/>
          </w:tcPr>
          <w:p w14:paraId="14963E44" w14:textId="315A63FB" w:rsidR="00F35E30" w:rsidRPr="00F543C1" w:rsidRDefault="00F35E30" w:rsidP="00182528">
            <w:pPr>
              <w:pStyle w:val="TSBodyText"/>
            </w:pPr>
            <w:r w:rsidRPr="00F543C1">
              <w:t>Politics of scandal</w:t>
            </w:r>
            <w:r w:rsidR="008524FC" w:rsidRPr="00F543C1">
              <w:t>.</w:t>
            </w:r>
          </w:p>
        </w:tc>
      </w:tr>
      <w:tr w:rsidR="00F35E30" w:rsidRPr="00F543C1" w14:paraId="352F0102" w14:textId="77777777" w:rsidTr="00C63FD8">
        <w:trPr>
          <w:cnfStyle w:val="010000000000" w:firstRow="0" w:lastRow="1" w:firstColumn="0" w:lastColumn="0" w:oddVBand="0" w:evenVBand="0" w:oddHBand="0" w:evenHBand="0" w:firstRowFirstColumn="0" w:firstRowLastColumn="0" w:lastRowFirstColumn="0" w:lastRowLastColumn="0"/>
        </w:trPr>
        <w:tc>
          <w:tcPr>
            <w:tcW w:w="1764" w:type="pct"/>
          </w:tcPr>
          <w:p w14:paraId="33A80DF7" w14:textId="72BA0CCB" w:rsidR="00F35E30" w:rsidRPr="00F543C1" w:rsidRDefault="00ED6056" w:rsidP="00182528">
            <w:pPr>
              <w:pStyle w:val="TSBodyText"/>
            </w:pPr>
            <w:r w:rsidRPr="00F543C1">
              <w:t>Reconciliation</w:t>
            </w:r>
          </w:p>
        </w:tc>
        <w:tc>
          <w:tcPr>
            <w:tcW w:w="3236" w:type="pct"/>
          </w:tcPr>
          <w:p w14:paraId="512C8D21" w14:textId="1C793204" w:rsidR="00F35E30" w:rsidRPr="00F543C1" w:rsidRDefault="00F35E30" w:rsidP="00182528">
            <w:pPr>
              <w:pStyle w:val="TSBodyText"/>
            </w:pPr>
            <w:r w:rsidRPr="00F543C1">
              <w:t>Scapegoating</w:t>
            </w:r>
            <w:r w:rsidR="008C323A" w:rsidRPr="00F543C1">
              <w:t>.</w:t>
            </w:r>
          </w:p>
        </w:tc>
      </w:tr>
    </w:tbl>
    <w:p w14:paraId="67467148" w14:textId="78B13290" w:rsidR="00F35E30" w:rsidRPr="00726346" w:rsidRDefault="00F35E30" w:rsidP="00F35E30">
      <w:pPr>
        <w:pStyle w:val="USSource"/>
      </w:pPr>
      <w:r w:rsidRPr="00F543C1">
        <w:t xml:space="preserve">Source: </w:t>
      </w:r>
      <w:r w:rsidR="009D5549" w:rsidRPr="00F543C1">
        <w:t>Ad</w:t>
      </w:r>
      <w:r w:rsidR="00CD658D">
        <w:t>a</w:t>
      </w:r>
      <w:r w:rsidR="009D5549" w:rsidRPr="00F543C1">
        <w:t xml:space="preserve">pted from </w:t>
      </w:r>
      <w:proofErr w:type="spellStart"/>
      <w:r w:rsidRPr="00F543C1">
        <w:t>Bovens</w:t>
      </w:r>
      <w:proofErr w:type="spellEnd"/>
      <w:r w:rsidRPr="00F543C1">
        <w:t xml:space="preserve"> </w:t>
      </w:r>
      <w:r w:rsidRPr="00F543C1">
        <w:fldChar w:fldCharType="begin"/>
      </w:r>
      <w:r w:rsidR="009B0EC4">
        <w:instrText xml:space="preserve"> ADDIN ZOTERO_ITEM CSL_CITATION {"citationID":"o4rtNCu3","properties":{"formattedCitation":"(2007b)","plainCitation":"(2007b)","noteIndex":0},"citationItems":[{"id":16002,"uris":["http://zotero.org/groups/4623831/items/YWYIR55T"],"itemData":{"id":16002,"type":"chapter","abstract":"Public accountability is the hallmark of modern democratic governance. Democracy remains a paper procedure if those in power cannot be held accountable in public for their acts and omissions, for their decisions, their policies, and their expenditures. Public accountability, as an institution, therefore, is the complement of public management. As a concept, however, “public accountability” is rather elusive. It is one of those evocative political words that can be used to patch up a rambling argument, to evoke an image of trustworthiness, fidelity, and justice, or to hold critics at bay. Historically, the concept of accountability is closely related to accounting. In fact, it literally comes from bookkeeping. Nowadays, accountability has moved far beyond its bookkeeping origins and has become a symbol for good governance, both in the public and in the private sector.","container-title":"The Oxford Handbook of Public Management","ISBN":"978-0-19-922644-3","note":"DOI: 10.1093/oxfordhb/9780199226443.003.0009","page":"0","publisher":"Oxford University Press","source":"Silverchair","title":"Public Accountability","URL":"https://doi.org/10.1093/oxfordhb/9780199226443.003.0009","author":[{"family":"Bovens","given":"Mark"}],"editor":[{"family":"Ferlie","given":"Ewan"},{"family":"Lynn","given":"Laurence E."},{"family":"Pollitt","given":"Christopher"}],"accessed":{"date-parts":[["2022",9,27]]},"issued":{"date-parts":[["2007",6,21]]}},"label":"page","suppress-author":true}],"schema":"https://github.com/citation-style-language/schema/raw/master/csl-citation.json"} </w:instrText>
      </w:r>
      <w:r w:rsidRPr="00F543C1">
        <w:fldChar w:fldCharType="separate"/>
      </w:r>
      <w:r w:rsidRPr="00F543C1">
        <w:rPr>
          <w:rFonts w:cs="Calibri"/>
        </w:rPr>
        <w:t>(2007b)</w:t>
      </w:r>
      <w:r w:rsidRPr="00F543C1">
        <w:fldChar w:fldCharType="end"/>
      </w:r>
    </w:p>
    <w:p w14:paraId="41FC3C5E" w14:textId="29313B48" w:rsidR="004724AB" w:rsidRPr="00F543C1" w:rsidRDefault="004724AB" w:rsidP="004724AB">
      <w:pPr>
        <w:pStyle w:val="Heading2"/>
      </w:pPr>
      <w:bookmarkStart w:id="134" w:name="_Toc126092110"/>
      <w:bookmarkStart w:id="135" w:name="_Toc126841213"/>
      <w:r w:rsidRPr="00F543C1">
        <w:lastRenderedPageBreak/>
        <w:t xml:space="preserve">Macro, </w:t>
      </w:r>
      <w:proofErr w:type="spellStart"/>
      <w:r w:rsidRPr="00F543C1">
        <w:t>meso</w:t>
      </w:r>
      <w:proofErr w:type="spellEnd"/>
      <w:r w:rsidRPr="00F543C1">
        <w:t xml:space="preserve"> and micro-accountability systems</w:t>
      </w:r>
      <w:bookmarkStart w:id="136" w:name="_Ref124883680"/>
      <w:bookmarkEnd w:id="134"/>
      <w:bookmarkEnd w:id="135"/>
    </w:p>
    <w:p w14:paraId="5F150E78" w14:textId="185E57DF" w:rsidR="008F5931" w:rsidRPr="00F543C1" w:rsidRDefault="005A59DC" w:rsidP="004724AB">
      <w:pPr>
        <w:pStyle w:val="USBodyText"/>
      </w:pPr>
      <w:r w:rsidRPr="00F543C1">
        <w:t>T</w:t>
      </w:r>
      <w:r w:rsidR="004724AB" w:rsidRPr="00F543C1">
        <w:t>he purposes of accountability are put into effect in practice</w:t>
      </w:r>
      <w:r w:rsidRPr="00F543C1">
        <w:t xml:space="preserve"> </w:t>
      </w:r>
      <w:r w:rsidR="008F5931" w:rsidRPr="00F543C1">
        <w:t>through a</w:t>
      </w:r>
      <w:r w:rsidRPr="00F543C1">
        <w:t>ccountability systems</w:t>
      </w:r>
      <w:r w:rsidR="004724AB" w:rsidRPr="00F543C1">
        <w:t xml:space="preserve">. Those systems operate at three overlapping levels: macro, </w:t>
      </w:r>
      <w:proofErr w:type="spellStart"/>
      <w:r w:rsidR="004724AB" w:rsidRPr="00F543C1">
        <w:t>meso</w:t>
      </w:r>
      <w:proofErr w:type="spellEnd"/>
      <w:r w:rsidR="004724AB" w:rsidRPr="00F543C1">
        <w:t xml:space="preserve"> and micro</w:t>
      </w:r>
      <w:r w:rsidR="005D5F25" w:rsidRPr="00F543C1">
        <w:t xml:space="preserve">, and </w:t>
      </w:r>
      <w:r w:rsidR="008267E2" w:rsidRPr="00F543C1">
        <w:t>because of</w:t>
      </w:r>
      <w:r w:rsidR="00383459" w:rsidRPr="00F543C1">
        <w:t xml:space="preserve"> this overlap</w:t>
      </w:r>
      <w:r w:rsidR="005D5F25" w:rsidRPr="00F543C1">
        <w:t xml:space="preserve">, </w:t>
      </w:r>
      <w:r w:rsidR="004724AB" w:rsidRPr="00F543C1">
        <w:t xml:space="preserve">what might fit into one level </w:t>
      </w:r>
      <w:r w:rsidR="00DE5A46" w:rsidRPr="00F543C1">
        <w:t>as opposed to</w:t>
      </w:r>
      <w:r w:rsidR="004724AB" w:rsidRPr="00F543C1">
        <w:t xml:space="preserve"> another is sometimes a matter of judgement. </w:t>
      </w:r>
    </w:p>
    <w:p w14:paraId="04A4CA9A" w14:textId="2CF84429" w:rsidR="004724AB" w:rsidRPr="00F543C1" w:rsidRDefault="008F5931" w:rsidP="004724AB">
      <w:pPr>
        <w:pStyle w:val="USBodyText"/>
      </w:pPr>
      <w:r w:rsidRPr="00F543C1">
        <w:t>Accountability s</w:t>
      </w:r>
      <w:r w:rsidR="004724AB" w:rsidRPr="00F543C1">
        <w:t xml:space="preserve">ystems at </w:t>
      </w:r>
      <w:r w:rsidR="005A065B" w:rsidRPr="00F543C1">
        <w:t xml:space="preserve">each of </w:t>
      </w:r>
      <w:r w:rsidR="004724AB" w:rsidRPr="00F543C1">
        <w:t xml:space="preserve">these levels </w:t>
      </w:r>
      <w:r w:rsidR="00DE5929" w:rsidRPr="00F543C1">
        <w:t xml:space="preserve">all </w:t>
      </w:r>
      <w:r w:rsidR="004724AB" w:rsidRPr="00F543C1">
        <w:t xml:space="preserve">fit within </w:t>
      </w:r>
      <w:proofErr w:type="spellStart"/>
      <w:r w:rsidR="004724AB" w:rsidRPr="00F543C1">
        <w:t>Bovens</w:t>
      </w:r>
      <w:proofErr w:type="spellEnd"/>
      <w:r w:rsidR="004724AB" w:rsidRPr="00F543C1">
        <w:t xml:space="preserve">’ definition: there is a relationship between a party who is doing something and an accountability process (the forum); the party being held to account has obligations to explain and justify their conduct; and questions can be posed, judgements passed, and consequences faced. What is different </w:t>
      </w:r>
      <w:r w:rsidR="005172D9" w:rsidRPr="00F543C1">
        <w:t>for each of the</w:t>
      </w:r>
      <w:r w:rsidR="008B28AE" w:rsidRPr="00F543C1">
        <w:t>se levels</w:t>
      </w:r>
      <w:r w:rsidR="005172D9" w:rsidRPr="00F543C1">
        <w:t xml:space="preserve"> </w:t>
      </w:r>
      <w:r w:rsidR="004724AB" w:rsidRPr="00F543C1">
        <w:t>is the details of how those features apply.</w:t>
      </w:r>
    </w:p>
    <w:p w14:paraId="6E2A9361" w14:textId="177D5C20" w:rsidR="00681E2C" w:rsidRPr="00F543C1" w:rsidRDefault="00681E2C" w:rsidP="008524FC">
      <w:pPr>
        <w:pStyle w:val="Heading4"/>
      </w:pPr>
      <w:r w:rsidRPr="00F543C1">
        <w:t>Macro</w:t>
      </w:r>
      <w:r w:rsidR="00DE5929" w:rsidRPr="00F543C1">
        <w:t>: the national-level structures</w:t>
      </w:r>
    </w:p>
    <w:p w14:paraId="40FD315D" w14:textId="6394974E" w:rsidR="004724AB" w:rsidRDefault="007B0A11" w:rsidP="004724AB">
      <w:pPr>
        <w:pStyle w:val="USBodyText"/>
      </w:pPr>
      <w:r w:rsidRPr="00F543C1">
        <w:t>Macro-</w:t>
      </w:r>
      <w:r w:rsidR="004724AB" w:rsidRPr="00F543C1">
        <w:t xml:space="preserve">level accountability systems are about the building blocks of accountability. Examining </w:t>
      </w:r>
      <w:r w:rsidR="008831D4" w:rsidRPr="00F543C1">
        <w:t xml:space="preserve">these </w:t>
      </w:r>
      <w:r w:rsidR="004724AB" w:rsidRPr="00F543C1">
        <w:t xml:space="preserve">systems is useful for making very high-level assessments about basic principles, </w:t>
      </w:r>
      <w:r w:rsidR="00352AF1" w:rsidRPr="00F543C1">
        <w:t>such as,</w:t>
      </w:r>
      <w:r w:rsidR="004724AB" w:rsidRPr="00F543C1">
        <w:t xml:space="preserve"> </w:t>
      </w:r>
      <w:r w:rsidR="00584D7A" w:rsidRPr="00F543C1">
        <w:t>“</w:t>
      </w:r>
      <w:r w:rsidR="004724AB" w:rsidRPr="00F543C1">
        <w:t>does a country have an independent central audit function</w:t>
      </w:r>
      <w:r w:rsidR="00584D7A" w:rsidRPr="00F543C1">
        <w:t>?”</w:t>
      </w:r>
      <w:r w:rsidR="004724AB" w:rsidRPr="009006D7">
        <w:rPr>
          <w:rStyle w:val="FootnoteReference"/>
        </w:rPr>
        <w:footnoteReference w:id="111"/>
      </w:r>
      <w:r w:rsidR="003A4EDE" w:rsidRPr="00726346">
        <w:t xml:space="preserve"> </w:t>
      </w:r>
      <w:r w:rsidR="00C8772A" w:rsidRPr="00F543C1">
        <w:t>M</w:t>
      </w:r>
      <w:r w:rsidR="004724AB" w:rsidRPr="00F543C1">
        <w:t xml:space="preserve">acro settings are the common </w:t>
      </w:r>
      <w:r w:rsidR="00877CAF" w:rsidRPr="00F543C1">
        <w:t xml:space="preserve">accountability </w:t>
      </w:r>
      <w:r w:rsidR="004724AB" w:rsidRPr="00F543C1">
        <w:t>features that apply to all entities</w:t>
      </w:r>
      <w:r w:rsidR="00DC466E" w:rsidRPr="00F543C1">
        <w:t xml:space="preserve"> </w:t>
      </w:r>
      <w:r w:rsidR="00C8772A" w:rsidRPr="00F543C1">
        <w:t>in the</w:t>
      </w:r>
      <w:r w:rsidR="00877CAF" w:rsidRPr="00F543C1">
        <w:t xml:space="preserve"> </w:t>
      </w:r>
      <w:r w:rsidR="00DC466E" w:rsidRPr="00F543C1">
        <w:t>public secto</w:t>
      </w:r>
      <w:r w:rsidR="00877CAF" w:rsidRPr="00F543C1">
        <w:t>r</w:t>
      </w:r>
      <w:r w:rsidR="004724AB" w:rsidRPr="00F543C1">
        <w:t>. At the macro level, there is less emphasis on systems specifically designed to achieve the three purposes of accountability</w:t>
      </w:r>
      <w:r w:rsidR="00A91049" w:rsidRPr="00F543C1">
        <w:t xml:space="preserve"> (democratic, </w:t>
      </w:r>
      <w:proofErr w:type="gramStart"/>
      <w:r w:rsidR="00A91049" w:rsidRPr="00F543C1">
        <w:t>constitutional</w:t>
      </w:r>
      <w:proofErr w:type="gramEnd"/>
      <w:r w:rsidR="00A91049" w:rsidRPr="00F543C1">
        <w:t xml:space="preserve"> and learning)</w:t>
      </w:r>
      <w:r w:rsidR="004724AB" w:rsidRPr="00F543C1">
        <w:t xml:space="preserve"> since</w:t>
      </w:r>
      <w:r w:rsidRPr="00F543C1">
        <w:t>,</w:t>
      </w:r>
      <w:r w:rsidR="004724AB" w:rsidRPr="00F543C1">
        <w:t xml:space="preserve"> at </w:t>
      </w:r>
      <w:r w:rsidR="00A91049" w:rsidRPr="00F543C1">
        <w:t>this</w:t>
      </w:r>
      <w:r w:rsidR="004724AB" w:rsidRPr="00F543C1">
        <w:t xml:space="preserve"> level, systems often can achieve all three without any conflict or tension. </w:t>
      </w:r>
      <w:r w:rsidR="00D8098F" w:rsidRPr="00F543C1">
        <w:t xml:space="preserve">Examining macro structures </w:t>
      </w:r>
      <w:r w:rsidR="00E527FA" w:rsidRPr="00F543C1">
        <w:t xml:space="preserve">can also involve questions of </w:t>
      </w:r>
      <w:r w:rsidR="005A2D86" w:rsidRPr="00F543C1">
        <w:t>whether there are any entities or sectors that are exempt from a basic feature and why.</w:t>
      </w:r>
      <w:r w:rsidR="0061367F" w:rsidRPr="009006D7">
        <w:rPr>
          <w:rStyle w:val="FootnoteReference"/>
        </w:rPr>
        <w:footnoteReference w:id="112"/>
      </w:r>
    </w:p>
    <w:p w14:paraId="4C5B9832" w14:textId="6D810E3E" w:rsidR="004724AB" w:rsidRDefault="00DA2B46" w:rsidP="004724AB">
      <w:pPr>
        <w:pStyle w:val="USBodyText"/>
      </w:pPr>
      <w:r w:rsidRPr="00F543C1">
        <w:t>A</w:t>
      </w:r>
      <w:r w:rsidR="004724AB" w:rsidRPr="00F543C1">
        <w:t>nalysing macro settings involves look</w:t>
      </w:r>
      <w:r w:rsidR="005A2D86" w:rsidRPr="00F543C1">
        <w:t>ing</w:t>
      </w:r>
      <w:r w:rsidR="004724AB" w:rsidRPr="00F543C1">
        <w:t xml:space="preserve"> at what is used at a high level. </w:t>
      </w:r>
      <w:r w:rsidRPr="00F543C1">
        <w:t>In New Zealand, o</w:t>
      </w:r>
      <w:r w:rsidR="004724AB" w:rsidRPr="00F543C1">
        <w:t>ur macro settings are imposed under a series of laws that have general application: the Public Service Act (which sets out the obligations of public servants and public service managers</w:t>
      </w:r>
      <w:r w:rsidR="00BD548D" w:rsidRPr="00F543C1">
        <w:t xml:space="preserve">), </w:t>
      </w:r>
      <w:r w:rsidR="004724AB" w:rsidRPr="00F543C1">
        <w:t>the Public Finance Act (which sets out requirements for reporting of the activities of government departments</w:t>
      </w:r>
      <w:r w:rsidR="00BD548D" w:rsidRPr="00F543C1">
        <w:t xml:space="preserve">), </w:t>
      </w:r>
      <w:r w:rsidR="004724AB" w:rsidRPr="00F543C1">
        <w:t>the Crown Entities Act (which applies generic governance, reporting and accountability provisions to a wide range of entities) and the Public Audit Act (which empowers the Auditor-General, as an officer of Parliament, to the audit of public sector organisations). Parliament plays</w:t>
      </w:r>
      <w:r w:rsidR="00041E30" w:rsidRPr="00F543C1">
        <w:t xml:space="preserve"> </w:t>
      </w:r>
      <w:r w:rsidR="004724AB" w:rsidRPr="00F543C1">
        <w:t>a central role in</w:t>
      </w:r>
      <w:r w:rsidR="00BD548D" w:rsidRPr="00F543C1">
        <w:t xml:space="preserve"> all</w:t>
      </w:r>
      <w:r w:rsidR="004724AB" w:rsidRPr="00F543C1">
        <w:t xml:space="preserve"> these macro systems and is often the ‘forum’ in </w:t>
      </w:r>
      <w:proofErr w:type="spellStart"/>
      <w:r w:rsidR="004724AB" w:rsidRPr="00F543C1">
        <w:t>Bovens</w:t>
      </w:r>
      <w:proofErr w:type="spellEnd"/>
      <w:r w:rsidR="004724AB" w:rsidRPr="00F543C1">
        <w:t>’ terms.</w:t>
      </w:r>
      <w:r w:rsidR="00FC5F5F" w:rsidRPr="009006D7">
        <w:rPr>
          <w:rStyle w:val="FootnoteReference"/>
        </w:rPr>
        <w:footnoteReference w:id="113"/>
      </w:r>
      <w:r w:rsidR="004724AB" w:rsidRPr="00F543C1">
        <w:t xml:space="preserve"> </w:t>
      </w:r>
    </w:p>
    <w:p w14:paraId="67BF20AA" w14:textId="77777777" w:rsidR="00225D27" w:rsidRPr="00F543C1" w:rsidRDefault="00225D27" w:rsidP="00225D27">
      <w:pPr>
        <w:ind w:left="851"/>
      </w:pPr>
      <w:r w:rsidRPr="00F543C1">
        <w:t>The ultimate accountability mechanism in our system of democracy is provided by elections. Individual members of parliament, and the governments they form, are subject to the scrutiny of the ballot box every three years.</w:t>
      </w:r>
      <w:r w:rsidRPr="009006D7">
        <w:rPr>
          <w:rStyle w:val="FootnoteReference"/>
        </w:rPr>
        <w:footnoteReference w:id="114"/>
      </w:r>
      <w:r w:rsidRPr="00726346">
        <w:t xml:space="preserve"> While a powerful tool for accountability, it is often not enough.</w:t>
      </w:r>
    </w:p>
    <w:p w14:paraId="2A550702" w14:textId="77777777" w:rsidR="00225D27" w:rsidRPr="00F543C1" w:rsidRDefault="00225D27" w:rsidP="00225D27">
      <w:pPr>
        <w:ind w:left="851"/>
      </w:pPr>
      <w:r w:rsidRPr="00F543C1">
        <w:t>As the writers of the Federalist Papers</w:t>
      </w:r>
      <w:r w:rsidRPr="009006D7">
        <w:rPr>
          <w:rStyle w:val="FootnoteReference"/>
        </w:rPr>
        <w:footnoteReference w:id="115"/>
      </w:r>
      <w:r w:rsidRPr="00726346">
        <w:t xml:space="preserve"> noted:</w:t>
      </w:r>
    </w:p>
    <w:p w14:paraId="1AFA9BC4" w14:textId="7984E391" w:rsidR="00225D27" w:rsidRPr="00726346" w:rsidRDefault="00225D27" w:rsidP="00225D27">
      <w:pPr>
        <w:spacing w:before="120"/>
        <w:ind w:left="1276" w:right="425"/>
        <w:rPr>
          <w:i/>
          <w:color w:val="30353F"/>
        </w:rPr>
      </w:pPr>
      <w:r w:rsidRPr="00F543C1">
        <w:rPr>
          <w:i/>
          <w:color w:val="30353F"/>
        </w:rPr>
        <w:lastRenderedPageBreak/>
        <w:t>If men were angels, no government would be necessary. If angels were to govern men, neither external nor internal controls on government would be necessary. In framing a government which is to be administered by men over men, the great difficulty lies in this: you must first enable the government to control the governed; and in the next place oblige it to control itself. A dependence on the people is, no doubt, the primary control on the government; but experience has taught mankind the necessity of auxiliary precautions.</w:t>
      </w:r>
      <w:r w:rsidR="00C87003">
        <w:rPr>
          <w:i/>
          <w:color w:val="30353F"/>
        </w:rPr>
        <w:t xml:space="preserve"> </w:t>
      </w:r>
      <w:r w:rsidRPr="00F543C1">
        <w:rPr>
          <w:iCs/>
          <w:color w:val="30353F"/>
        </w:rPr>
        <w:fldChar w:fldCharType="begin"/>
      </w:r>
      <w:r w:rsidR="009B0EC4">
        <w:rPr>
          <w:iCs/>
          <w:color w:val="30353F"/>
        </w:rPr>
        <w:instrText xml:space="preserve"> ADDIN ZOTERO_ITEM CSL_CITATION {"citationID":"mPWXGWU1","properties":{"formattedCitation":"(Drexler 2019a)","plainCitation":"(Drexler 2019a)","noteIndex":0},"citationItems":[{"id":16623,"uris":["http://zotero.org/groups/4801058/items/AQJ3FCZZ"],"itemData":{"id":16623,"type":"webpage","abstract":"The Federalist Papers were a series of essays written by Alexander Hamilton, James Madison, and John Jay under the pen name","container-title":"Library of Congress Research Guide","genre":"research guide","language":"en","license":"Copyright Library of Congress 2022","title":"Research Guides: Federalist Papers: Primary Documents in American History: Federalist Nos. 51-60","title-short":"Research Guides","URL":"https://guides.loc.gov/federalist-papers/text-51-60","author":[{"family":"Drexler","given":"Ken"}],"accessed":{"date-parts":[["2022",10,12]]},"issued":{"date-parts":[["2019"]]}}}],"schema":"https://github.com/citation-style-language/schema/raw/master/csl-citation.json"} </w:instrText>
      </w:r>
      <w:r w:rsidRPr="00F543C1">
        <w:rPr>
          <w:iCs/>
          <w:color w:val="30353F"/>
        </w:rPr>
        <w:fldChar w:fldCharType="separate"/>
      </w:r>
      <w:r w:rsidRPr="00F543C1">
        <w:rPr>
          <w:rFonts w:cs="Calibri"/>
          <w:iCs/>
          <w:color w:val="30353F"/>
        </w:rPr>
        <w:t>(Drexler 2019a)</w:t>
      </w:r>
      <w:r w:rsidRPr="00F543C1">
        <w:rPr>
          <w:iCs/>
          <w:color w:val="30353F"/>
        </w:rPr>
        <w:fldChar w:fldCharType="end"/>
      </w:r>
      <w:r w:rsidRPr="00726346">
        <w:rPr>
          <w:iCs/>
          <w:color w:val="30353F"/>
        </w:rPr>
        <w:t>.</w:t>
      </w:r>
      <w:r w:rsidRPr="009006D7">
        <w:rPr>
          <w:rStyle w:val="FootnoteReference"/>
        </w:rPr>
        <w:footnoteReference w:id="116"/>
      </w:r>
    </w:p>
    <w:p w14:paraId="1B365EFC" w14:textId="191EFAD6" w:rsidR="00225D27" w:rsidRPr="00F543C1" w:rsidRDefault="00225D27" w:rsidP="00225D27">
      <w:pPr>
        <w:ind w:left="851"/>
      </w:pPr>
      <w:r w:rsidRPr="00F543C1">
        <w:t xml:space="preserve">This is a call for realism: an acknowledgement that designing government systems is hard, </w:t>
      </w:r>
      <w:proofErr w:type="gramStart"/>
      <w:r w:rsidRPr="00F543C1">
        <w:t>expensive</w:t>
      </w:r>
      <w:proofErr w:type="gramEnd"/>
      <w:r w:rsidRPr="00F543C1">
        <w:t xml:space="preserve"> and never finished. E</w:t>
      </w:r>
      <w:r w:rsidR="00C87003">
        <w:t>ven though e</w:t>
      </w:r>
      <w:r w:rsidRPr="00F543C1">
        <w:t>lections are the ultimate democratic sanctions, the</w:t>
      </w:r>
      <w:r w:rsidR="00766FFF">
        <w:t>y</w:t>
      </w:r>
      <w:r w:rsidRPr="00F543C1">
        <w:t xml:space="preserve"> have demonstrably failed to improve the lives of marginalised and disadvantaged people who often have no real voice in the political process</w:t>
      </w:r>
      <w:r w:rsidR="00766FFF">
        <w:t>:</w:t>
      </w:r>
      <w:r w:rsidRPr="00F543C1">
        <w:t xml:space="preserve"> </w:t>
      </w:r>
    </w:p>
    <w:p w14:paraId="0FE6A68B" w14:textId="77777777" w:rsidR="00225D27" w:rsidRPr="00F543C1" w:rsidRDefault="00225D27" w:rsidP="00225D27">
      <w:pPr>
        <w:spacing w:before="120"/>
        <w:ind w:left="1276" w:right="425"/>
        <w:rPr>
          <w:i/>
          <w:color w:val="30353F"/>
        </w:rPr>
      </w:pPr>
      <w:r w:rsidRPr="00F543C1">
        <w:rPr>
          <w:i/>
          <w:color w:val="30353F"/>
        </w:rPr>
        <w:t xml:space="preserve">Those most impacted by these inequities are also the least likely to have their voice heard through formal civic engagement processes. Voter turnout among young people, </w:t>
      </w:r>
      <w:proofErr w:type="gramStart"/>
      <w:r w:rsidRPr="00F543C1">
        <w:rPr>
          <w:i/>
          <w:color w:val="30353F"/>
        </w:rPr>
        <w:t>Māori</w:t>
      </w:r>
      <w:proofErr w:type="gramEnd"/>
      <w:r w:rsidRPr="00F543C1">
        <w:rPr>
          <w:i/>
          <w:color w:val="30353F"/>
        </w:rPr>
        <w:t xml:space="preserve"> and Pasifika communities and those from low socio-economic areas is the lowest in the country. Civic engagement processes often assume a level of literacy, education, </w:t>
      </w:r>
      <w:proofErr w:type="gramStart"/>
      <w:r w:rsidRPr="00F543C1">
        <w:rPr>
          <w:i/>
          <w:color w:val="30353F"/>
        </w:rPr>
        <w:t>time</w:t>
      </w:r>
      <w:proofErr w:type="gramEnd"/>
      <w:r w:rsidRPr="00F543C1">
        <w:rPr>
          <w:i/>
          <w:color w:val="30353F"/>
        </w:rPr>
        <w:t xml:space="preserve"> and self-advocacy that can create an additional barrier to participation among minority communities.</w:t>
      </w:r>
    </w:p>
    <w:p w14:paraId="1E8FD06E" w14:textId="4532B3DA" w:rsidR="00225D27" w:rsidRPr="00726346" w:rsidRDefault="00225D27" w:rsidP="00225D27">
      <w:pPr>
        <w:spacing w:before="120"/>
        <w:ind w:left="1276" w:right="425"/>
        <w:rPr>
          <w:iCs/>
          <w:color w:val="30353F"/>
        </w:rPr>
      </w:pPr>
      <w:r w:rsidRPr="00F543C1">
        <w:rPr>
          <w:i/>
          <w:color w:val="30353F"/>
        </w:rPr>
        <w:t xml:space="preserve">Even when these groups do participate, the voices of the minority can be overwhelmed by the more numerous and well-articulated voices of the </w:t>
      </w:r>
      <w:r w:rsidRPr="00726346">
        <w:rPr>
          <w:i/>
          <w:color w:val="30353F"/>
        </w:rPr>
        <w:t>majority. In these cases, we leave it to our politicians – with their own biases and incentives to be re-elected – to navigate what can often be co</w:t>
      </w:r>
      <w:r w:rsidRPr="00F543C1">
        <w:rPr>
          <w:i/>
          <w:color w:val="30353F"/>
        </w:rPr>
        <w:t xml:space="preserve">mpeting interests. </w:t>
      </w:r>
      <w:r w:rsidRPr="00F543C1">
        <w:rPr>
          <w:iCs/>
          <w:color w:val="30353F"/>
        </w:rPr>
        <w:fldChar w:fldCharType="begin"/>
      </w:r>
      <w:r w:rsidR="009B0EC4">
        <w:rPr>
          <w:iCs/>
          <w:color w:val="30353F"/>
        </w:rPr>
        <w:instrText xml:space="preserve"> ADDIN ZOTERO_ITEM CSL_CITATION {"citationID":"ppjO6my5","properties":{"formattedCitation":"(Deloitte 2019, 3, internal citations omitted)","plainCitation":"(Deloitte 2019, 3, internal citations omitted)","noteIndex":0},"citationItems":[{"id":18442,"uris":["http://zotero.org/groups/4801058/items/YMFSVVE3"],"itemData":{"id":18442,"type":"webpage","abstract":"Despite New Zealand scoring top marks on political participation, those impacted by inequities in our society are less likely to engage in things like voting and consultation.","container-title":"Deloitte New Zealand","language":"en","title":"State of the State 2019: Civic engagement","title-short":"State of the State 2019","URL":"https://www2.deloitte.com/nz/en/pages/public-sector/articles/enhancing-voices-to-expand-choices.html","author":[{"family":"Deloitte","given":""}],"accessed":{"date-parts":[["2023",1,13]]},"issued":{"date-parts":[["2019"]]}},"locator":"3","label":"page","suffix":", internal citations omitted"}],"schema":"https://github.com/citation-style-language/schema/raw/master/csl-citation.json"} </w:instrText>
      </w:r>
      <w:r w:rsidRPr="00F543C1">
        <w:rPr>
          <w:iCs/>
          <w:color w:val="30353F"/>
        </w:rPr>
        <w:fldChar w:fldCharType="separate"/>
      </w:r>
      <w:r w:rsidRPr="00F543C1">
        <w:rPr>
          <w:rFonts w:cs="Calibri"/>
          <w:iCs/>
          <w:color w:val="30353F"/>
        </w:rPr>
        <w:t>(Deloitte 2019, 3, internal citations omitted)</w:t>
      </w:r>
      <w:r w:rsidRPr="00F543C1">
        <w:rPr>
          <w:iCs/>
          <w:color w:val="30353F"/>
        </w:rPr>
        <w:fldChar w:fldCharType="end"/>
      </w:r>
    </w:p>
    <w:p w14:paraId="207C7259" w14:textId="36F7F237" w:rsidR="00681E2C" w:rsidRPr="00F543C1" w:rsidRDefault="00681E2C" w:rsidP="00F20D3F">
      <w:pPr>
        <w:pStyle w:val="Heading4"/>
      </w:pPr>
      <w:proofErr w:type="spellStart"/>
      <w:r w:rsidRPr="00F543C1">
        <w:t>Meso</w:t>
      </w:r>
      <w:proofErr w:type="spellEnd"/>
      <w:r w:rsidR="00B62BFE" w:rsidRPr="00F543C1">
        <w:t>: the policy level</w:t>
      </w:r>
    </w:p>
    <w:p w14:paraId="70EAA714" w14:textId="7DB865BE" w:rsidR="004724AB" w:rsidRPr="00F543C1" w:rsidRDefault="004724AB" w:rsidP="004724AB">
      <w:pPr>
        <w:pStyle w:val="USBodyText"/>
      </w:pPr>
      <w:r w:rsidRPr="00F543C1">
        <w:t xml:space="preserve">The </w:t>
      </w:r>
      <w:proofErr w:type="spellStart"/>
      <w:r w:rsidRPr="00F543C1">
        <w:t>meso</w:t>
      </w:r>
      <w:proofErr w:type="spellEnd"/>
      <w:r w:rsidRPr="00F543C1">
        <w:t xml:space="preserve"> level of accountability systems involve</w:t>
      </w:r>
      <w:r w:rsidR="00BD548D" w:rsidRPr="00F543C1">
        <w:t>s</w:t>
      </w:r>
      <w:r w:rsidRPr="00F543C1">
        <w:t xml:space="preserve"> the features and components that apply at </w:t>
      </w:r>
      <w:r w:rsidR="00273DB5" w:rsidRPr="00F543C1">
        <w:t>the</w:t>
      </w:r>
      <w:r w:rsidRPr="00F543C1">
        <w:t xml:space="preserve"> level of policy areas and program</w:t>
      </w:r>
      <w:r w:rsidR="0067247A">
        <w:t>me</w:t>
      </w:r>
      <w:r w:rsidRPr="00F543C1">
        <w:t xml:space="preserve">s. </w:t>
      </w:r>
      <w:r w:rsidR="001E3E4F" w:rsidRPr="00F543C1">
        <w:t xml:space="preserve">At the </w:t>
      </w:r>
      <w:proofErr w:type="spellStart"/>
      <w:r w:rsidR="001E3E4F" w:rsidRPr="00F543C1">
        <w:t>meso</w:t>
      </w:r>
      <w:proofErr w:type="spellEnd"/>
      <w:r w:rsidR="001E3E4F" w:rsidRPr="00F543C1">
        <w:t xml:space="preserve"> level,</w:t>
      </w:r>
      <w:r w:rsidRPr="00F543C1">
        <w:t xml:space="preserve"> accountability systems start to have ‘bite’ in terms </w:t>
      </w:r>
      <w:r w:rsidR="001E3E4F" w:rsidRPr="00F543C1">
        <w:t>of determining</w:t>
      </w:r>
      <w:r w:rsidRPr="00F543C1">
        <w:t xml:space="preserve"> whether the three purposes are being achieved in practice. </w:t>
      </w:r>
    </w:p>
    <w:p w14:paraId="7518A033" w14:textId="6F3C848E" w:rsidR="004724AB" w:rsidRPr="00F543C1" w:rsidRDefault="004724AB" w:rsidP="004724AB">
      <w:pPr>
        <w:pStyle w:val="USBodyText"/>
      </w:pPr>
      <w:r w:rsidRPr="00F543C1">
        <w:t xml:space="preserve">For democratic accountability, where the questions are about </w:t>
      </w:r>
      <w:r w:rsidR="00273DB5" w:rsidRPr="00F543C1">
        <w:t>whether</w:t>
      </w:r>
      <w:r w:rsidRPr="00F543C1">
        <w:t xml:space="preserve"> the government </w:t>
      </w:r>
      <w:r w:rsidR="00273DB5" w:rsidRPr="00F543C1">
        <w:t xml:space="preserve">is </w:t>
      </w:r>
      <w:r w:rsidRPr="00F543C1">
        <w:t xml:space="preserve">achieving its policy objectives and living up to its commitments, meso-level accountability systems need to be detailed enough to specify how such questions can be </w:t>
      </w:r>
      <w:r w:rsidR="007770A1" w:rsidRPr="00F543C1">
        <w:t>answered</w:t>
      </w:r>
      <w:r w:rsidRPr="00F543C1">
        <w:t>. What sort of detailed objectives should governments be required to set</w:t>
      </w:r>
      <w:r w:rsidR="00275584" w:rsidRPr="00F543C1">
        <w:t>,</w:t>
      </w:r>
      <w:r w:rsidRPr="00F543C1">
        <w:t xml:space="preserve"> and what data is needed to test whether they have been met? Meso-level constitutional accountability systems focus on what mechanism</w:t>
      </w:r>
      <w:r w:rsidR="00017F6C">
        <w:t>s</w:t>
      </w:r>
      <w:r w:rsidRPr="00F543C1">
        <w:t xml:space="preserve"> entities have in place for detecting and countering fraud, unethical </w:t>
      </w:r>
      <w:proofErr w:type="gramStart"/>
      <w:r w:rsidRPr="00F543C1">
        <w:t>behaviour</w:t>
      </w:r>
      <w:proofErr w:type="gramEnd"/>
      <w:r w:rsidRPr="00F543C1">
        <w:t xml:space="preserve"> and breaches of integrity standards. The learning dimension of accountability at the </w:t>
      </w:r>
      <w:proofErr w:type="spellStart"/>
      <w:r w:rsidRPr="00F543C1">
        <w:t>meso</w:t>
      </w:r>
      <w:proofErr w:type="spellEnd"/>
      <w:r w:rsidR="00E42C5A" w:rsidRPr="00F543C1">
        <w:t xml:space="preserve"> </w:t>
      </w:r>
      <w:r w:rsidRPr="00F543C1">
        <w:t xml:space="preserve">level </w:t>
      </w:r>
      <w:r w:rsidR="00275584" w:rsidRPr="00F543C1">
        <w:t xml:space="preserve">is </w:t>
      </w:r>
      <w:r w:rsidRPr="00F543C1">
        <w:t xml:space="preserve">directed at ensuring that information that is needed to improve performance is collected and analysed and used to good effect.  </w:t>
      </w:r>
    </w:p>
    <w:p w14:paraId="4CC6C122" w14:textId="349CE6D2" w:rsidR="004724AB" w:rsidRPr="00726346" w:rsidRDefault="004724AB" w:rsidP="004724AB">
      <w:pPr>
        <w:pStyle w:val="USBodyText"/>
      </w:pPr>
      <w:r w:rsidRPr="00F543C1">
        <w:t xml:space="preserve">At the </w:t>
      </w:r>
      <w:proofErr w:type="spellStart"/>
      <w:r w:rsidRPr="00F543C1">
        <w:t>meso</w:t>
      </w:r>
      <w:proofErr w:type="spellEnd"/>
      <w:r w:rsidR="00977602" w:rsidRPr="00F543C1">
        <w:t xml:space="preserve"> </w:t>
      </w:r>
      <w:r w:rsidRPr="00F543C1">
        <w:t xml:space="preserve">level, different systems are required to achieve the different purposes of accountability. Specific rules for democratic, </w:t>
      </w:r>
      <w:proofErr w:type="gramStart"/>
      <w:r w:rsidRPr="00F543C1">
        <w:t>constitutional</w:t>
      </w:r>
      <w:proofErr w:type="gramEnd"/>
      <w:r w:rsidRPr="00F543C1">
        <w:t xml:space="preserve"> and learning accountability may be required. As we will see when we review New Zealand’s current accountability </w:t>
      </w:r>
      <w:r w:rsidRPr="00F543C1">
        <w:lastRenderedPageBreak/>
        <w:t>systems, rules and procedures that are highly effective in imposing constitutional accountability obligations have limited uses in promoting either democratic or learning accountability.</w:t>
      </w:r>
      <w:r w:rsidRPr="009006D7">
        <w:rPr>
          <w:rStyle w:val="FootnoteReference"/>
        </w:rPr>
        <w:footnoteReference w:id="117"/>
      </w:r>
    </w:p>
    <w:p w14:paraId="73082511" w14:textId="0C2EFF8B" w:rsidR="00475AF3" w:rsidRPr="00726346" w:rsidRDefault="004724AB" w:rsidP="004724AB">
      <w:pPr>
        <w:pStyle w:val="USBodyText"/>
      </w:pPr>
      <w:r w:rsidRPr="00F543C1">
        <w:t xml:space="preserve">Different approaches are also needed across different types of policies. In social policy, where value judgements abound, accountability systems at the </w:t>
      </w:r>
      <w:proofErr w:type="spellStart"/>
      <w:r w:rsidRPr="00F543C1">
        <w:t>meso</w:t>
      </w:r>
      <w:proofErr w:type="spellEnd"/>
      <w:r w:rsidRPr="00F543C1">
        <w:t xml:space="preserve"> level will often involve flexibility around the </w:t>
      </w:r>
      <w:r w:rsidR="008267E2" w:rsidRPr="00F543C1">
        <w:t>goals</w:t>
      </w:r>
      <w:r w:rsidRPr="00F543C1">
        <w:t xml:space="preserve"> of policy, with more attention </w:t>
      </w:r>
      <w:r w:rsidR="008F0C8E" w:rsidRPr="00F543C1">
        <w:t>being</w:t>
      </w:r>
      <w:r w:rsidRPr="00F543C1">
        <w:t xml:space="preserve"> placed on determining whether those goals have been met. In environmental policy, objective standards regarding maximum levels of pollution and contamination can be informed by </w:t>
      </w:r>
      <w:r w:rsidR="002970CA" w:rsidRPr="00F543C1">
        <w:t xml:space="preserve">robust </w:t>
      </w:r>
      <w:r w:rsidRPr="00F543C1">
        <w:t xml:space="preserve">scientific evidence, with judgements focusing on the relative costs and benefits of policies that seek any </w:t>
      </w:r>
      <w:proofErr w:type="gramStart"/>
      <w:r w:rsidRPr="00F543C1">
        <w:t>particular level</w:t>
      </w:r>
      <w:proofErr w:type="gramEnd"/>
      <w:r w:rsidRPr="00F543C1">
        <w:t>.</w:t>
      </w:r>
      <w:r w:rsidRPr="009006D7">
        <w:rPr>
          <w:rStyle w:val="FootnoteReference"/>
        </w:rPr>
        <w:footnoteReference w:id="118"/>
      </w:r>
    </w:p>
    <w:p w14:paraId="7FEC11E2" w14:textId="63BC7C80" w:rsidR="004724AB" w:rsidRPr="00F543C1" w:rsidRDefault="00475AF3" w:rsidP="004724AB">
      <w:pPr>
        <w:pStyle w:val="USBodyText"/>
      </w:pPr>
      <w:r w:rsidRPr="00726346">
        <w:t xml:space="preserve">In </w:t>
      </w:r>
      <w:r w:rsidR="0021625B" w:rsidRPr="00F543C1">
        <w:t>social policy in Aotearoa</w:t>
      </w:r>
      <w:r w:rsidRPr="00F543C1">
        <w:t xml:space="preserve"> New Zealand</w:t>
      </w:r>
      <w:r w:rsidR="0021625B" w:rsidRPr="00F543C1">
        <w:t xml:space="preserve">, there are few examples of comprehensive accountability regimes that both bind successive governments, while providing sufficient flexibility to accommodate value judgements. The Child Poverty Reduction Act is an example, although its durability across a change of government has yet to be tested. The </w:t>
      </w:r>
      <w:proofErr w:type="spellStart"/>
      <w:r w:rsidR="0021625B" w:rsidRPr="00F543C1">
        <w:t>Pae</w:t>
      </w:r>
      <w:proofErr w:type="spellEnd"/>
      <w:r w:rsidR="0021625B" w:rsidRPr="00F543C1">
        <w:t xml:space="preserve"> Ora (Healthy Futures) Act 2022 also provides for a hierarchy </w:t>
      </w:r>
      <w:r w:rsidR="00537973" w:rsidRPr="00F543C1">
        <w:t>of accountability</w:t>
      </w:r>
      <w:r w:rsidR="0021625B" w:rsidRPr="00F543C1">
        <w:t xml:space="preserve"> mechanisms, from a government policy statement on </w:t>
      </w:r>
      <w:r w:rsidR="000B0C4B" w:rsidRPr="00F543C1">
        <w:t xml:space="preserve">health, through to </w:t>
      </w:r>
      <w:r w:rsidR="008267E2" w:rsidRPr="00F543C1">
        <w:t>ministerially set</w:t>
      </w:r>
      <w:r w:rsidR="000B0C4B" w:rsidRPr="00F543C1">
        <w:t xml:space="preserve"> strategies to health plans set by Health New Zealand and the Māori Health Authority.</w:t>
      </w:r>
      <w:r w:rsidR="000B0C4B" w:rsidRPr="009006D7">
        <w:rPr>
          <w:rStyle w:val="FootnoteReference"/>
        </w:rPr>
        <w:footnoteReference w:id="119"/>
      </w:r>
      <w:r w:rsidR="000B0C4B" w:rsidRPr="00726346">
        <w:t xml:space="preserve"> Again, this system has yet to be tested across </w:t>
      </w:r>
      <w:r w:rsidR="00387A71" w:rsidRPr="00F543C1">
        <w:t xml:space="preserve">a </w:t>
      </w:r>
      <w:r w:rsidR="000B0C4B" w:rsidRPr="00F543C1">
        <w:t>change of government.</w:t>
      </w:r>
      <w:r w:rsidR="004724AB" w:rsidRPr="00F543C1">
        <w:t xml:space="preserve">      </w:t>
      </w:r>
    </w:p>
    <w:p w14:paraId="4C0D2827" w14:textId="2A45BAF7" w:rsidR="002970CA" w:rsidRPr="00F543C1" w:rsidRDefault="002970CA" w:rsidP="00F20D3F">
      <w:pPr>
        <w:pStyle w:val="Heading4"/>
      </w:pPr>
      <w:r w:rsidRPr="00F543C1">
        <w:t>Micro</w:t>
      </w:r>
      <w:r w:rsidR="00993CCF" w:rsidRPr="00F543C1">
        <w:t>: the organisational level</w:t>
      </w:r>
    </w:p>
    <w:p w14:paraId="1E7717D2" w14:textId="2632668B" w:rsidR="004724AB" w:rsidRPr="00F543C1" w:rsidRDefault="004724AB" w:rsidP="004724AB">
      <w:pPr>
        <w:pStyle w:val="USBodyText"/>
      </w:pPr>
      <w:r w:rsidRPr="00F543C1">
        <w:t xml:space="preserve">Finally, micro-level accountability systems are concerned with the specifies of rules and procedures: what needs to be reported, </w:t>
      </w:r>
      <w:proofErr w:type="gramStart"/>
      <w:r w:rsidRPr="00F543C1">
        <w:t>when,</w:t>
      </w:r>
      <w:proofErr w:type="gramEnd"/>
      <w:r w:rsidRPr="00F543C1">
        <w:t xml:space="preserve"> how and by whom. This is often the domain of expert practitioners working on reporting standards, audit procedures and the details of contracts between agencies and third-party suppliers. Often different rules are imposed on different types of entities.</w:t>
      </w:r>
      <w:r w:rsidRPr="009006D7">
        <w:rPr>
          <w:rStyle w:val="FootnoteReference"/>
        </w:rPr>
        <w:footnoteReference w:id="120"/>
      </w:r>
      <w:r w:rsidRPr="00726346">
        <w:t xml:space="preserve"> But there can be similarities; a financial audit of a department and a financial audit of a major third-party supplier can follow the same processes and procedures. </w:t>
      </w:r>
    </w:p>
    <w:p w14:paraId="37721F0B" w14:textId="470FD926" w:rsidR="00A0031E" w:rsidRPr="00F543C1" w:rsidRDefault="004724AB" w:rsidP="004724AB">
      <w:pPr>
        <w:pStyle w:val="USBodyText"/>
      </w:pPr>
      <w:r w:rsidRPr="00F543C1">
        <w:t xml:space="preserve">There is likely to be limited overlap between democratic, </w:t>
      </w:r>
      <w:proofErr w:type="gramStart"/>
      <w:r w:rsidRPr="00F543C1">
        <w:t>constitutional</w:t>
      </w:r>
      <w:proofErr w:type="gramEnd"/>
      <w:r w:rsidRPr="00F543C1">
        <w:t xml:space="preserve"> and learning accountability systems at the micro</w:t>
      </w:r>
      <w:r w:rsidR="00475AF3" w:rsidRPr="00F543C1">
        <w:t xml:space="preserve"> </w:t>
      </w:r>
      <w:r w:rsidRPr="00F543C1">
        <w:t xml:space="preserve">level. The detailed rules of what is required to enforce the democratic chain of delegation are not useful for ensuring the appropriate sharing of risks in long-term contracts, for example. </w:t>
      </w:r>
    </w:p>
    <w:p w14:paraId="4922E539" w14:textId="6FE711A5" w:rsidR="002A3C8A" w:rsidRPr="00F543C1" w:rsidRDefault="00A0031E" w:rsidP="004724AB">
      <w:pPr>
        <w:pStyle w:val="USBodyText"/>
      </w:pPr>
      <w:r w:rsidRPr="00F543C1">
        <w:t xml:space="preserve">New Zealand currently has what, at first sight, appears to be a comprehensive accountability regime at the micro level, with government </w:t>
      </w:r>
      <w:r w:rsidR="00AF7FA5">
        <w:t xml:space="preserve">agencies </w:t>
      </w:r>
      <w:r w:rsidRPr="00F543C1">
        <w:t>required to prepare extensive material that is made public and is subject to parliamentary scrutiny.</w:t>
      </w:r>
      <w:r w:rsidR="002A3C8A" w:rsidRPr="00F543C1">
        <w:t xml:space="preserve"> As we note below, this can lead to a false sense that decision-makers, policy advisers and providers are being genuinely held to account for delivering desired outcomes. In fact, they </w:t>
      </w:r>
      <w:r w:rsidR="0009695E" w:rsidRPr="00F543C1">
        <w:t>often only report activities and how money was spent, focusing</w:t>
      </w:r>
      <w:r w:rsidR="002A3C8A" w:rsidRPr="00F543C1">
        <w:t xml:space="preserve"> on </w:t>
      </w:r>
      <w:r w:rsidR="00071564" w:rsidRPr="00F543C1">
        <w:t>demonstrating</w:t>
      </w:r>
      <w:r w:rsidR="002A3C8A" w:rsidRPr="00F543C1">
        <w:t xml:space="preserve"> probity, not effectiveness. </w:t>
      </w:r>
    </w:p>
    <w:p w14:paraId="59D98B8F" w14:textId="01C0232C" w:rsidR="004724AB" w:rsidRPr="00F543C1" w:rsidRDefault="002A3C8A" w:rsidP="004724AB">
      <w:pPr>
        <w:pStyle w:val="USBodyText"/>
      </w:pPr>
      <w:r w:rsidRPr="00F543C1">
        <w:t>There are also frequent complaints, especially from third-party providers, that the current system of commissioning and contracting for services involve</w:t>
      </w:r>
      <w:r w:rsidR="00071564" w:rsidRPr="00F543C1">
        <w:t>s</w:t>
      </w:r>
      <w:r w:rsidRPr="00F543C1">
        <w:t xml:space="preserve"> an accountability </w:t>
      </w:r>
      <w:r w:rsidRPr="00F543C1">
        <w:lastRenderedPageBreak/>
        <w:t>overload, where the required costs of compliance are not matched, let alone exceeded, by accountability benefits</w:t>
      </w:r>
      <w:r w:rsidR="00C52E6B">
        <w:t xml:space="preserve"> </w:t>
      </w:r>
      <w:r w:rsidR="000D7142">
        <w:fldChar w:fldCharType="begin"/>
      </w:r>
      <w:r w:rsidR="009B0EC4">
        <w:instrText xml:space="preserve"> ADDIN ZOTERO_ITEM CSL_CITATION {"citationID":"Z6F0pZhG","properties":{"formattedCitation":"(Fry 2022, 24)","plainCitation":"(Fry 2022, 24)","noteIndex":0},"citationItems":[{"id":18461,"uris":["http://zotero.org/groups/4801058/items/Y4XY6L7J"],"itemData":{"id":18461,"type":"report","event-place":"Wellington","publisher":"Productivity Commission","publisher-place":"Wellington","title":"Together alone: A review of joined-up social services","URL":"https://www.productivity.govt.nz/assets/Documents/Together-alone_A-review-of-joined-up-social-services.pdf","author":[{"family":"Fry","given":"Julie"}],"accessed":{"date-parts":[["2023",1,15]]},"issued":{"date-parts":[["2022"]]}},"locator":"24","label":"page"}],"schema":"https://github.com/citation-style-language/schema/raw/master/csl-citation.json"} </w:instrText>
      </w:r>
      <w:r w:rsidR="000D7142">
        <w:fldChar w:fldCharType="separate"/>
      </w:r>
      <w:r w:rsidR="00660BDF" w:rsidRPr="00660BDF">
        <w:rPr>
          <w:rFonts w:cs="Calibri"/>
        </w:rPr>
        <w:t>(Fry 2022, 24)</w:t>
      </w:r>
      <w:r w:rsidR="000D7142">
        <w:fldChar w:fldCharType="end"/>
      </w:r>
      <w:r w:rsidR="00152886" w:rsidRPr="00F543C1">
        <w:t xml:space="preserve"> </w:t>
      </w:r>
      <w:r w:rsidR="00152886" w:rsidRPr="00F543C1">
        <w:fldChar w:fldCharType="begin"/>
      </w:r>
      <w:r w:rsidR="009B0EC4">
        <w:instrText xml:space="preserve"> ADDIN ZOTERO_ITEM CSL_CITATION {"citationID":"M4mvxDji","properties":{"formattedCitation":"(Fry 2022, 24)","plainCitation":"(Fry 2022, 24)","noteIndex":0},"citationItems":[{"id":18461,"uris":["http://zotero.org/groups/4801058/items/Y4XY6L7J"],"itemData":{"id":18461,"type":"report","event-place":"Wellington","publisher":"Productivity Commission","publisher-place":"Wellington","title":"Together alone: A review of joined-up social services","URL":"https://www.productivity.govt.nz/assets/Documents/Together-alone_A-review-of-joined-up-social-services.pdf","author":[{"family":"Fry","given":"Julie"}],"accessed":{"date-parts":[["2023",1,15]]},"issued":{"date-parts":[["2022"]]}},"locator":"24","label":"page"}],"schema":"https://github.com/citation-style-language/schema/raw/master/csl-citation.json"} </w:instrText>
      </w:r>
      <w:r w:rsidR="00152886" w:rsidRPr="00F543C1">
        <w:fldChar w:fldCharType="separate"/>
      </w:r>
      <w:r w:rsidR="00660BDF" w:rsidRPr="00660BDF">
        <w:rPr>
          <w:rFonts w:cs="Calibri"/>
        </w:rPr>
        <w:t>(Fry 2022, 24)</w:t>
      </w:r>
      <w:r w:rsidR="00152886" w:rsidRPr="00F543C1">
        <w:fldChar w:fldCharType="end"/>
      </w:r>
      <w:r w:rsidR="00152886" w:rsidRPr="00726346">
        <w:t>.</w:t>
      </w:r>
    </w:p>
    <w:p w14:paraId="5B106F08" w14:textId="27572280" w:rsidR="00DB6A73" w:rsidRDefault="00864621" w:rsidP="00DB6A73">
      <w:pPr>
        <w:pStyle w:val="USBodyText"/>
      </w:pPr>
      <w:r w:rsidRPr="00F543C1">
        <w:t xml:space="preserve">We discuss changes to New Zealand’s detailed micro-level accountability systems in section </w:t>
      </w:r>
      <w:r w:rsidR="00DB6A73">
        <w:fldChar w:fldCharType="begin"/>
      </w:r>
      <w:r w:rsidR="00DB6A73">
        <w:instrText xml:space="preserve"> REF _Ref125979114 \r \h </w:instrText>
      </w:r>
      <w:r w:rsidR="00DB6A73">
        <w:fldChar w:fldCharType="separate"/>
      </w:r>
      <w:r w:rsidR="00E06351">
        <w:t>4.7</w:t>
      </w:r>
      <w:r w:rsidR="00DB6A73">
        <w:fldChar w:fldCharType="end"/>
      </w:r>
      <w:r w:rsidR="00DB6A73">
        <w:t>.</w:t>
      </w:r>
    </w:p>
    <w:p w14:paraId="5C78F101" w14:textId="4A57ADB6" w:rsidR="00215545" w:rsidRPr="00F543C1" w:rsidRDefault="00215545" w:rsidP="007253D8">
      <w:pPr>
        <w:pStyle w:val="Heading2"/>
      </w:pPr>
      <w:bookmarkStart w:id="137" w:name="_Toc126092111"/>
      <w:bookmarkStart w:id="138" w:name="_Toc126841214"/>
      <w:r w:rsidRPr="00F543C1">
        <w:t>Accountability mechanisms</w:t>
      </w:r>
      <w:bookmarkEnd w:id="136"/>
      <w:bookmarkEnd w:id="137"/>
      <w:bookmarkEnd w:id="138"/>
    </w:p>
    <w:p w14:paraId="4215C17B" w14:textId="7AFE788E" w:rsidR="00EC42E0" w:rsidRPr="00F543C1" w:rsidRDefault="00EC42E0" w:rsidP="00215545">
      <w:pPr>
        <w:ind w:left="851"/>
      </w:pPr>
      <w:r w:rsidRPr="00F543C1">
        <w:t xml:space="preserve">Boven’s definition </w:t>
      </w:r>
      <w:r w:rsidR="00222816" w:rsidRPr="00F543C1">
        <w:t>of</w:t>
      </w:r>
      <w:r w:rsidRPr="00F543C1">
        <w:t xml:space="preserve"> accountability as a relationship between an actor and a forum is deliberately unstructured: there are many relationships, actors and forums that can come within its scope. This is part of its general appeal and reminds us to stand back and consider the underlying objectives of accountability rather than focus too much o</w:t>
      </w:r>
      <w:r w:rsidR="00EB451B" w:rsidRPr="00F543C1">
        <w:t>n</w:t>
      </w:r>
      <w:r w:rsidRPr="00F543C1">
        <w:t xml:space="preserve"> formalities. </w:t>
      </w:r>
    </w:p>
    <w:p w14:paraId="1475AA1D" w14:textId="17B57984" w:rsidR="00215545" w:rsidRPr="00F543C1" w:rsidRDefault="00215545" w:rsidP="00215545">
      <w:pPr>
        <w:ind w:left="851"/>
      </w:pPr>
      <w:proofErr w:type="spellStart"/>
      <w:r w:rsidRPr="00F543C1">
        <w:t>Alnoor</w:t>
      </w:r>
      <w:proofErr w:type="spellEnd"/>
      <w:r w:rsidRPr="00F543C1">
        <w:t xml:space="preserve"> Ebrahim distinguishes between </w:t>
      </w:r>
      <w:r w:rsidR="00EC42E0" w:rsidRPr="00F543C1">
        <w:t xml:space="preserve">accountability </w:t>
      </w:r>
      <w:r w:rsidRPr="00F543C1">
        <w:t>‘tools’ and ‘processes’:</w:t>
      </w:r>
    </w:p>
    <w:p w14:paraId="010BC9F8" w14:textId="3FB5626E" w:rsidR="00215545" w:rsidRPr="00F543C1" w:rsidRDefault="00215545" w:rsidP="00215545">
      <w:pPr>
        <w:spacing w:before="120"/>
        <w:ind w:left="1276" w:right="425"/>
        <w:rPr>
          <w:i/>
          <w:color w:val="30353F"/>
        </w:rPr>
      </w:pPr>
      <w:r w:rsidRPr="00F543C1">
        <w:rPr>
          <w:i/>
          <w:color w:val="30353F"/>
        </w:rPr>
        <w:t xml:space="preserve">In basic terms, accountability tools refer to discrete devices or techniques used to achieve accountability. They are often applied over a limited </w:t>
      </w:r>
      <w:proofErr w:type="gramStart"/>
      <w:r w:rsidRPr="00F543C1">
        <w:rPr>
          <w:i/>
          <w:color w:val="30353F"/>
        </w:rPr>
        <w:t>period of time</w:t>
      </w:r>
      <w:proofErr w:type="gramEnd"/>
      <w:r w:rsidRPr="00F543C1">
        <w:rPr>
          <w:i/>
          <w:color w:val="30353F"/>
        </w:rPr>
        <w:t>, can be tangibly documented, and can be repeated. For example, financial reports and disclosures are tools that are applied and repeated quarterly or annually, and are documented as financial statements, ledgers, or reports. Performance evaluations are also often carried out at specific points in time, usually at the end of a specific project, and result in an evaluation report. On the other hand, process mechanisms such as participation and self-regulation are generally more broad and multifaceted than tools, while al</w:t>
      </w:r>
      <w:r w:rsidR="007A5972" w:rsidRPr="00F543C1">
        <w:rPr>
          <w:i/>
          <w:color w:val="30353F"/>
        </w:rPr>
        <w:t>s</w:t>
      </w:r>
      <w:r w:rsidRPr="00F543C1">
        <w:rPr>
          <w:i/>
          <w:color w:val="30353F"/>
        </w:rPr>
        <w:t xml:space="preserve">o being less tangible and time-bound, although each may utilize a set of tools (such as participatory rural appraisal) for achieving accountability. </w:t>
      </w:r>
      <w:r w:rsidRPr="00F543C1">
        <w:rPr>
          <w:iCs/>
          <w:color w:val="30353F"/>
        </w:rPr>
        <w:fldChar w:fldCharType="begin"/>
      </w:r>
      <w:r w:rsidR="009B0EC4">
        <w:rPr>
          <w:iCs/>
          <w:color w:val="30353F"/>
        </w:rPr>
        <w:instrText xml:space="preserve"> ADDIN ZOTERO_ITEM CSL_CITATION {"citationID":"a1v487nsvid","properties":{"formattedCitation":"(Ebrahim 2003, 815)","plainCitation":"(Ebrahim 2003, 815)","noteIndex":0},"citationItems":[{"id":16981,"uris":["http://zotero.org/groups/4801058/items/TWV2VJPI"],"itemData":{"id":16981,"type":"article-journal","container-title":"World Development","DOI":"10.1016/S0305-750X(03)00014-7","ISSN":"0305750X","issue":"5","journalAbbreviation":"World Development","language":"en","page":"813-829","source":"DOI.org (Crossref)","title":"Accountability In Practice: Mechanisms for NGOs","title-short":"Accountability In Practice","volume":"31","author":[{"family":"Ebrahim","given":"Alnoor"}],"issued":{"date-parts":[["2003",5]]}},"locator":"815","label":"page"}],"schema":"https://github.com/citation-style-language/schema/raw/master/csl-citation.json"} </w:instrText>
      </w:r>
      <w:r w:rsidRPr="00F543C1">
        <w:rPr>
          <w:iCs/>
          <w:color w:val="30353F"/>
        </w:rPr>
        <w:fldChar w:fldCharType="separate"/>
      </w:r>
      <w:r w:rsidRPr="00F543C1">
        <w:rPr>
          <w:rFonts w:cs="Calibri"/>
          <w:iCs/>
          <w:color w:val="30353F"/>
          <w:szCs w:val="24"/>
        </w:rPr>
        <w:t>(Ebrahim 2003, 815)</w:t>
      </w:r>
      <w:r w:rsidRPr="00F543C1">
        <w:rPr>
          <w:iCs/>
          <w:color w:val="30353F"/>
        </w:rPr>
        <w:fldChar w:fldCharType="end"/>
      </w:r>
      <w:r w:rsidRPr="00726346">
        <w:rPr>
          <w:i/>
          <w:color w:val="30353F"/>
        </w:rPr>
        <w:t xml:space="preserve"> </w:t>
      </w:r>
    </w:p>
    <w:p w14:paraId="7EB0EAF7" w14:textId="1C6BB659" w:rsidR="00DA7054" w:rsidRPr="00F543C1" w:rsidRDefault="00DA7054" w:rsidP="00215545">
      <w:pPr>
        <w:ind w:left="851"/>
      </w:pPr>
      <w:r w:rsidRPr="00F543C1">
        <w:t xml:space="preserve">These tools and processes can be found at the macro, </w:t>
      </w:r>
      <w:proofErr w:type="spellStart"/>
      <w:r w:rsidRPr="00F543C1">
        <w:t>mes</w:t>
      </w:r>
      <w:r w:rsidR="00AD7415" w:rsidRPr="00F543C1">
        <w:t>o</w:t>
      </w:r>
      <w:proofErr w:type="spellEnd"/>
      <w:r w:rsidRPr="00F543C1">
        <w:t xml:space="preserve"> and micro level</w:t>
      </w:r>
      <w:r w:rsidR="00D44EF2" w:rsidRPr="00F543C1">
        <w:t>s</w:t>
      </w:r>
      <w:r w:rsidRPr="00F543C1">
        <w:t>.</w:t>
      </w:r>
    </w:p>
    <w:p w14:paraId="18AE4F55" w14:textId="73C0A34A" w:rsidR="00EC42E0" w:rsidRPr="00726346" w:rsidRDefault="00EC42E0" w:rsidP="00215545">
      <w:pPr>
        <w:ind w:left="851"/>
      </w:pPr>
      <w:r w:rsidRPr="00F543C1">
        <w:t>Stephen Page suggests four types of accountability relationship</w:t>
      </w:r>
      <w:r w:rsidR="008E500B" w:rsidRPr="00F543C1">
        <w:t>s</w:t>
      </w:r>
      <w:r w:rsidRPr="00F543C1">
        <w:t xml:space="preserve"> in public agencies and programmes: legal, hierarchical, </w:t>
      </w:r>
      <w:proofErr w:type="gramStart"/>
      <w:r w:rsidRPr="00F543C1">
        <w:t>political</w:t>
      </w:r>
      <w:proofErr w:type="gramEnd"/>
      <w:r w:rsidRPr="00F543C1">
        <w:t xml:space="preserve"> and professional. These relationships differ in terms of whether they are internal or external to the agencies and whether they involve high or low levels of control </w:t>
      </w:r>
      <w:r w:rsidRPr="00F543C1">
        <w:fldChar w:fldCharType="begin"/>
      </w:r>
      <w:r w:rsidR="009B0EC4">
        <w:instrText xml:space="preserve"> ADDIN ZOTERO_ITEM CSL_CITATION {"citationID":"p0KYzEgL","properties":{"formattedCitation":"(Page 2004, 592)","plainCitation":"(Page 2004, 592)","noteIndex":0},"citationItems":[{"id":16093,"uris":["http://zotero.org/groups/4801058/items/NJXXRDDJ"],"itemData":{"id":16093,"type":"article-journal","abstract":"This article examines the intersection of two types of innovations that are increasingly common in public administration-accountability for results and interagency collaboration. Recent scholarship suggests four approaches that collaborators can use to increase their accountability for results. The article proposes measures of these four approaches to assess a collaborative's capacity for accountability, and uses them to compare the accountability of human services collaboratives in 10 states. The findings indicate that collaboratives tend to use the four approaches together with one another. In combination, the various approaches may help collaborators manage their stake holders' expectations about their actions and accomplishments. Further research is needed to determine whether a collaborative's capacity for accountability for results actually correlates with improvements in outcomes.","container-title":"Public Administration Review","ISSN":"0033-3352","issue":"5","note":"number: 5\npublisher: [American Society for Public Administration, Wiley]","page":"591-606","source":"JSTOR","title":"Measuring Accountability for Results in Interagency Collaboratives","volume":"64","author":[{"family":"Page","given":"Stephen"}],"issued":{"date-parts":[["2004"]]}},"locator":"592","label":"page"}],"schema":"https://github.com/citation-style-language/schema/raw/master/csl-citation.json"} </w:instrText>
      </w:r>
      <w:r w:rsidRPr="00F543C1">
        <w:fldChar w:fldCharType="separate"/>
      </w:r>
      <w:r w:rsidRPr="00F543C1">
        <w:rPr>
          <w:rFonts w:cs="Calibri"/>
        </w:rPr>
        <w:t>(Page 2004, 592)</w:t>
      </w:r>
      <w:r w:rsidRPr="00F543C1">
        <w:fldChar w:fldCharType="end"/>
      </w:r>
      <w:r w:rsidR="0087344D" w:rsidRPr="00726346">
        <w:t xml:space="preserve">. Barbara </w:t>
      </w:r>
      <w:proofErr w:type="spellStart"/>
      <w:r w:rsidR="0087344D" w:rsidRPr="00726346">
        <w:t>Romzek</w:t>
      </w:r>
      <w:proofErr w:type="spellEnd"/>
      <w:r w:rsidR="0087344D" w:rsidRPr="00726346">
        <w:t xml:space="preserve"> and Mel </w:t>
      </w:r>
      <w:proofErr w:type="spellStart"/>
      <w:r w:rsidR="0087344D" w:rsidRPr="00726346">
        <w:t>Dubnick</w:t>
      </w:r>
      <w:proofErr w:type="spellEnd"/>
      <w:r w:rsidR="0087344D" w:rsidRPr="00726346">
        <w:t xml:space="preserve"> use a simila</w:t>
      </w:r>
      <w:r w:rsidR="0087344D" w:rsidRPr="00F543C1">
        <w:t xml:space="preserve">r taxonomy but with slightly different names, as shown in </w:t>
      </w:r>
      <w:r w:rsidR="0087344D" w:rsidRPr="00F543C1">
        <w:fldChar w:fldCharType="begin"/>
      </w:r>
      <w:r w:rsidR="0087344D" w:rsidRPr="00F543C1">
        <w:instrText xml:space="preserve"> REF _Ref124694832 \h </w:instrText>
      </w:r>
      <w:r w:rsidR="000177FE" w:rsidRPr="00F543C1">
        <w:instrText xml:space="preserve"> \* MERGEFORMAT </w:instrText>
      </w:r>
      <w:r w:rsidR="0087344D" w:rsidRPr="00F543C1">
        <w:fldChar w:fldCharType="separate"/>
      </w:r>
      <w:r w:rsidR="00E06351" w:rsidRPr="00F543C1">
        <w:t>Figure </w:t>
      </w:r>
      <w:r w:rsidR="00E06351">
        <w:t>7</w:t>
      </w:r>
      <w:r w:rsidR="0087344D" w:rsidRPr="00F543C1">
        <w:fldChar w:fldCharType="end"/>
      </w:r>
      <w:r w:rsidR="0087344D" w:rsidRPr="00726346">
        <w:t>.</w:t>
      </w:r>
      <w:r w:rsidR="00735B76" w:rsidRPr="009006D7">
        <w:rPr>
          <w:rStyle w:val="FootnoteReference"/>
        </w:rPr>
        <w:footnoteReference w:id="121"/>
      </w:r>
    </w:p>
    <w:p w14:paraId="12C557D4" w14:textId="58F771D7" w:rsidR="00C5417B" w:rsidRDefault="0087344D" w:rsidP="0087344D">
      <w:pPr>
        <w:pStyle w:val="FigureCaption"/>
      </w:pPr>
      <w:bookmarkStart w:id="139" w:name="_Ref124694832"/>
      <w:bookmarkStart w:id="140" w:name="_Toc126841238"/>
      <w:r w:rsidRPr="00F543C1">
        <w:lastRenderedPageBreak/>
        <w:t>Figure </w:t>
      </w:r>
      <w:r w:rsidRPr="00F543C1">
        <w:fldChar w:fldCharType="begin"/>
      </w:r>
      <w:r w:rsidRPr="00F543C1">
        <w:instrText>SEQ Figure \* ARABIC</w:instrText>
      </w:r>
      <w:r w:rsidRPr="00F543C1">
        <w:fldChar w:fldCharType="separate"/>
      </w:r>
      <w:r w:rsidR="00E06351">
        <w:rPr>
          <w:noProof/>
        </w:rPr>
        <w:t>7</w:t>
      </w:r>
      <w:r w:rsidRPr="00F543C1">
        <w:fldChar w:fldCharType="end"/>
      </w:r>
      <w:bookmarkEnd w:id="139"/>
      <w:r w:rsidRPr="00726346">
        <w:t xml:space="preserve"> Types of accountability systems</w:t>
      </w:r>
      <w:bookmarkEnd w:id="140"/>
      <w:r w:rsidR="00195438">
        <w:t xml:space="preserve"> </w:t>
      </w:r>
    </w:p>
    <w:p w14:paraId="3381E453" w14:textId="4891A116" w:rsidR="001B4B38" w:rsidRDefault="001B4B38" w:rsidP="0087344D">
      <w:pPr>
        <w:pStyle w:val="FigureCaption"/>
      </w:pPr>
      <w:r>
        <w:rPr>
          <w:noProof/>
        </w:rPr>
        <w:drawing>
          <wp:inline distT="0" distB="0" distL="0" distR="0" wp14:anchorId="15DDB03F" wp14:editId="634FE0A2">
            <wp:extent cx="3599180" cy="359918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a:stretch>
                      <a:fillRect/>
                    </a:stretch>
                  </pic:blipFill>
                  <pic:spPr>
                    <a:xfrm>
                      <a:off x="0" y="0"/>
                      <a:ext cx="3599180" cy="3599180"/>
                    </a:xfrm>
                    <a:prstGeom prst="rect">
                      <a:avLst/>
                    </a:prstGeom>
                  </pic:spPr>
                </pic:pic>
              </a:graphicData>
            </a:graphic>
          </wp:inline>
        </w:drawing>
      </w:r>
    </w:p>
    <w:p w14:paraId="1C90C708" w14:textId="5E58409D" w:rsidR="0087344D" w:rsidRPr="00726346" w:rsidRDefault="0087344D" w:rsidP="00283327">
      <w:pPr>
        <w:pStyle w:val="USSource"/>
      </w:pPr>
      <w:r w:rsidRPr="00F543C1">
        <w:t xml:space="preserve">Source: </w:t>
      </w:r>
      <w:proofErr w:type="spellStart"/>
      <w:r w:rsidRPr="00F543C1">
        <w:t>Romzek</w:t>
      </w:r>
      <w:proofErr w:type="spellEnd"/>
      <w:r w:rsidRPr="00F543C1">
        <w:t xml:space="preserve"> and </w:t>
      </w:r>
      <w:proofErr w:type="spellStart"/>
      <w:r w:rsidRPr="00F543C1">
        <w:t>Dubnick</w:t>
      </w:r>
      <w:proofErr w:type="spellEnd"/>
      <w:r w:rsidRPr="00F543C1">
        <w:t xml:space="preserve"> </w:t>
      </w:r>
      <w:r w:rsidR="00283327" w:rsidRPr="00F543C1">
        <w:fldChar w:fldCharType="begin"/>
      </w:r>
      <w:r w:rsidR="009B0EC4">
        <w:instrText xml:space="preserve"> ADDIN ZOTERO_ITEM CSL_CITATION {"citationID":"dkYvKL9z","properties":{"formattedCitation":"(1987)","plainCitation":"(1987)","noteIndex":0},"citationItems":[{"id":18466,"uris":["http://zotero.org/groups/4801058/items/KEJZT8QF"],"itemData":{"id":18466,"type":"article-journal","abstract":"The Rogers Commission investigation of the space shuttle Challenger accident was too narrow in its focus; an institutional analysis is needed to supplement the concentration on technical and managerial causes of the tragedy. Using an institutional perspective, we contend that the accident was, in part, a manifestation of NASA's efforts to manage the diverse expectations it faces in the American political system. Four types of accountability (legal, political, bureaucratic, and professional) are commonly used by public agencies to manage expectations of them. Yet, the presence of multiple accountability systems is not without costs. This case study shows that many of NASA's technical and managerial problems resulted from efforts to respond to legitimate institutional demands. Specifically, we contend that the pursuit of political and bureaucratic accountability distracted NASA from its strength: professional standards and mechanisms of accountability. Furthermore, agency reforms now being implemented and considered compound trends away from the professional accountability approaches used by NASA during the 1960s. Such reforms are just as likely to exacerbate the dilemmas facing NASA as they are to improve the agency's performance.","container-title":"Public Administration Review","DOI":"10.2307/975901","ISSN":"0033-3352","issue":"3","note":"publisher: [American Society for Public Administration, Wiley]","page":"227-238","source":"JSTOR","title":"Accountability in the Public Sector: Lessons from the Challenger Tragedy","title-short":"Accountability in the Public Sector","volume":"47","author":[{"family":"Romzek","given":"Barbara"},{"family":"Dubnick","given":"Melvin J."}],"issued":{"date-parts":[["1987"]]}},"label":"page","suppress-author":true}],"schema":"https://github.com/citation-style-language/schema/raw/master/csl-citation.json"} </w:instrText>
      </w:r>
      <w:r w:rsidR="00283327" w:rsidRPr="00F543C1">
        <w:fldChar w:fldCharType="separate"/>
      </w:r>
      <w:r w:rsidR="00283327" w:rsidRPr="00F543C1">
        <w:rPr>
          <w:rFonts w:cs="Calibri"/>
        </w:rPr>
        <w:t>(1987)</w:t>
      </w:r>
      <w:r w:rsidR="00283327" w:rsidRPr="00F543C1">
        <w:fldChar w:fldCharType="end"/>
      </w:r>
    </w:p>
    <w:p w14:paraId="17C12797" w14:textId="6EBE2D38" w:rsidR="002172B6" w:rsidRPr="00F543C1" w:rsidRDefault="002172B6" w:rsidP="00AB43DB">
      <w:pPr>
        <w:pStyle w:val="USBodyText"/>
      </w:pPr>
      <w:r w:rsidRPr="00F543C1">
        <w:t>These are the types of accountability systems often found at the micro level.</w:t>
      </w:r>
    </w:p>
    <w:p w14:paraId="7A9D49AD" w14:textId="43F7A350" w:rsidR="003E5430" w:rsidRPr="00F543C1" w:rsidRDefault="003E5430" w:rsidP="003E5430">
      <w:pPr>
        <w:pStyle w:val="USBodyText"/>
      </w:pPr>
      <w:r w:rsidRPr="00F543C1">
        <w:t>Bureaucratic</w:t>
      </w:r>
      <w:r w:rsidR="00222816" w:rsidRPr="00F543C1">
        <w:t xml:space="preserve"> or </w:t>
      </w:r>
      <w:r w:rsidRPr="00F543C1">
        <w:t>hierarchical systems involve relationships between different layers of a government system</w:t>
      </w:r>
      <w:r w:rsidR="00B8645F" w:rsidRPr="00F543C1">
        <w:t>. The focus is</w:t>
      </w:r>
      <w:r w:rsidRPr="00F543C1">
        <w:t xml:space="preserve"> on managing expectations around the priorities of those at the top of the bureaucratic hierarchy. These systems are characterised by ‘orders’ that come down from the top, often in the form of standard operating procedures or clearly stated rules and regulations.</w:t>
      </w:r>
      <w:r w:rsidR="00F57C3E" w:rsidRPr="00F543C1">
        <w:t xml:space="preserve"> Accountability is the</w:t>
      </w:r>
      <w:r w:rsidR="00222816" w:rsidRPr="00F543C1">
        <w:t>n</w:t>
      </w:r>
      <w:r w:rsidR="00F57C3E" w:rsidRPr="00F543C1">
        <w:t xml:space="preserve"> about how well those at the bottom comply with the rules set at the top.</w:t>
      </w:r>
      <w:r w:rsidRPr="00F543C1">
        <w:t xml:space="preserve"> </w:t>
      </w:r>
    </w:p>
    <w:p w14:paraId="6A0257DA" w14:textId="37673B19" w:rsidR="003E5430" w:rsidRPr="00726346" w:rsidRDefault="009B341D" w:rsidP="009B341D">
      <w:pPr>
        <w:pStyle w:val="USBodyText"/>
      </w:pPr>
      <w:r w:rsidRPr="00F543C1">
        <w:t xml:space="preserve">Legal accountability is also about </w:t>
      </w:r>
      <w:r w:rsidR="00556BD0" w:rsidRPr="00F543C1">
        <w:t xml:space="preserve">compliance with </w:t>
      </w:r>
      <w:r w:rsidRPr="00F543C1">
        <w:t xml:space="preserve">rules (laws). The difference is that the relationship is between an </w:t>
      </w:r>
      <w:r w:rsidR="0037395E" w:rsidRPr="00F543C1">
        <w:t>organisation</w:t>
      </w:r>
      <w:r w:rsidRPr="00F543C1">
        <w:t xml:space="preserve"> and an external </w:t>
      </w:r>
      <w:r w:rsidR="00824380" w:rsidRPr="00F543C1">
        <w:t>forum</w:t>
      </w:r>
      <w:r w:rsidRPr="00F543C1">
        <w:t>: a cou</w:t>
      </w:r>
      <w:r w:rsidR="0037395E" w:rsidRPr="00F543C1">
        <w:t xml:space="preserve">rt or tribunal. </w:t>
      </w:r>
      <w:r w:rsidR="00824380" w:rsidRPr="00F543C1">
        <w:t>The role of the forum is to enforce rules, which are often set by another party altogether (usually a Parliament or some other form of government that has the power to make binding rules</w:t>
      </w:r>
      <w:r w:rsidR="00B465A4" w:rsidRPr="00F543C1">
        <w:t>)</w:t>
      </w:r>
      <w:r w:rsidR="00824380" w:rsidRPr="00F543C1">
        <w:t>. Legal accountability system</w:t>
      </w:r>
      <w:r w:rsidR="002B7392" w:rsidRPr="00F543C1">
        <w:t>s</w:t>
      </w:r>
      <w:r w:rsidR="00824380" w:rsidRPr="00F543C1">
        <w:t xml:space="preserve"> are often very formal and involve the imposition of </w:t>
      </w:r>
      <w:r w:rsidR="002B7392" w:rsidRPr="00F543C1">
        <w:t>express sanctions for non-compliance.</w:t>
      </w:r>
      <w:r w:rsidR="00B465A4" w:rsidRPr="009006D7">
        <w:rPr>
          <w:rStyle w:val="FootnoteReference"/>
        </w:rPr>
        <w:footnoteReference w:id="122"/>
      </w:r>
    </w:p>
    <w:p w14:paraId="7238D31E" w14:textId="59E7EF6C" w:rsidR="008C5660" w:rsidRPr="00F543C1" w:rsidRDefault="00E108A0" w:rsidP="009B341D">
      <w:pPr>
        <w:pStyle w:val="USBodyText"/>
      </w:pPr>
      <w:r w:rsidRPr="00F543C1">
        <w:t xml:space="preserve">Professional accountability </w:t>
      </w:r>
      <w:r w:rsidR="008C5660" w:rsidRPr="00F543C1">
        <w:t xml:space="preserve">in this model </w:t>
      </w:r>
      <w:r w:rsidR="00556BD0" w:rsidRPr="00F543C1">
        <w:t>concerns experts</w:t>
      </w:r>
      <w:r w:rsidR="00C4029B" w:rsidRPr="00F543C1">
        <w:t xml:space="preserve"> and how they do their jobs. </w:t>
      </w:r>
      <w:r w:rsidR="008C5660" w:rsidRPr="00F543C1">
        <w:t xml:space="preserve">The internal relationships between the organisation and the experts </w:t>
      </w:r>
      <w:r w:rsidR="00884FA6" w:rsidRPr="00F543C1">
        <w:t xml:space="preserve">are </w:t>
      </w:r>
      <w:r w:rsidR="008C5660" w:rsidRPr="00F543C1">
        <w:t>not one</w:t>
      </w:r>
      <w:r w:rsidR="00F53CC5" w:rsidRPr="00F543C1">
        <w:t>s</w:t>
      </w:r>
      <w:r w:rsidR="008C5660" w:rsidRPr="00F543C1">
        <w:t xml:space="preserve"> of control, as in bureaucratic systems, but one</w:t>
      </w:r>
      <w:r w:rsidR="001D0935" w:rsidRPr="00F543C1">
        <w:t>s</w:t>
      </w:r>
      <w:r w:rsidR="008C5660" w:rsidRPr="00F543C1">
        <w:t xml:space="preserve"> of deference to expertise. The expert is trusted to know what to do an</w:t>
      </w:r>
      <w:r w:rsidR="0065505C" w:rsidRPr="00F543C1">
        <w:t>d</w:t>
      </w:r>
      <w:r w:rsidR="008C5660" w:rsidRPr="00F543C1">
        <w:t xml:space="preserve"> do it, free from detailed supervision from above.</w:t>
      </w:r>
      <w:r w:rsidR="00B465A4" w:rsidRPr="009006D7">
        <w:rPr>
          <w:rStyle w:val="FootnoteReference"/>
        </w:rPr>
        <w:footnoteReference w:id="123"/>
      </w:r>
      <w:r w:rsidR="008C5660" w:rsidRPr="00726346">
        <w:t xml:space="preserve"> There is </w:t>
      </w:r>
      <w:r w:rsidR="00D22BB5" w:rsidRPr="00F543C1">
        <w:t xml:space="preserve">a </w:t>
      </w:r>
      <w:r w:rsidR="008C5660" w:rsidRPr="00F543C1">
        <w:t>greater focus on what the expert does (results) than how they do it.</w:t>
      </w:r>
    </w:p>
    <w:p w14:paraId="4E1F4CDF" w14:textId="3EFFD27F" w:rsidR="002B7392" w:rsidRPr="00F543C1" w:rsidRDefault="008C5660" w:rsidP="009B341D">
      <w:pPr>
        <w:pStyle w:val="USBodyText"/>
      </w:pPr>
      <w:r w:rsidRPr="00F543C1">
        <w:lastRenderedPageBreak/>
        <w:t xml:space="preserve">Finally, </w:t>
      </w:r>
      <w:r w:rsidR="00CB3562" w:rsidRPr="00F543C1">
        <w:t>political accountability system</w:t>
      </w:r>
      <w:r w:rsidR="0065505C" w:rsidRPr="00F543C1">
        <w:t>s</w:t>
      </w:r>
      <w:r w:rsidR="00CB3562" w:rsidRPr="00F543C1">
        <w:t xml:space="preserve"> involve </w:t>
      </w:r>
      <w:r w:rsidR="00E460BB" w:rsidRPr="00F543C1">
        <w:t>relationship</w:t>
      </w:r>
      <w:r w:rsidR="00222816" w:rsidRPr="00F543C1">
        <w:t>s</w:t>
      </w:r>
      <w:r w:rsidR="00E460BB" w:rsidRPr="00F543C1">
        <w:t xml:space="preserve"> between agencies and external parties, often governments, but also citizens and </w:t>
      </w:r>
      <w:r w:rsidR="00F528B6" w:rsidRPr="00F543C1">
        <w:t>communities</w:t>
      </w:r>
      <w:r w:rsidR="00E460BB" w:rsidRPr="00F543C1">
        <w:t xml:space="preserve">. The key to </w:t>
      </w:r>
      <w:r w:rsidR="00F528B6" w:rsidRPr="00F543C1">
        <w:t>these systems</w:t>
      </w:r>
      <w:r w:rsidR="00EC77BC" w:rsidRPr="00F543C1">
        <w:t xml:space="preserve"> is the </w:t>
      </w:r>
      <w:r w:rsidR="00E460BB" w:rsidRPr="00F543C1">
        <w:t xml:space="preserve">question of </w:t>
      </w:r>
      <w:r w:rsidR="00B465A4" w:rsidRPr="00F543C1">
        <w:t xml:space="preserve">the </w:t>
      </w:r>
      <w:r w:rsidR="00F528B6" w:rsidRPr="00F543C1">
        <w:t>responsive</w:t>
      </w:r>
      <w:r w:rsidR="00D22BB5" w:rsidRPr="00F543C1">
        <w:t>ness</w:t>
      </w:r>
      <w:r w:rsidR="00F528B6" w:rsidRPr="00F543C1">
        <w:t xml:space="preserve"> of the agency to policy priorities and needs of the parties to whom they are responsible.</w:t>
      </w:r>
      <w:r w:rsidRPr="00F543C1">
        <w:t xml:space="preserve"> </w:t>
      </w:r>
    </w:p>
    <w:p w14:paraId="3492D522" w14:textId="43195250" w:rsidR="002B7392" w:rsidRPr="00F543C1" w:rsidRDefault="00A47393" w:rsidP="008C5660">
      <w:pPr>
        <w:pStyle w:val="USBodyText"/>
      </w:pPr>
      <w:r w:rsidRPr="00F543C1">
        <w:t xml:space="preserve">These different systems are not mutually </w:t>
      </w:r>
      <w:r w:rsidR="007A6A07" w:rsidRPr="00F543C1">
        <w:t>exclusive,</w:t>
      </w:r>
      <w:r w:rsidRPr="00F543C1">
        <w:t xml:space="preserve"> and more than one can apply to the same organisation or person. For example, a doctor who is professionally registered can be employed in a public hospital</w:t>
      </w:r>
      <w:r w:rsidR="007A6A07" w:rsidRPr="00F543C1">
        <w:t xml:space="preserve"> which is required to implement a government’s health strategies</w:t>
      </w:r>
      <w:r w:rsidRPr="00F543C1">
        <w:t xml:space="preserve">, </w:t>
      </w:r>
      <w:r w:rsidR="002738E2" w:rsidRPr="00F543C1">
        <w:t xml:space="preserve">while being </w:t>
      </w:r>
      <w:r w:rsidR="00526B4E" w:rsidRPr="00F543C1">
        <w:t>under the supervision of non-medical executive</w:t>
      </w:r>
      <w:r w:rsidR="002738E2" w:rsidRPr="00F543C1">
        <w:t>s</w:t>
      </w:r>
      <w:r w:rsidR="00526B4E" w:rsidRPr="00F543C1">
        <w:t xml:space="preserve"> in respect of non-clinical matters</w:t>
      </w:r>
      <w:r w:rsidR="002738E2" w:rsidRPr="00F543C1">
        <w:t xml:space="preserve"> (</w:t>
      </w:r>
      <w:r w:rsidR="00F750CE" w:rsidRPr="00F543C1">
        <w:t>e.g.,</w:t>
      </w:r>
      <w:r w:rsidR="002145DF" w:rsidRPr="00F543C1">
        <w:t xml:space="preserve"> </w:t>
      </w:r>
      <w:r w:rsidR="002738E2" w:rsidRPr="00F543C1">
        <w:t>hours of work</w:t>
      </w:r>
      <w:r w:rsidR="002145DF" w:rsidRPr="00F543C1">
        <w:t xml:space="preserve">, a code of </w:t>
      </w:r>
      <w:r w:rsidR="004465FD">
        <w:t>non</w:t>
      </w:r>
      <w:r w:rsidR="00B4215B">
        <w:t>-</w:t>
      </w:r>
      <w:r w:rsidR="004465FD">
        <w:t xml:space="preserve">clinical </w:t>
      </w:r>
      <w:r w:rsidR="002145DF" w:rsidRPr="00F543C1">
        <w:t>behaviour,</w:t>
      </w:r>
      <w:r w:rsidR="002738E2" w:rsidRPr="00F543C1">
        <w:t xml:space="preserve"> </w:t>
      </w:r>
      <w:proofErr w:type="gramStart"/>
      <w:r w:rsidR="002738E2" w:rsidRPr="00F543C1">
        <w:t>terms</w:t>
      </w:r>
      <w:proofErr w:type="gramEnd"/>
      <w:r w:rsidR="002738E2" w:rsidRPr="00F543C1">
        <w:t xml:space="preserve"> and cond</w:t>
      </w:r>
      <w:r w:rsidR="002145DF" w:rsidRPr="00F543C1">
        <w:t>i</w:t>
      </w:r>
      <w:r w:rsidR="002738E2" w:rsidRPr="00F543C1">
        <w:t>tions of employment)</w:t>
      </w:r>
      <w:r w:rsidR="002145DF" w:rsidRPr="00F543C1">
        <w:t>.</w:t>
      </w:r>
      <w:r w:rsidR="001C116F" w:rsidRPr="00F543C1">
        <w:t xml:space="preserve"> They are </w:t>
      </w:r>
      <w:r w:rsidR="005B3DCD" w:rsidRPr="00F543C1">
        <w:t>simultaneously</w:t>
      </w:r>
      <w:r w:rsidR="001C116F" w:rsidRPr="00F543C1">
        <w:t xml:space="preserve"> a doctor, an </w:t>
      </w:r>
      <w:proofErr w:type="gramStart"/>
      <w:r w:rsidR="001C116F" w:rsidRPr="00F543C1">
        <w:t>employee</w:t>
      </w:r>
      <w:proofErr w:type="gramEnd"/>
      <w:r w:rsidR="0086317B" w:rsidRPr="00F543C1">
        <w:t xml:space="preserve"> and </w:t>
      </w:r>
      <w:r w:rsidR="001C116F" w:rsidRPr="00F543C1">
        <w:t xml:space="preserve">a public </w:t>
      </w:r>
      <w:r w:rsidR="005B3DCD" w:rsidRPr="00F543C1">
        <w:t>servant</w:t>
      </w:r>
      <w:r w:rsidR="0086317B" w:rsidRPr="00F543C1">
        <w:t>.</w:t>
      </w:r>
    </w:p>
    <w:p w14:paraId="08F1A274" w14:textId="2A75F78F" w:rsidR="002145DF" w:rsidRPr="00F543C1" w:rsidRDefault="003F68E8" w:rsidP="008C5660">
      <w:pPr>
        <w:pStyle w:val="USBodyText"/>
      </w:pPr>
      <w:r w:rsidRPr="00F543C1">
        <w:t>Where multiple accountability systems do apply, then how they interact and how conflicts between them are resolved becomes important.</w:t>
      </w:r>
    </w:p>
    <w:p w14:paraId="0BE7F690" w14:textId="538E1E7E" w:rsidR="005F79B7" w:rsidRPr="00F543C1" w:rsidRDefault="005F79B7" w:rsidP="00107BC9">
      <w:pPr>
        <w:pStyle w:val="Heading3"/>
      </w:pPr>
      <w:bookmarkStart w:id="141" w:name="_Toc126092112"/>
      <w:bookmarkStart w:id="142" w:name="_Ref124683405"/>
      <w:bookmarkStart w:id="143" w:name="_Ref124514943"/>
      <w:r w:rsidRPr="00F543C1">
        <w:t>Network accountability</w:t>
      </w:r>
      <w:bookmarkEnd w:id="141"/>
      <w:r w:rsidR="003F2BFC" w:rsidRPr="00F543C1">
        <w:t xml:space="preserve"> </w:t>
      </w:r>
      <w:bookmarkEnd w:id="142"/>
    </w:p>
    <w:p w14:paraId="5CEAA809" w14:textId="149BEDD3" w:rsidR="005F79B7" w:rsidRPr="00F543C1" w:rsidRDefault="00EE7578" w:rsidP="00766F4C">
      <w:pPr>
        <w:ind w:left="851"/>
      </w:pPr>
      <w:r>
        <w:t>As</w:t>
      </w:r>
      <w:r w:rsidR="00B4215B">
        <w:t xml:space="preserve"> g</w:t>
      </w:r>
      <w:r w:rsidR="008E359A" w:rsidRPr="00F543C1">
        <w:t>overnments increasingly us</w:t>
      </w:r>
      <w:r>
        <w:t>e</w:t>
      </w:r>
      <w:r w:rsidR="008E359A" w:rsidRPr="00F543C1">
        <w:t xml:space="preserve"> </w:t>
      </w:r>
      <w:r w:rsidR="008B38A6" w:rsidRPr="00F543C1">
        <w:t>third parties</w:t>
      </w:r>
      <w:r w:rsidR="008E359A" w:rsidRPr="00F543C1">
        <w:t xml:space="preserve"> to perform tasks</w:t>
      </w:r>
      <w:r>
        <w:t>, the study of accountability</w:t>
      </w:r>
      <w:r w:rsidR="008E359A" w:rsidRPr="00F543C1">
        <w:t xml:space="preserve"> </w:t>
      </w:r>
      <w:r w:rsidR="008B38A6" w:rsidRPr="00F543C1">
        <w:t>h</w:t>
      </w:r>
      <w:r w:rsidR="008E359A" w:rsidRPr="00F543C1">
        <w:t xml:space="preserve">as expanded </w:t>
      </w:r>
      <w:r w:rsidR="00335518" w:rsidRPr="00F543C1">
        <w:t xml:space="preserve">to consider how traditional accountability systems </w:t>
      </w:r>
      <w:r w:rsidR="00D71644" w:rsidRPr="00F543C1">
        <w:t>like</w:t>
      </w:r>
      <w:r w:rsidR="00335518" w:rsidRPr="00F543C1">
        <w:t xml:space="preserve"> those discussed above can and should evolve</w:t>
      </w:r>
      <w:r w:rsidR="00407660">
        <w:t xml:space="preserve"> </w:t>
      </w:r>
      <w:r w:rsidR="00610916">
        <w:fldChar w:fldCharType="begin"/>
      </w:r>
      <w:r w:rsidR="009B0EC4">
        <w:instrText xml:space="preserve"> ADDIN ZOTERO_ITEM CSL_CITATION {"citationID":"XGNfRO1F","properties":{"formattedCitation":"(Besley and Ghatak 2003)","plainCitation":"(Besley and Ghatak 2003)","noteIndex":0},"citationItems":[{"id":18686,"uris":["http://zotero.org/groups/4801058/items/AA7XILNK"],"itemData":{"id":18686,"type":"article-journal","abstract":"This paper discusses a theoretical framework to study the issues of competition and incentives without relying on the standard profit‐oriented ‘market’ model in the context of the debates about public‐service reform in the UK. It uses the idea that the production of public services coheres around a mission, and discusses how decentralized service provision can raise productivity by matching motivated workers to their preferred missions. Our focus on competition and incentives cuts across traditional debates about public versus private ownership and allows for the possibility of involving private non‐profit organizations. We also address concerns about the consequences of allowing more flexibility in mission design and competition on inequality.","container-title":"Oxford Review of Economic Policy","DOI":"10.1093/oxrep/19.2.235","ISSN":"0266-903X","issue":"2","journalAbbreviation":"Oxford Review of Economic Policy","page":"235-249","source":"Silverchair","title":"Incentives, Choice, and Accountability in the Provision of Public Services","volume":"19","author":[{"family":"Besley","given":"Timothy"},{"family":"Ghatak","given":"Maitreesh"}],"issued":{"date-parts":[["2003",6,1]]}}}],"schema":"https://github.com/citation-style-language/schema/raw/master/csl-citation.json"} </w:instrText>
      </w:r>
      <w:r w:rsidR="00610916">
        <w:fldChar w:fldCharType="separate"/>
      </w:r>
      <w:r w:rsidR="00610916" w:rsidRPr="00610916">
        <w:rPr>
          <w:rFonts w:cs="Calibri"/>
        </w:rPr>
        <w:t>(</w:t>
      </w:r>
      <w:bookmarkStart w:id="144" w:name="_Hlk126770351"/>
      <w:r w:rsidR="00610916" w:rsidRPr="00610916">
        <w:rPr>
          <w:rFonts w:cs="Calibri"/>
        </w:rPr>
        <w:t>Besley and Ghatak</w:t>
      </w:r>
      <w:bookmarkEnd w:id="144"/>
      <w:r w:rsidR="00610916" w:rsidRPr="00610916">
        <w:rPr>
          <w:rFonts w:cs="Calibri"/>
        </w:rPr>
        <w:t xml:space="preserve"> 2003)</w:t>
      </w:r>
      <w:r w:rsidR="00610916">
        <w:fldChar w:fldCharType="end"/>
      </w:r>
      <w:r w:rsidR="00B53AD7">
        <w:t>.</w:t>
      </w:r>
      <w:r w:rsidR="00766F4C" w:rsidRPr="00F543C1">
        <w:t xml:space="preserve">One particular aspect of this is the </w:t>
      </w:r>
      <w:r w:rsidR="005F79B7" w:rsidRPr="00F543C1">
        <w:t xml:space="preserve">idea of </w:t>
      </w:r>
      <w:r w:rsidR="00766F4C" w:rsidRPr="00F543C1">
        <w:t>‘</w:t>
      </w:r>
      <w:r w:rsidR="005F79B7" w:rsidRPr="00F543C1">
        <w:t>network accountability</w:t>
      </w:r>
      <w:r w:rsidR="00766F4C" w:rsidRPr="00F543C1">
        <w:t>’, where inform</w:t>
      </w:r>
      <w:r w:rsidR="001A0CD1" w:rsidRPr="00F543C1">
        <w:t>al</w:t>
      </w:r>
      <w:r w:rsidR="00766F4C" w:rsidRPr="00F543C1">
        <w:t xml:space="preserve"> systems of accountability combine with more formal approaches</w:t>
      </w:r>
      <w:r w:rsidR="005F79B7" w:rsidRPr="00F543C1">
        <w:t xml:space="preserve">: </w:t>
      </w:r>
    </w:p>
    <w:p w14:paraId="313D442D" w14:textId="49355A7A" w:rsidR="005F79B7" w:rsidRPr="00F543C1" w:rsidRDefault="005F79B7" w:rsidP="005F79B7">
      <w:pPr>
        <w:ind w:left="1418"/>
        <w:rPr>
          <w:i/>
          <w:iCs/>
        </w:rPr>
      </w:pPr>
      <w:r w:rsidRPr="00F543C1">
        <w:rPr>
          <w:i/>
          <w:iCs/>
        </w:rPr>
        <w:t xml:space="preserve">Formal structures of accountability provide only a partial picture of the mechanisms by which network participants are held to account for their performance. Informal accountability relationships based on shared norms and facilitative </w:t>
      </w:r>
      <w:proofErr w:type="spellStart"/>
      <w:r w:rsidRPr="00F543C1">
        <w:rPr>
          <w:i/>
          <w:iCs/>
        </w:rPr>
        <w:t>behaviors</w:t>
      </w:r>
      <w:proofErr w:type="spellEnd"/>
      <w:r w:rsidRPr="00F543C1">
        <w:rPr>
          <w:i/>
          <w:iCs/>
        </w:rPr>
        <w:t xml:space="preserve"> are important complements to formal accountability relationships; they provide the interorganizational “grease” that enables networks to work through the inevitable rough spots of coordination. </w:t>
      </w:r>
      <w:r w:rsidRPr="00F543C1">
        <w:rPr>
          <w:i/>
          <w:iCs/>
        </w:rPr>
        <w:fldChar w:fldCharType="begin"/>
      </w:r>
      <w:r w:rsidR="009B0EC4">
        <w:rPr>
          <w:i/>
          <w:iCs/>
        </w:rPr>
        <w:instrText xml:space="preserve"> ADDIN ZOTERO_ITEM CSL_CITATION {"citationID":"Spgi6dDz","properties":{"formattedCitation":"(B. Romzek, LeRoux, and Blackmar 2012, 451)","plainCitation":"(B. Romzek, LeRoux, and Blackmar 2012, 451)","noteIndex":0},"citationItems":[{"id":16121,"uris":["http://zotero.org/groups/4801058/items/EJ2MBGMJ"],"itemData":{"id":16121,"type":"article-journal","abstract":"Widespread government contracting for nonprofit social service delivery has resulted in extensive reliance on networks of service providers, which involve complicated accountability dynamics. The literature has tended to emphasize formal aspects of accountability in contract relationships, focusing on the specification of contract terms, performance measures, reporting relationships, and stipulated consequences. Far less attention has been focused on the interorganizational and interpersonal behaviors that reflect informal accountability. This article examines the informal norms, expectations, and behaviors that facilitate collective action and promote informal accountability among nonprofit network actors. The data are based on in-depth interviews with nonprofit senior administrators in four major metropolitan areas. Based on this research, the authors propose a preliminary theory of informal accountability that links (1) the shared norms and facilitative behaviors that foster informal accountability for collective outcomes, (2) the informal system of rewards and sanctions used to promote and reinforce behavioral expectations, and (3) the challenges that may undermine informal accountability.","container-title":"Public Administration Review","DOI":"10.1111/j.1540-6210.2011.02547.x","ISSN":"1540-6210","issue":"3","language":"en","note":"number: 3\n_eprint: https://onlinelibrary.wiley.com/doi/pdf/10.1111/j.1540-6210.2011.02547.x","page":"442-453","source":"Wiley Online Library","title":"A Preliminary Theory of Informal Accountability among Network Organizational Actors","volume":"72","author":[{"family":"Romzek","given":"Barbara"},{"family":"LeRoux","given":"Kelly"},{"family":"Blackmar","given":"Jeannette M."}],"issued":{"date-parts":[["2012"]]}},"locator":"451","label":"page"}],"schema":"https://github.com/citation-style-language/schema/raw/master/csl-citation.json"} </w:instrText>
      </w:r>
      <w:r w:rsidRPr="00F543C1">
        <w:rPr>
          <w:i/>
          <w:iCs/>
        </w:rPr>
        <w:fldChar w:fldCharType="separate"/>
      </w:r>
      <w:r w:rsidR="00124534" w:rsidRPr="00F543C1">
        <w:rPr>
          <w:rFonts w:cs="Calibri"/>
        </w:rPr>
        <w:t>(B. Romzek, LeRoux, and Blackmar 2012, 451)</w:t>
      </w:r>
      <w:r w:rsidRPr="00F543C1">
        <w:rPr>
          <w:i/>
          <w:iCs/>
        </w:rPr>
        <w:fldChar w:fldCharType="end"/>
      </w:r>
      <w:r w:rsidRPr="00726346">
        <w:rPr>
          <w:i/>
          <w:iCs/>
        </w:rPr>
        <w:t xml:space="preserve"> </w:t>
      </w:r>
    </w:p>
    <w:p w14:paraId="166D4333" w14:textId="711E1E19" w:rsidR="005F79B7" w:rsidRPr="00F543C1" w:rsidRDefault="005F79B7" w:rsidP="005F79B7">
      <w:pPr>
        <w:ind w:left="851"/>
      </w:pPr>
      <w:r w:rsidRPr="00F543C1">
        <w:t>These networks involve a web of formal and informal ties at both organisational and individual levels</w:t>
      </w:r>
      <w:r w:rsidR="009F791A" w:rsidRPr="00F543C1">
        <w:t>. They</w:t>
      </w:r>
      <w:r w:rsidRPr="00F543C1">
        <w:t xml:space="preserve"> can </w:t>
      </w:r>
      <w:r w:rsidR="009F791A" w:rsidRPr="00F543C1">
        <w:t xml:space="preserve">include </w:t>
      </w:r>
      <w:r w:rsidRPr="00F543C1">
        <w:t>contracts, agreed ways of working (sometimes in the form of inter-agency memoranda of understanding) but also norms and facilitative behaviours and informal systems of rewards and sanctions (</w:t>
      </w:r>
      <w:r w:rsidR="00070CBD">
        <w:t>i</w:t>
      </w:r>
      <w:r w:rsidRPr="00F543C1">
        <w:t xml:space="preserve">bid.). Workers can face a dynamic system of challenges to doing their work as they strive to accommodate possibly conflicting pressures from employers, peers, </w:t>
      </w:r>
      <w:proofErr w:type="gramStart"/>
      <w:r w:rsidRPr="00F543C1">
        <w:t>clients</w:t>
      </w:r>
      <w:proofErr w:type="gramEnd"/>
      <w:r w:rsidRPr="00F543C1">
        <w:t xml:space="preserve"> and the community.</w:t>
      </w:r>
    </w:p>
    <w:p w14:paraId="78B7AEA0" w14:textId="41825A5E" w:rsidR="005F79B7" w:rsidRPr="00F543C1" w:rsidRDefault="001A0CD1" w:rsidP="005F79B7">
      <w:pPr>
        <w:ind w:left="851"/>
      </w:pPr>
      <w:r w:rsidRPr="00F543C1">
        <w:t>T</w:t>
      </w:r>
      <w:r w:rsidR="00793932" w:rsidRPr="00F543C1">
        <w:t xml:space="preserve">hird-party provision is often </w:t>
      </w:r>
      <w:r w:rsidR="007D262E" w:rsidRPr="00F543C1">
        <w:t xml:space="preserve">put into effect </w:t>
      </w:r>
      <w:r w:rsidR="00FE541B" w:rsidRPr="00F543C1">
        <w:t>through</w:t>
      </w:r>
      <w:r w:rsidR="007D262E" w:rsidRPr="00F543C1">
        <w:t xml:space="preserve"> contracts between a state agency and a private firm.</w:t>
      </w:r>
      <w:r w:rsidR="00793932" w:rsidRPr="00F543C1">
        <w:t xml:space="preserve"> </w:t>
      </w:r>
      <w:r w:rsidR="005F79B7" w:rsidRPr="00F543C1">
        <w:t xml:space="preserve">Often, </w:t>
      </w:r>
      <w:r w:rsidR="007D262E" w:rsidRPr="00F543C1">
        <w:t>these contracts include formal accountability relationships</w:t>
      </w:r>
      <w:r w:rsidR="00E546F0" w:rsidRPr="00F543C1">
        <w:t>, requiring</w:t>
      </w:r>
      <w:r w:rsidR="007D262E" w:rsidRPr="00F543C1">
        <w:t xml:space="preserve"> the contract</w:t>
      </w:r>
      <w:r w:rsidR="001D0935" w:rsidRPr="00F543C1">
        <w:t>or</w:t>
      </w:r>
      <w:r w:rsidR="007D262E" w:rsidRPr="00F543C1">
        <w:t xml:space="preserve">s to account for what they do, often in </w:t>
      </w:r>
      <w:proofErr w:type="gramStart"/>
      <w:r w:rsidR="007D262E" w:rsidRPr="00F543C1">
        <w:t>great detail</w:t>
      </w:r>
      <w:proofErr w:type="gramEnd"/>
      <w:r w:rsidRPr="00F543C1">
        <w:t>.</w:t>
      </w:r>
      <w:r w:rsidR="007D262E" w:rsidRPr="00F543C1">
        <w:t xml:space="preserve"> </w:t>
      </w:r>
      <w:r w:rsidR="005F79B7" w:rsidRPr="00F543C1">
        <w:t xml:space="preserve">But as Barbara </w:t>
      </w:r>
      <w:proofErr w:type="spellStart"/>
      <w:r w:rsidR="005F79B7" w:rsidRPr="00F543C1">
        <w:t>Romzek</w:t>
      </w:r>
      <w:proofErr w:type="spellEnd"/>
      <w:r w:rsidR="005F79B7" w:rsidRPr="00F543C1">
        <w:t xml:space="preserve"> and her colleagues note, there is a parallel system of informal network accountability that can be just as powerful in influencing behaviours: </w:t>
      </w:r>
    </w:p>
    <w:p w14:paraId="39B32BAF" w14:textId="149597C3" w:rsidR="005F79B7" w:rsidRPr="00F543C1" w:rsidRDefault="005F79B7" w:rsidP="005F79B7">
      <w:pPr>
        <w:spacing w:before="120"/>
        <w:ind w:left="1276" w:right="425"/>
        <w:rPr>
          <w:i/>
          <w:color w:val="30353F"/>
        </w:rPr>
      </w:pPr>
      <w:r w:rsidRPr="00F543C1">
        <w:rPr>
          <w:i/>
          <w:color w:val="30353F"/>
        </w:rPr>
        <w:t xml:space="preserve">Informal accountability emerges from the unofficial expectations and discretionary </w:t>
      </w:r>
      <w:proofErr w:type="spellStart"/>
      <w:r w:rsidRPr="00F543C1">
        <w:rPr>
          <w:i/>
          <w:color w:val="30353F"/>
        </w:rPr>
        <w:t>behaviors</w:t>
      </w:r>
      <w:proofErr w:type="spellEnd"/>
      <w:r w:rsidRPr="00F543C1">
        <w:rPr>
          <w:i/>
          <w:color w:val="30353F"/>
        </w:rPr>
        <w:t xml:space="preserve"> that result from repeated interactions among network members in recognition of their interdependence in pursuit of their shared goal(s). </w:t>
      </w:r>
      <w:r w:rsidRPr="00F543C1">
        <w:rPr>
          <w:iCs/>
          <w:color w:val="30353F"/>
        </w:rPr>
        <w:t>(</w:t>
      </w:r>
      <w:r w:rsidR="00070CBD">
        <w:rPr>
          <w:iCs/>
          <w:color w:val="30353F"/>
        </w:rPr>
        <w:t>i</w:t>
      </w:r>
      <w:r w:rsidRPr="00F543C1">
        <w:rPr>
          <w:iCs/>
          <w:color w:val="30353F"/>
        </w:rPr>
        <w:t>bid.</w:t>
      </w:r>
      <w:r w:rsidR="009A52B1">
        <w:rPr>
          <w:iCs/>
          <w:color w:val="30353F"/>
        </w:rPr>
        <w:t>,</w:t>
      </w:r>
      <w:r w:rsidRPr="00F543C1">
        <w:rPr>
          <w:iCs/>
          <w:color w:val="30353F"/>
        </w:rPr>
        <w:t xml:space="preserve"> 5)</w:t>
      </w:r>
    </w:p>
    <w:p w14:paraId="06E9DE4E" w14:textId="3AA6E3C0" w:rsidR="003D457F" w:rsidRPr="00F543C1" w:rsidRDefault="001B00FE" w:rsidP="005F79B7">
      <w:pPr>
        <w:ind w:left="851"/>
      </w:pPr>
      <w:r w:rsidRPr="00F543C1">
        <w:t xml:space="preserve">We will return to this issue in </w:t>
      </w:r>
      <w:r w:rsidR="003D70D9" w:rsidRPr="00F543C1">
        <w:t>s</w:t>
      </w:r>
      <w:r w:rsidRPr="00F543C1">
        <w:t xml:space="preserve">ection </w:t>
      </w:r>
      <w:r w:rsidRPr="00F543C1">
        <w:fldChar w:fldCharType="begin"/>
      </w:r>
      <w:r w:rsidRPr="00F543C1">
        <w:instrText xml:space="preserve"> REF _Ref124701566 \r \h </w:instrText>
      </w:r>
      <w:r w:rsidR="000177FE" w:rsidRPr="00F543C1">
        <w:instrText xml:space="preserve"> \* MERGEFORMAT </w:instrText>
      </w:r>
      <w:r w:rsidRPr="00F543C1">
        <w:fldChar w:fldCharType="separate"/>
      </w:r>
      <w:r w:rsidR="00E06351">
        <w:t>3.8.5</w:t>
      </w:r>
      <w:r w:rsidRPr="00F543C1">
        <w:fldChar w:fldCharType="end"/>
      </w:r>
      <w:r w:rsidRPr="00726346">
        <w:t xml:space="preserve">, where we discuss network accountability in New Zealand. But for now, we note that </w:t>
      </w:r>
      <w:r w:rsidR="001A0CD1" w:rsidRPr="00F543C1">
        <w:t xml:space="preserve">although </w:t>
      </w:r>
      <w:r w:rsidR="00A22577" w:rsidRPr="00F543C1">
        <w:t xml:space="preserve">some authors think that third-party provision can reduce formal accountability, if the actors are moved outside </w:t>
      </w:r>
      <w:r w:rsidR="009F2B54" w:rsidRPr="00F543C1">
        <w:t xml:space="preserve">the direct </w:t>
      </w:r>
      <w:r w:rsidR="009F2B54" w:rsidRPr="00F543C1">
        <w:lastRenderedPageBreak/>
        <w:t>control of a government employer</w:t>
      </w:r>
      <w:r w:rsidR="009F2B54" w:rsidRPr="00F543C1">
        <w:fldChar w:fldCharType="begin"/>
      </w:r>
      <w:r w:rsidR="009B0EC4">
        <w:instrText xml:space="preserve"> ADDIN ZOTERO_ITEM CSL_CITATION {"citationID":"YwZq5LQJ","properties":{"formattedCitation":"(Mulgan 2006)","plainCitation":"(Mulgan 2006)","dontUpdate":true,"noteIndex":0},"citationItems":[{"id":15870,"uris":["http://zotero.org/groups/4623831/items/QJC258QL"],"itemData":{"id":15870,"type":"article-journal","abstract":"The effect of outsourcing on government accountability for public services continues to be contested. Analysts point to an accountability deficit while governments insist that accountability is retained (and indeed improved). The existence of an accountability deficit is confirmed, using examples from the Commonwealth Job Network. The government claim, that accountability remains, is best interpreted as rhetorical, as a refusal to shift blame to private contractors, even though some channels of accountability may be weakened. The claim can be seen as evidence of an increasing incorporation of private contractors into the overall structure of government.","container-title":"Australian Journal of Public Administration","DOI":"10.1111/j.1467-8500.2006.00481.x","ISSN":"1467-8500","issue":"2","language":"en","note":"_eprint: https://onlinelibrary.wiley.com/doi/pdf/10.1111/j.1467-8500.2006.00481.x","page":"48-58","source":"Wiley Online Library","title":"Government Accountability For Outsourced Services*","volume":"65","author":[{"family":"Mulgan","given":"Richard"}],"issued":{"date-parts":[["2006"]]}}}],"schema":"https://github.com/citation-style-language/schema/raw/master/csl-citation.json"} </w:instrText>
      </w:r>
      <w:r w:rsidR="00000000">
        <w:fldChar w:fldCharType="separate"/>
      </w:r>
      <w:r w:rsidR="009F2B54" w:rsidRPr="00F543C1">
        <w:fldChar w:fldCharType="end"/>
      </w:r>
      <w:r w:rsidR="002A2CC5" w:rsidRPr="00726346">
        <w:t>, this criticism overlooks the powerful potential of network accountability.</w:t>
      </w:r>
      <w:r w:rsidR="00160507" w:rsidRPr="00160507">
        <w:rPr>
          <w:rStyle w:val="FootnoteReference"/>
        </w:rPr>
        <w:t xml:space="preserve"> </w:t>
      </w:r>
      <w:r w:rsidR="00160507" w:rsidRPr="009006D7">
        <w:rPr>
          <w:rStyle w:val="FootnoteReference"/>
        </w:rPr>
        <w:footnoteReference w:id="124"/>
      </w:r>
      <w:r w:rsidR="002A2CC5" w:rsidRPr="00726346">
        <w:t xml:space="preserve"> </w:t>
      </w:r>
      <w:r w:rsidR="00930358" w:rsidRPr="00F543C1">
        <w:t>In particular:</w:t>
      </w:r>
    </w:p>
    <w:p w14:paraId="1D203FD1" w14:textId="692830D0" w:rsidR="00930358" w:rsidRPr="00F543C1" w:rsidRDefault="00930358" w:rsidP="00930358">
      <w:pPr>
        <w:pStyle w:val="USBullet1"/>
      </w:pPr>
      <w:r w:rsidRPr="00F543C1">
        <w:t xml:space="preserve">Many </w:t>
      </w:r>
      <w:r w:rsidR="004327D6" w:rsidRPr="00F543C1">
        <w:t>third-party</w:t>
      </w:r>
      <w:r w:rsidRPr="00F543C1">
        <w:t xml:space="preserve"> providers are subject to detailed regulatory systems that involve </w:t>
      </w:r>
      <w:r w:rsidR="004327D6" w:rsidRPr="00F543C1">
        <w:t>significant constitutional accountability elements (e.g., the regulation of charities)</w:t>
      </w:r>
    </w:p>
    <w:p w14:paraId="264B1407" w14:textId="5DDFCC4E" w:rsidR="004327D6" w:rsidRPr="00F543C1" w:rsidRDefault="001A3FB1" w:rsidP="00930358">
      <w:pPr>
        <w:pStyle w:val="USBullet1"/>
      </w:pPr>
      <w:r w:rsidRPr="00F543C1">
        <w:t>Providers operate with</w:t>
      </w:r>
      <w:r w:rsidR="00FD14CB" w:rsidRPr="00F543C1">
        <w:t>in</w:t>
      </w:r>
      <w:r w:rsidRPr="00F543C1">
        <w:t xml:space="preserve"> industries</w:t>
      </w:r>
      <w:r w:rsidR="00FD14CB" w:rsidRPr="00F543C1">
        <w:t xml:space="preserve"> or fields</w:t>
      </w:r>
      <w:r w:rsidRPr="00F543C1">
        <w:t xml:space="preserve"> that have their own </w:t>
      </w:r>
      <w:r w:rsidR="00E53167" w:rsidRPr="00F543C1">
        <w:t xml:space="preserve">ethics, </w:t>
      </w:r>
      <w:r w:rsidRPr="00F543C1">
        <w:t>codes of con</w:t>
      </w:r>
      <w:r w:rsidR="006869EE" w:rsidRPr="00F543C1">
        <w:t>duct</w:t>
      </w:r>
      <w:r w:rsidRPr="00F543C1">
        <w:t xml:space="preserve"> and informal norms and institutions that also </w:t>
      </w:r>
      <w:r w:rsidR="00EF0D4A" w:rsidRPr="00F543C1">
        <w:t>constitute</w:t>
      </w:r>
      <w:r w:rsidRPr="00F543C1">
        <w:t xml:space="preserve"> accountability </w:t>
      </w:r>
      <w:proofErr w:type="gramStart"/>
      <w:r w:rsidRPr="00F543C1">
        <w:t>relationships</w:t>
      </w:r>
      <w:proofErr w:type="gramEnd"/>
    </w:p>
    <w:p w14:paraId="33C22929" w14:textId="38BBFDD2" w:rsidR="001A3FB1" w:rsidRPr="00F543C1" w:rsidRDefault="00EF0D4A" w:rsidP="003A4473">
      <w:pPr>
        <w:pStyle w:val="USBullet1"/>
      </w:pPr>
      <w:r w:rsidRPr="00F543C1">
        <w:t xml:space="preserve">Employees of these parties often form professional and social communities that help reinforce ethical </w:t>
      </w:r>
      <w:r w:rsidR="00E44D22" w:rsidRPr="00F543C1">
        <w:t>standards.</w:t>
      </w:r>
    </w:p>
    <w:p w14:paraId="1BBD0E00" w14:textId="77777777" w:rsidR="005F79B7" w:rsidRPr="00F543C1" w:rsidRDefault="005F79B7" w:rsidP="00107BC9">
      <w:pPr>
        <w:pStyle w:val="Heading3"/>
      </w:pPr>
      <w:bookmarkStart w:id="145" w:name="_Ref124683501"/>
      <w:bookmarkStart w:id="146" w:name="_Toc126092113"/>
      <w:r w:rsidRPr="00F543C1">
        <w:t>Front-line staff</w:t>
      </w:r>
      <w:bookmarkEnd w:id="145"/>
      <w:bookmarkEnd w:id="146"/>
    </w:p>
    <w:p w14:paraId="3ECECF52" w14:textId="243A7149" w:rsidR="005F79B7" w:rsidRPr="00F543C1" w:rsidRDefault="005F79B7" w:rsidP="00107BC9">
      <w:pPr>
        <w:pStyle w:val="USBodyText"/>
      </w:pPr>
      <w:r w:rsidRPr="00F543C1">
        <w:t xml:space="preserve">To fully understand network accountability, especially in the public sector (including in </w:t>
      </w:r>
      <w:r w:rsidR="004F5C44" w:rsidRPr="00F543C1">
        <w:t>publicly funded</w:t>
      </w:r>
      <w:r w:rsidRPr="00F543C1">
        <w:t xml:space="preserve"> services), it is important to </w:t>
      </w:r>
      <w:r w:rsidR="009F76EF" w:rsidRPr="00F543C1">
        <w:t xml:space="preserve">also </w:t>
      </w:r>
      <w:r w:rsidRPr="00F543C1">
        <w:t>understand what people in these sectors do and how they do their jobs.</w:t>
      </w:r>
    </w:p>
    <w:p w14:paraId="1EF454E8" w14:textId="2AB0FF10" w:rsidR="005F79B7" w:rsidRPr="00F543C1" w:rsidRDefault="005F79B7" w:rsidP="005F79B7">
      <w:pPr>
        <w:ind w:left="851"/>
      </w:pPr>
      <w:r w:rsidRPr="00F543C1">
        <w:t xml:space="preserve">Michael Lipsky pioneered the study of front-line staff who, in his conception, exercise considerable discretion over what social assistance agencies do in practice </w:t>
      </w:r>
      <w:r w:rsidRPr="00F543C1">
        <w:fldChar w:fldCharType="begin"/>
      </w:r>
      <w:r w:rsidR="009B0EC4">
        <w:instrText xml:space="preserve"> ADDIN ZOTERO_ITEM CSL_CITATION {"citationID":"lEnoGblb","properties":{"formattedCitation":"(Lipsky 2010)","plainCitation":"(Lipsky 2010)","noteIndex":0},"citationItems":[{"id":16566,"uris":["http://zotero.org/groups/4801058/items/G2CYPK42"],"itemData":{"id":16566,"type":"book","edition":"30th Anniversary, Expanded edition","language":"English","number-of-pages":"299","publisher":"Russell Sage Foundation","source":"Amazon","title":"Street-Level Bureaucracy","title-short":"Street-Level Bureaucracy, 30th Anniversary Edition","author":[{"family":"Lipsky","given":"Michael"}],"issued":{"date-parts":[["2010",4,8]]}}}],"schema":"https://github.com/citation-style-language/schema/raw/master/csl-citation.json"} </w:instrText>
      </w:r>
      <w:r w:rsidRPr="00F543C1">
        <w:fldChar w:fldCharType="separate"/>
      </w:r>
      <w:r w:rsidRPr="00F543C1">
        <w:rPr>
          <w:rFonts w:cs="Calibri"/>
        </w:rPr>
        <w:t>(Lipsky 2010)</w:t>
      </w:r>
      <w:r w:rsidRPr="00F543C1">
        <w:fldChar w:fldCharType="end"/>
      </w:r>
      <w:r w:rsidRPr="00726346">
        <w:t>:</w:t>
      </w:r>
      <w:r w:rsidRPr="009006D7">
        <w:rPr>
          <w:rStyle w:val="FootnoteReference"/>
        </w:rPr>
        <w:footnoteReference w:id="125"/>
      </w:r>
      <w:r w:rsidRPr="00726346">
        <w:t xml:space="preserve"> </w:t>
      </w:r>
    </w:p>
    <w:p w14:paraId="1E6A1323" w14:textId="2A563604" w:rsidR="005F79B7" w:rsidRPr="00726346" w:rsidRDefault="005F79B7" w:rsidP="005F79B7">
      <w:pPr>
        <w:spacing w:before="120"/>
        <w:ind w:left="1276" w:right="425"/>
        <w:rPr>
          <w:iCs/>
          <w:color w:val="30353F"/>
        </w:rPr>
      </w:pPr>
      <w:r w:rsidRPr="00F543C1">
        <w:rPr>
          <w:i/>
          <w:color w:val="30353F"/>
        </w:rPr>
        <w:t xml:space="preserve">[Lipsky] argues that there is an irreducible core of discretion at street level in public welfare bureaucracies that is necessary to make policy work. </w:t>
      </w:r>
      <w:r w:rsidRPr="00F543C1">
        <w:rPr>
          <w:iCs/>
          <w:color w:val="30353F"/>
        </w:rPr>
        <w:fldChar w:fldCharType="begin"/>
      </w:r>
      <w:r w:rsidR="009B0EC4">
        <w:rPr>
          <w:iCs/>
          <w:color w:val="30353F"/>
        </w:rPr>
        <w:instrText xml:space="preserve"> ADDIN ZOTERO_ITEM CSL_CITATION {"citationID":"a2msobg4n64","properties":{"formattedCitation":"(Evans 2011, 369)","plainCitation":"(Evans 2011, 369)","noteIndex":0},"citationItems":[{"id":16998,"uris":["http://zotero.org/groups/4801058/items/FKPNAC98"],"itemData":{"id":16998,"type":"article-journal","container-title":"British Journal of Social Work","DOI":"10.1093/bjsw/bcq074","ISSN":"0045-3102, 1468-263X","issue":"2","journalAbbreviation":"British Journal of Social Work","language":"en","page":"368-386","source":"DOI.org (Crossref)","title":"Professionals, Managers and Discretion: Critiquing Street-Level Bureaucracy","title-short":"Professionals, Managers and Discretion","volume":"41","author":[{"family":"Evans","given":"Tony"}],"issued":{"date-parts":[["2011",3,1]]}},"locator":"369","label":"page"}],"schema":"https://github.com/citation-style-language/schema/raw/master/csl-citation.json"} </w:instrText>
      </w:r>
      <w:r w:rsidRPr="00F543C1">
        <w:rPr>
          <w:iCs/>
          <w:color w:val="30353F"/>
        </w:rPr>
        <w:fldChar w:fldCharType="separate"/>
      </w:r>
      <w:r w:rsidRPr="00F543C1">
        <w:rPr>
          <w:rFonts w:cs="Calibri"/>
          <w:iCs/>
          <w:color w:val="30353F"/>
        </w:rPr>
        <w:t>(Evans 2011, 369)</w:t>
      </w:r>
      <w:r w:rsidRPr="00F543C1">
        <w:rPr>
          <w:iCs/>
          <w:color w:val="30353F"/>
        </w:rPr>
        <w:fldChar w:fldCharType="end"/>
      </w:r>
    </w:p>
    <w:p w14:paraId="666CEACC" w14:textId="77777777" w:rsidR="005F79B7" w:rsidRPr="00F543C1" w:rsidRDefault="005F79B7" w:rsidP="005F79B7">
      <w:pPr>
        <w:ind w:left="851"/>
      </w:pPr>
      <w:r w:rsidRPr="00F543C1">
        <w:t>Front-line staff can be police officers, doctors and nurses in a public hospital, social workers in care and protection agencies or administration staff in a social welfare benefit agency. What they have in common is direct contact with the people they serve.</w:t>
      </w:r>
    </w:p>
    <w:p w14:paraId="7B788014" w14:textId="18BA2F04" w:rsidR="005F79B7" w:rsidRDefault="005F79B7" w:rsidP="005F79B7">
      <w:pPr>
        <w:ind w:left="851"/>
      </w:pPr>
      <w:r w:rsidRPr="00F543C1">
        <w:t xml:space="preserve">Building on the work </w:t>
      </w:r>
      <w:r w:rsidR="00B862A2" w:rsidRPr="00F543C1">
        <w:t xml:space="preserve">of </w:t>
      </w:r>
      <w:r w:rsidRPr="00F543C1">
        <w:t xml:space="preserve">Lipsky and the literature that has sprung from his insights, Peter </w:t>
      </w:r>
      <w:proofErr w:type="spellStart"/>
      <w:r w:rsidRPr="00F543C1">
        <w:t>Hupe</w:t>
      </w:r>
      <w:proofErr w:type="spellEnd"/>
      <w:r w:rsidRPr="00F543C1">
        <w:t xml:space="preserve"> and Michael Hill have distilled a series of statements that encapsulate the central concepts of front-line staff </w:t>
      </w:r>
      <w:r w:rsidRPr="00F543C1">
        <w:fldChar w:fldCharType="begin"/>
      </w:r>
      <w:r w:rsidR="009B0EC4">
        <w:instrText xml:space="preserve"> ADDIN ZOTERO_ITEM CSL_CITATION {"citationID":"h8uROh9S","properties":{"formattedCitation":"(Hupe and Hill 2007)","plainCitation":"(Hupe and Hill 2007)","noteIndex":0},"citationItems":[{"id":16170,"uris":["http://zotero.org/groups/4801058/items/W9X3ZVPJ"],"itemData":{"id":16170,"type":"article-journal","abstract":"The concept of ‘street-level bureaucracy’ was coined by Michael Lipsky (1980) as the common denominator for what would become a scholarly theme. Since then his stress on the relative autonomy of professionals has been complemented by the insight that they are working in a micro-network of relations, in varying contexts. The conception of ‘governance’ adds a particular aspect to this: the multi-dimensional character of a policy system as a nested sequence of decisions. Combining these views casts a different perspective on the ways street-level bureaucrats are held accountable. In this article some axiomatic assumptions are drawn from the existing literature on the theme of street-level bureaucracy and on the conception of governance. Acknowledging variety, and arguing for contextualized research, this results in a rethinking of the issue of accountability at the street level.","container-title":"Public Administration","DOI":"10.1111/j.1467-9299.2007.00650.x","ISSN":"1467-9299","issue":"2","language":"en","note":"number: 2\n_eprint: https://onlinelibrary.wiley.com/doi/pdf/10.1111/j.1467-9299.2007.00650.x","page":"279-299","source":"Wiley Online Library","title":"Street-Level Bureaucracy and Public Accountability","volume":"85","author":[{"family":"Hupe","given":"Peter"},{"family":"Hill","given":"Michael"}],"issued":{"date-parts":[["2007"]]}}}],"schema":"https://github.com/citation-style-language/schema/raw/master/csl-citation.json"} </w:instrText>
      </w:r>
      <w:r w:rsidRPr="00F543C1">
        <w:fldChar w:fldCharType="separate"/>
      </w:r>
      <w:r w:rsidRPr="00F543C1">
        <w:rPr>
          <w:rFonts w:cs="Calibri"/>
        </w:rPr>
        <w:t>(Hupe and Hill 2007)</w:t>
      </w:r>
      <w:r w:rsidRPr="00F543C1">
        <w:fldChar w:fldCharType="end"/>
      </w:r>
      <w:r w:rsidRPr="00726346">
        <w:t>. We set these out</w:t>
      </w:r>
      <w:r w:rsidR="00197CCD" w:rsidRPr="00F543C1">
        <w:t xml:space="preserve"> </w:t>
      </w:r>
      <w:r w:rsidRPr="00F543C1">
        <w:t xml:space="preserve">in </w:t>
      </w:r>
      <w:r w:rsidRPr="00F543C1">
        <w:fldChar w:fldCharType="begin"/>
      </w:r>
      <w:r w:rsidRPr="00F543C1">
        <w:instrText xml:space="preserve"> REF _Ref124264381 \h </w:instrText>
      </w:r>
      <w:r w:rsidR="000177FE" w:rsidRPr="00F543C1">
        <w:instrText xml:space="preserve"> \* MERGEFORMAT </w:instrText>
      </w:r>
      <w:r w:rsidRPr="00F543C1">
        <w:fldChar w:fldCharType="separate"/>
      </w:r>
      <w:r w:rsidR="00E06351" w:rsidRPr="00F543C1">
        <w:t xml:space="preserve">Table </w:t>
      </w:r>
      <w:r w:rsidR="00E06351">
        <w:t>4</w:t>
      </w:r>
      <w:r w:rsidRPr="00F543C1">
        <w:fldChar w:fldCharType="end"/>
      </w:r>
      <w:r w:rsidRPr="00726346">
        <w:t>.</w:t>
      </w:r>
      <w:r w:rsidR="00197CCD" w:rsidRPr="00F543C1">
        <w:t xml:space="preserve"> </w:t>
      </w:r>
    </w:p>
    <w:p w14:paraId="67F395B1" w14:textId="40C9F29C" w:rsidR="004F6869" w:rsidRDefault="004F6869">
      <w:pPr>
        <w:spacing w:after="160" w:line="259" w:lineRule="auto"/>
      </w:pPr>
      <w:r>
        <w:br w:type="page"/>
      </w:r>
    </w:p>
    <w:p w14:paraId="58D675A7" w14:textId="2E8E19F4" w:rsidR="005F79B7" w:rsidRPr="00F543C1" w:rsidRDefault="005F79B7" w:rsidP="005F79B7">
      <w:pPr>
        <w:pStyle w:val="TableCaption"/>
      </w:pPr>
      <w:bookmarkStart w:id="147" w:name="_Ref124264381"/>
      <w:bookmarkStart w:id="148" w:name="_Toc126841248"/>
      <w:bookmarkStart w:id="149" w:name="_Hlk124708322"/>
      <w:r w:rsidRPr="00F543C1">
        <w:lastRenderedPageBreak/>
        <w:t xml:space="preserve">Table </w:t>
      </w:r>
      <w:r w:rsidRPr="00F543C1">
        <w:fldChar w:fldCharType="begin"/>
      </w:r>
      <w:r w:rsidRPr="00F543C1">
        <w:instrText>SEQ Table \* ARABIC</w:instrText>
      </w:r>
      <w:r w:rsidRPr="00F543C1">
        <w:fldChar w:fldCharType="separate"/>
      </w:r>
      <w:r w:rsidR="00E06351">
        <w:rPr>
          <w:noProof/>
        </w:rPr>
        <w:t>4</w:t>
      </w:r>
      <w:r w:rsidRPr="00F543C1">
        <w:fldChar w:fldCharType="end"/>
      </w:r>
      <w:bookmarkEnd w:id="147"/>
      <w:r w:rsidRPr="00726346">
        <w:t xml:space="preserve"> Front-line staff</w:t>
      </w:r>
      <w:bookmarkEnd w:id="148"/>
      <w:r w:rsidRPr="00726346">
        <w:t xml:space="preserve"> </w:t>
      </w:r>
    </w:p>
    <w:p w14:paraId="366C6135" w14:textId="77777777" w:rsidR="005F79B7" w:rsidRPr="00F543C1" w:rsidRDefault="005F79B7" w:rsidP="005F79B7">
      <w:pPr>
        <w:keepNext/>
        <w:spacing w:line="220" w:lineRule="atLeast"/>
        <w:ind w:left="851"/>
        <w:rPr>
          <w:sz w:val="18"/>
          <w:szCs w:val="18"/>
        </w:rPr>
      </w:pPr>
    </w:p>
    <w:tbl>
      <w:tblPr>
        <w:tblStyle w:val="TableDefault"/>
        <w:tblW w:w="7796" w:type="dxa"/>
        <w:tblLayout w:type="fixed"/>
        <w:tblLook w:val="0460" w:firstRow="1" w:lastRow="1" w:firstColumn="0" w:lastColumn="0" w:noHBand="0" w:noVBand="1"/>
      </w:tblPr>
      <w:tblGrid>
        <w:gridCol w:w="3898"/>
        <w:gridCol w:w="3898"/>
      </w:tblGrid>
      <w:tr w:rsidR="00057CF5" w:rsidRPr="00F543C1" w14:paraId="6C57109E" w14:textId="77777777" w:rsidTr="00DA1B8C">
        <w:trPr>
          <w:cnfStyle w:val="100000000000" w:firstRow="1" w:lastRow="0" w:firstColumn="0" w:lastColumn="0" w:oddVBand="0" w:evenVBand="0" w:oddHBand="0" w:evenHBand="0" w:firstRowFirstColumn="0" w:firstRowLastColumn="0" w:lastRowFirstColumn="0" w:lastRowLastColumn="0"/>
        </w:trPr>
        <w:tc>
          <w:tcPr>
            <w:tcW w:w="2500" w:type="pct"/>
          </w:tcPr>
          <w:p w14:paraId="76DA0A6A" w14:textId="77777777" w:rsidR="00057CF5" w:rsidRPr="00F543C1" w:rsidRDefault="00057CF5" w:rsidP="0087344D">
            <w:pPr>
              <w:keepNext/>
              <w:keepLines/>
              <w:spacing w:before="80" w:after="80" w:line="220" w:lineRule="atLeast"/>
              <w:rPr>
                <w:b/>
                <w:color w:val="FFFFFF"/>
                <w:sz w:val="18"/>
              </w:rPr>
            </w:pPr>
            <w:r w:rsidRPr="00F543C1">
              <w:rPr>
                <w:b/>
                <w:color w:val="FFFFFF"/>
                <w:sz w:val="18"/>
              </w:rPr>
              <w:t>Insight</w:t>
            </w:r>
          </w:p>
        </w:tc>
        <w:tc>
          <w:tcPr>
            <w:tcW w:w="2500" w:type="pct"/>
          </w:tcPr>
          <w:p w14:paraId="25CE6E62" w14:textId="77777777" w:rsidR="00057CF5" w:rsidRPr="00F543C1" w:rsidRDefault="00057CF5" w:rsidP="0087344D">
            <w:pPr>
              <w:keepNext/>
              <w:keepLines/>
              <w:spacing w:before="80" w:after="80" w:line="220" w:lineRule="atLeast"/>
              <w:rPr>
                <w:b/>
                <w:color w:val="FFFFFF"/>
                <w:sz w:val="18"/>
              </w:rPr>
            </w:pPr>
            <w:r w:rsidRPr="00F543C1">
              <w:rPr>
                <w:b/>
                <w:color w:val="FFFFFF"/>
                <w:sz w:val="18"/>
              </w:rPr>
              <w:t>Description</w:t>
            </w:r>
          </w:p>
        </w:tc>
      </w:tr>
      <w:tr w:rsidR="00057CF5" w:rsidRPr="00F543C1" w14:paraId="5F4331F1" w14:textId="77777777" w:rsidTr="00DA1B8C">
        <w:tc>
          <w:tcPr>
            <w:tcW w:w="2500" w:type="pct"/>
          </w:tcPr>
          <w:p w14:paraId="63257D86" w14:textId="4CB77D65" w:rsidR="00057CF5" w:rsidRPr="00726346" w:rsidRDefault="00057CF5" w:rsidP="0087344D">
            <w:pPr>
              <w:spacing w:before="60" w:after="60" w:line="220" w:lineRule="atLeast"/>
              <w:rPr>
                <w:sz w:val="18"/>
              </w:rPr>
            </w:pPr>
            <w:r w:rsidRPr="00F543C1">
              <w:rPr>
                <w:sz w:val="18"/>
              </w:rPr>
              <w:t>Front-line staff necessarily have discretion and are required to use it</w:t>
            </w:r>
            <w:r w:rsidR="00B07C73">
              <w:rPr>
                <w:sz w:val="18"/>
              </w:rPr>
              <w:t>.</w:t>
            </w:r>
          </w:p>
        </w:tc>
        <w:tc>
          <w:tcPr>
            <w:tcW w:w="2500" w:type="pct"/>
          </w:tcPr>
          <w:p w14:paraId="304D6EE6" w14:textId="77777777" w:rsidR="00057CF5" w:rsidRPr="00F543C1" w:rsidRDefault="00057CF5" w:rsidP="0087344D">
            <w:pPr>
              <w:spacing w:before="60" w:after="60" w:line="220" w:lineRule="atLeast"/>
              <w:rPr>
                <w:sz w:val="18"/>
              </w:rPr>
            </w:pPr>
            <w:r w:rsidRPr="00F543C1">
              <w:rPr>
                <w:sz w:val="18"/>
              </w:rPr>
              <w:t>While they may be implementing programmes designed further up in a hierarchy and be subject to close supervision, all front-line staff have some degree of discretion in their work.</w:t>
            </w:r>
            <w:r w:rsidRPr="009006D7">
              <w:rPr>
                <w:rStyle w:val="FootnoteReference"/>
              </w:rPr>
              <w:footnoteReference w:id="126"/>
            </w:r>
            <w:r w:rsidRPr="00726346">
              <w:rPr>
                <w:sz w:val="18"/>
              </w:rPr>
              <w:t xml:space="preserve"> In Lipsky’s formulation, front-line staff </w:t>
            </w:r>
            <w:r w:rsidRPr="00F543C1">
              <w:rPr>
                <w:b/>
                <w:bCs/>
                <w:sz w:val="18"/>
              </w:rPr>
              <w:t>must</w:t>
            </w:r>
            <w:r w:rsidRPr="00F543C1">
              <w:rPr>
                <w:sz w:val="18"/>
              </w:rPr>
              <w:t xml:space="preserve"> exercise discretion, because doing their jobs demands it. </w:t>
            </w:r>
          </w:p>
        </w:tc>
      </w:tr>
      <w:tr w:rsidR="00057CF5" w:rsidRPr="00F543C1" w14:paraId="39B77752" w14:textId="77777777" w:rsidTr="00DA1B8C">
        <w:trPr>
          <w:cnfStyle w:val="000000010000" w:firstRow="0" w:lastRow="0" w:firstColumn="0" w:lastColumn="0" w:oddVBand="0" w:evenVBand="0" w:oddHBand="0" w:evenHBand="1" w:firstRowFirstColumn="0" w:firstRowLastColumn="0" w:lastRowFirstColumn="0" w:lastRowLastColumn="0"/>
        </w:trPr>
        <w:tc>
          <w:tcPr>
            <w:tcW w:w="2500" w:type="pct"/>
          </w:tcPr>
          <w:p w14:paraId="2FDFD493" w14:textId="77777777" w:rsidR="00057CF5" w:rsidRPr="00F543C1" w:rsidRDefault="00057CF5" w:rsidP="0087344D">
            <w:pPr>
              <w:spacing w:before="60" w:after="60" w:line="220" w:lineRule="atLeast"/>
              <w:rPr>
                <w:sz w:val="18"/>
              </w:rPr>
            </w:pPr>
            <w:r w:rsidRPr="00F543C1">
              <w:rPr>
                <w:sz w:val="18"/>
              </w:rPr>
              <w:t>Front-line staff seek ways to manage their own work.</w:t>
            </w:r>
          </w:p>
        </w:tc>
        <w:tc>
          <w:tcPr>
            <w:tcW w:w="2500" w:type="pct"/>
          </w:tcPr>
          <w:p w14:paraId="38EAE611" w14:textId="77777777" w:rsidR="00057CF5" w:rsidRPr="00F543C1" w:rsidRDefault="00057CF5" w:rsidP="0087344D">
            <w:pPr>
              <w:spacing w:before="60" w:after="60" w:line="220" w:lineRule="atLeast"/>
              <w:rPr>
                <w:sz w:val="18"/>
              </w:rPr>
            </w:pPr>
            <w:r w:rsidRPr="00F543C1">
              <w:rPr>
                <w:sz w:val="18"/>
              </w:rPr>
              <w:t>Within their employment conditions and other requirements of their employers, front-line staff will develop a set of standard operating procedures, often in collaboration, either formal or informal, with colleagues and peers.</w:t>
            </w:r>
          </w:p>
          <w:p w14:paraId="2688EBC6" w14:textId="77777777" w:rsidR="00057CF5" w:rsidRPr="00726346" w:rsidRDefault="00057CF5" w:rsidP="0087344D">
            <w:pPr>
              <w:spacing w:before="60" w:after="60" w:line="220" w:lineRule="atLeast"/>
              <w:rPr>
                <w:sz w:val="18"/>
              </w:rPr>
            </w:pPr>
            <w:r w:rsidRPr="00F543C1">
              <w:rPr>
                <w:sz w:val="18"/>
              </w:rPr>
              <w:t>These practices will build on the different types of knowledge and experience that workers bring to their work.</w:t>
            </w:r>
            <w:r w:rsidRPr="009006D7">
              <w:rPr>
                <w:rStyle w:val="FootnoteReference"/>
              </w:rPr>
              <w:footnoteReference w:id="127"/>
            </w:r>
          </w:p>
        </w:tc>
      </w:tr>
      <w:tr w:rsidR="00057CF5" w:rsidRPr="00F543C1" w14:paraId="1F499DCA" w14:textId="77777777" w:rsidTr="00DA1B8C">
        <w:tc>
          <w:tcPr>
            <w:tcW w:w="2500" w:type="pct"/>
          </w:tcPr>
          <w:p w14:paraId="4E6956D6" w14:textId="3E56D66E" w:rsidR="00057CF5" w:rsidRPr="00F543C1" w:rsidRDefault="00057CF5" w:rsidP="0087344D">
            <w:pPr>
              <w:spacing w:before="60" w:after="60" w:line="220" w:lineRule="atLeast"/>
              <w:rPr>
                <w:sz w:val="18"/>
              </w:rPr>
            </w:pPr>
            <w:r w:rsidRPr="00F543C1">
              <w:rPr>
                <w:sz w:val="18"/>
              </w:rPr>
              <w:t>Front-line staff see themselves as professionals.</w:t>
            </w:r>
          </w:p>
        </w:tc>
        <w:tc>
          <w:tcPr>
            <w:tcW w:w="2500" w:type="pct"/>
          </w:tcPr>
          <w:p w14:paraId="3A35259C" w14:textId="7CD14610" w:rsidR="00057CF5" w:rsidRPr="00F543C1" w:rsidRDefault="00057CF5" w:rsidP="0087344D">
            <w:pPr>
              <w:spacing w:before="60" w:after="60" w:line="220" w:lineRule="atLeast"/>
              <w:rPr>
                <w:sz w:val="18"/>
              </w:rPr>
            </w:pPr>
            <w:r w:rsidRPr="00F543C1">
              <w:rPr>
                <w:sz w:val="18"/>
              </w:rPr>
              <w:t xml:space="preserve">Regardless of their role, front-line staff regard themselves as belonging to a profession. In some cases, their employment will require professional training and membership </w:t>
            </w:r>
            <w:r w:rsidR="004B1154" w:rsidRPr="00F543C1">
              <w:rPr>
                <w:sz w:val="18"/>
              </w:rPr>
              <w:t xml:space="preserve">in </w:t>
            </w:r>
            <w:r w:rsidRPr="00F543C1">
              <w:rPr>
                <w:sz w:val="18"/>
              </w:rPr>
              <w:t xml:space="preserve">an occupational body or external occupational supervision. But others might view themselves as professionals because they see their job as requiring a specific set of skills and operating approaches, even if it is not formally subject to occupational regulation. </w:t>
            </w:r>
          </w:p>
        </w:tc>
      </w:tr>
      <w:tr w:rsidR="00057CF5" w:rsidRPr="00F543C1" w14:paraId="3554B24D" w14:textId="77777777" w:rsidTr="00DA1B8C">
        <w:trPr>
          <w:cnfStyle w:val="000000010000" w:firstRow="0" w:lastRow="0" w:firstColumn="0" w:lastColumn="0" w:oddVBand="0" w:evenVBand="0" w:oddHBand="0" w:evenHBand="1" w:firstRowFirstColumn="0" w:firstRowLastColumn="0" w:lastRowFirstColumn="0" w:lastRowLastColumn="0"/>
        </w:trPr>
        <w:tc>
          <w:tcPr>
            <w:tcW w:w="2500" w:type="pct"/>
          </w:tcPr>
          <w:p w14:paraId="663705E7" w14:textId="77777777" w:rsidR="00057CF5" w:rsidRPr="00726346" w:rsidRDefault="00057CF5" w:rsidP="0087344D">
            <w:pPr>
              <w:spacing w:before="60" w:after="60" w:line="220" w:lineRule="atLeast"/>
              <w:rPr>
                <w:sz w:val="18"/>
              </w:rPr>
            </w:pPr>
            <w:r w:rsidRPr="00F543C1">
              <w:rPr>
                <w:sz w:val="18"/>
              </w:rPr>
              <w:t>In their interaction with individual citizens in different roles, front-line staff are public officials.</w:t>
            </w:r>
            <w:r w:rsidRPr="009006D7">
              <w:rPr>
                <w:rStyle w:val="FootnoteReference"/>
              </w:rPr>
              <w:footnoteReference w:id="128"/>
            </w:r>
          </w:p>
        </w:tc>
        <w:tc>
          <w:tcPr>
            <w:tcW w:w="2500" w:type="pct"/>
          </w:tcPr>
          <w:p w14:paraId="67EA5F9C" w14:textId="1C78EDDE" w:rsidR="00057CF5" w:rsidRPr="00726346" w:rsidRDefault="00057CF5" w:rsidP="0087344D">
            <w:pPr>
              <w:spacing w:before="60" w:after="60" w:line="220" w:lineRule="atLeast"/>
              <w:rPr>
                <w:sz w:val="18"/>
              </w:rPr>
            </w:pPr>
            <w:r w:rsidRPr="00F543C1">
              <w:rPr>
                <w:sz w:val="18"/>
              </w:rPr>
              <w:t>Front-line staff who work for a public sector body are direct agents of the state. Those who work in arms-length, non-government organisations delivering services that are financed by the government are still indirect agents of the state.</w:t>
            </w:r>
            <w:r w:rsidR="001E7C07" w:rsidRPr="009006D7">
              <w:rPr>
                <w:rStyle w:val="FootnoteReference"/>
              </w:rPr>
              <w:footnoteReference w:id="129"/>
            </w:r>
          </w:p>
          <w:p w14:paraId="2562C4B5" w14:textId="77777777" w:rsidR="00057CF5" w:rsidRPr="00F543C1" w:rsidRDefault="00057CF5" w:rsidP="0087344D">
            <w:pPr>
              <w:spacing w:before="60" w:after="60" w:line="220" w:lineRule="atLeast"/>
              <w:rPr>
                <w:sz w:val="18"/>
              </w:rPr>
            </w:pPr>
            <w:r w:rsidRPr="00F543C1">
              <w:rPr>
                <w:sz w:val="18"/>
              </w:rPr>
              <w:t xml:space="preserve">The degree of discretion that front-line staff have and then exercise makes them directly involved in the design of policy. Decision-makers in vertical organisations will not have </w:t>
            </w:r>
            <w:r w:rsidRPr="00F543C1">
              <w:rPr>
                <w:b/>
                <w:bCs/>
                <w:sz w:val="18"/>
              </w:rPr>
              <w:t>complete</w:t>
            </w:r>
            <w:r w:rsidRPr="00F543C1">
              <w:rPr>
                <w:sz w:val="18"/>
              </w:rPr>
              <w:t xml:space="preserve"> control over policy implementation or delivery.</w:t>
            </w:r>
          </w:p>
        </w:tc>
      </w:tr>
      <w:tr w:rsidR="00057CF5" w:rsidRPr="00F543C1" w14:paraId="254D05C9" w14:textId="77777777" w:rsidTr="00DA1B8C">
        <w:tc>
          <w:tcPr>
            <w:tcW w:w="2500" w:type="pct"/>
          </w:tcPr>
          <w:p w14:paraId="0D4908DF" w14:textId="77777777" w:rsidR="00057CF5" w:rsidRPr="00F543C1" w:rsidRDefault="00057CF5" w:rsidP="0087344D">
            <w:pPr>
              <w:spacing w:before="60" w:after="60" w:line="220" w:lineRule="atLeast"/>
              <w:rPr>
                <w:sz w:val="18"/>
              </w:rPr>
            </w:pPr>
            <w:r w:rsidRPr="00F543C1">
              <w:rPr>
                <w:sz w:val="18"/>
              </w:rPr>
              <w:t>There is a wide range of front-line staff.</w:t>
            </w:r>
          </w:p>
        </w:tc>
        <w:tc>
          <w:tcPr>
            <w:tcW w:w="2500" w:type="pct"/>
          </w:tcPr>
          <w:p w14:paraId="45E5FEC5" w14:textId="77777777" w:rsidR="00057CF5" w:rsidRPr="00F543C1" w:rsidRDefault="00057CF5" w:rsidP="0087344D">
            <w:pPr>
              <w:spacing w:before="60" w:after="60" w:line="220" w:lineRule="atLeast"/>
              <w:rPr>
                <w:sz w:val="18"/>
              </w:rPr>
            </w:pPr>
            <w:r w:rsidRPr="00F543C1">
              <w:rPr>
                <w:sz w:val="18"/>
              </w:rPr>
              <w:t>While having characteristics in common, front-line staff undertake a wide range of tasks and work for a wide range of agencies.</w:t>
            </w:r>
          </w:p>
        </w:tc>
      </w:tr>
      <w:tr w:rsidR="00057CF5" w:rsidRPr="00F543C1" w14:paraId="65E183A3" w14:textId="77777777" w:rsidTr="00DA1B8C">
        <w:trPr>
          <w:cnfStyle w:val="010000000000" w:firstRow="0" w:lastRow="1" w:firstColumn="0" w:lastColumn="0" w:oddVBand="0" w:evenVBand="0" w:oddHBand="0" w:evenHBand="0" w:firstRowFirstColumn="0" w:firstRowLastColumn="0" w:lastRowFirstColumn="0" w:lastRowLastColumn="0"/>
        </w:trPr>
        <w:tc>
          <w:tcPr>
            <w:tcW w:w="2500" w:type="pct"/>
          </w:tcPr>
          <w:p w14:paraId="16E3B33C" w14:textId="51CF1B73" w:rsidR="00057CF5" w:rsidRPr="00F543C1" w:rsidRDefault="00057CF5" w:rsidP="0087344D">
            <w:pPr>
              <w:spacing w:before="60" w:after="60" w:line="220" w:lineRule="atLeast"/>
              <w:rPr>
                <w:sz w:val="18"/>
              </w:rPr>
            </w:pPr>
            <w:r w:rsidRPr="00F543C1">
              <w:rPr>
                <w:sz w:val="18"/>
              </w:rPr>
              <w:lastRenderedPageBreak/>
              <w:t>Front-line staff do their work in a micro-network or ‘web’ of multiple</w:t>
            </w:r>
            <w:r w:rsidR="00E0152B">
              <w:rPr>
                <w:sz w:val="18"/>
              </w:rPr>
              <w:t xml:space="preserve"> </w:t>
            </w:r>
            <w:r w:rsidRPr="00F543C1">
              <w:rPr>
                <w:sz w:val="18"/>
              </w:rPr>
              <w:t>vertical and horizontal relation</w:t>
            </w:r>
            <w:r w:rsidR="00622F06">
              <w:rPr>
                <w:sz w:val="18"/>
              </w:rPr>
              <w:t>ship</w:t>
            </w:r>
            <w:r w:rsidRPr="00F543C1">
              <w:rPr>
                <w:sz w:val="18"/>
              </w:rPr>
              <w:t>s.</w:t>
            </w:r>
          </w:p>
        </w:tc>
        <w:tc>
          <w:tcPr>
            <w:tcW w:w="2500" w:type="pct"/>
          </w:tcPr>
          <w:p w14:paraId="385FB5A7" w14:textId="77777777" w:rsidR="00057CF5" w:rsidRPr="00F543C1" w:rsidRDefault="00057CF5" w:rsidP="0087344D">
            <w:pPr>
              <w:spacing w:before="60" w:after="60" w:line="220" w:lineRule="atLeast"/>
              <w:rPr>
                <w:sz w:val="18"/>
              </w:rPr>
            </w:pPr>
            <w:r w:rsidRPr="00F543C1">
              <w:rPr>
                <w:sz w:val="18"/>
              </w:rPr>
              <w:t xml:space="preserve">Because they either work for or are funded by the public sector, front-line staff are part of a vertical hierarchy that seeks to determine what they do and how they do it. At the same time, they will also have several important horizontal relationships. They will work with colleagues, who may be members of different professions and they will have professional peers who work in other organisations, some of which may be in ‘competition’ with their employer. Front-line staff will be subject to scrutiny by their employers, but also by their clients, stakeholders in their area of operations and both traditional and social media. </w:t>
            </w:r>
          </w:p>
          <w:p w14:paraId="4AC88BA1" w14:textId="77777777" w:rsidR="00057CF5" w:rsidRPr="00F543C1" w:rsidRDefault="00057CF5" w:rsidP="0087344D">
            <w:pPr>
              <w:spacing w:before="60" w:after="60" w:line="220" w:lineRule="atLeast"/>
              <w:rPr>
                <w:sz w:val="18"/>
              </w:rPr>
            </w:pPr>
            <w:r w:rsidRPr="00F543C1">
              <w:rPr>
                <w:sz w:val="18"/>
              </w:rPr>
              <w:t>Because front-line staff interact with citizens and with other providers of assistance in their day-to-day jobs, their roles involve working across often poorly defined organisational and operational boundaries.</w:t>
            </w:r>
          </w:p>
        </w:tc>
      </w:tr>
    </w:tbl>
    <w:p w14:paraId="4DAC39BB" w14:textId="4A66F903" w:rsidR="00BE6C09" w:rsidRPr="00F543C1" w:rsidRDefault="005F79B7" w:rsidP="00FA288D">
      <w:pPr>
        <w:spacing w:before="60" w:after="60" w:line="220" w:lineRule="atLeast"/>
        <w:ind w:left="851"/>
      </w:pPr>
      <w:r w:rsidRPr="00F543C1">
        <w:rPr>
          <w:sz w:val="18"/>
        </w:rPr>
        <w:t xml:space="preserve">Source: </w:t>
      </w:r>
      <w:proofErr w:type="spellStart"/>
      <w:r w:rsidRPr="00F543C1">
        <w:rPr>
          <w:sz w:val="18"/>
        </w:rPr>
        <w:t>Hupe</w:t>
      </w:r>
      <w:proofErr w:type="spellEnd"/>
      <w:r w:rsidRPr="00F543C1">
        <w:rPr>
          <w:sz w:val="18"/>
        </w:rPr>
        <w:t xml:space="preserve"> and Hall </w:t>
      </w:r>
      <w:r w:rsidRPr="00F543C1">
        <w:rPr>
          <w:sz w:val="18"/>
        </w:rPr>
        <w:fldChar w:fldCharType="begin"/>
      </w:r>
      <w:r w:rsidR="009B0EC4">
        <w:rPr>
          <w:sz w:val="18"/>
        </w:rPr>
        <w:instrText xml:space="preserve"> ADDIN ZOTERO_ITEM CSL_CITATION {"citationID":"ASjKvuM2","properties":{"formattedCitation":"(2007)","plainCitation":"(2007)","noteIndex":0},"citationItems":[{"id":16170,"uris":["http://zotero.org/groups/4801058/items/W9X3ZVPJ"],"itemData":{"id":16170,"type":"article-journal","abstract":"The concept of ‘street-level bureaucracy’ was coined by Michael Lipsky (1980) as the common denominator for what would become a scholarly theme. Since then his stress on the relative autonomy of professionals has been complemented by the insight that they are working in a micro-network of relations, in varying contexts. The conception of ‘governance’ adds a particular aspect to this: the multi-dimensional character of a policy system as a nested sequence of decisions. Combining these views casts a different perspective on the ways street-level bureaucrats are held accountable. In this article some axiomatic assumptions are drawn from the existing literature on the theme of street-level bureaucracy and on the conception of governance. Acknowledging variety, and arguing for contextualized research, this results in a rethinking of the issue of accountability at the street level.","container-title":"Public Administration","DOI":"10.1111/j.1467-9299.2007.00650.x","ISSN":"1467-9299","issue":"2","language":"en","note":"number: 2\n_eprint: https://onlinelibrary.wiley.com/doi/pdf/10.1111/j.1467-9299.2007.00650.x","page":"279-299","source":"Wiley Online Library","title":"Street-Level Bureaucracy and Public Accountability","volume":"85","author":[{"family":"Hupe","given":"Peter"},{"family":"Hill","given":"Michael"}],"issued":{"date-parts":[["2007"]]}},"suppress-author":true}],"schema":"https://github.com/citation-style-language/schema/raw/master/csl-citation.json"} </w:instrText>
      </w:r>
      <w:r w:rsidRPr="00F543C1">
        <w:rPr>
          <w:sz w:val="18"/>
        </w:rPr>
        <w:fldChar w:fldCharType="separate"/>
      </w:r>
      <w:r w:rsidRPr="00F543C1">
        <w:rPr>
          <w:rFonts w:cs="Calibri"/>
          <w:sz w:val="18"/>
        </w:rPr>
        <w:t>(2007)</w:t>
      </w:r>
      <w:r w:rsidRPr="00F543C1">
        <w:rPr>
          <w:sz w:val="18"/>
        </w:rPr>
        <w:fldChar w:fldCharType="end"/>
      </w:r>
      <w:r w:rsidR="00202206" w:rsidRPr="00726346">
        <w:rPr>
          <w:sz w:val="18"/>
        </w:rPr>
        <w:t>.</w:t>
      </w:r>
      <w:bookmarkStart w:id="150" w:name="_Hlk124623866"/>
      <w:bookmarkEnd w:id="149"/>
    </w:p>
    <w:p w14:paraId="5DFBD0EA" w14:textId="25BD1E6A" w:rsidR="0073394C" w:rsidRPr="00F543C1" w:rsidRDefault="0073394C" w:rsidP="0087344D">
      <w:pPr>
        <w:pStyle w:val="Heading2"/>
      </w:pPr>
      <w:bookmarkStart w:id="151" w:name="_Toc126092114"/>
      <w:bookmarkStart w:id="152" w:name="_Toc126841215"/>
      <w:bookmarkEnd w:id="150"/>
      <w:r w:rsidRPr="00F543C1">
        <w:t xml:space="preserve">Accountability in </w:t>
      </w:r>
      <w:proofErr w:type="spellStart"/>
      <w:r w:rsidR="001E16C1" w:rsidRPr="00F543C1">
        <w:t>T</w:t>
      </w:r>
      <w:r w:rsidRPr="00F543C1">
        <w:t>e</w:t>
      </w:r>
      <w:proofErr w:type="spellEnd"/>
      <w:r w:rsidRPr="00F543C1">
        <w:t xml:space="preserve"> </w:t>
      </w:r>
      <w:r w:rsidR="001E16C1" w:rsidRPr="00F543C1">
        <w:t>A</w:t>
      </w:r>
      <w:r w:rsidRPr="00F543C1">
        <w:t>o Māori</w:t>
      </w:r>
      <w:bookmarkEnd w:id="151"/>
      <w:bookmarkEnd w:id="152"/>
      <w:r w:rsidRPr="00F543C1">
        <w:t xml:space="preserve"> </w:t>
      </w:r>
    </w:p>
    <w:p w14:paraId="208A8603" w14:textId="174BC07F" w:rsidR="0073394C" w:rsidRPr="00F543C1" w:rsidRDefault="0073394C" w:rsidP="0073394C">
      <w:pPr>
        <w:ind w:left="851"/>
      </w:pPr>
      <w:r w:rsidRPr="00F543C1">
        <w:t xml:space="preserve">Accountability in </w:t>
      </w:r>
      <w:proofErr w:type="spellStart"/>
      <w:r w:rsidR="001E16C1" w:rsidRPr="00F543C1">
        <w:t>T</w:t>
      </w:r>
      <w:r w:rsidRPr="00F543C1">
        <w:t>e</w:t>
      </w:r>
      <w:proofErr w:type="spellEnd"/>
      <w:r w:rsidRPr="00F543C1">
        <w:t xml:space="preserve"> </w:t>
      </w:r>
      <w:r w:rsidR="001E16C1" w:rsidRPr="00F543C1">
        <w:t>A</w:t>
      </w:r>
      <w:r w:rsidRPr="00F543C1">
        <w:t xml:space="preserve">o Māori long predates the arrival of Pākehā in Aotearoa. Consequently, before discussing accountability in the context of </w:t>
      </w:r>
      <w:proofErr w:type="spellStart"/>
      <w:r w:rsidRPr="00F543C1">
        <w:t>Te</w:t>
      </w:r>
      <w:proofErr w:type="spellEnd"/>
      <w:r w:rsidRPr="00F543C1">
        <w:t xml:space="preserve"> </w:t>
      </w:r>
      <w:proofErr w:type="spellStart"/>
      <w:r w:rsidRPr="00F543C1">
        <w:t>Tiriti</w:t>
      </w:r>
      <w:proofErr w:type="spellEnd"/>
      <w:r w:rsidRPr="00F543C1">
        <w:t xml:space="preserve"> o Waitangi, we first acknowledge the importance of cultural narratives and customary law; explore how indigenous perspectives of value underpin accountability in </w:t>
      </w:r>
      <w:proofErr w:type="spellStart"/>
      <w:r w:rsidR="0062399C" w:rsidRPr="00F543C1">
        <w:t>T</w:t>
      </w:r>
      <w:r w:rsidRPr="00F543C1">
        <w:t>e</w:t>
      </w:r>
      <w:proofErr w:type="spellEnd"/>
      <w:r w:rsidRPr="00F543C1">
        <w:t xml:space="preserve"> </w:t>
      </w:r>
      <w:r w:rsidR="0062399C" w:rsidRPr="00F543C1">
        <w:t>A</w:t>
      </w:r>
      <w:r w:rsidRPr="00F543C1">
        <w:t xml:space="preserve">o Māori; and examine the role of trusted relationships, </w:t>
      </w:r>
      <w:proofErr w:type="gramStart"/>
      <w:r w:rsidRPr="00F543C1">
        <w:t>reciprocity</w:t>
      </w:r>
      <w:proofErr w:type="gramEnd"/>
      <w:r w:rsidRPr="00F543C1">
        <w:t xml:space="preserve"> and power. We also acknowledge that many of the issues relevant to accountability in </w:t>
      </w:r>
      <w:proofErr w:type="spellStart"/>
      <w:r w:rsidR="0034562B" w:rsidRPr="00F543C1">
        <w:t>T</w:t>
      </w:r>
      <w:r w:rsidRPr="00F543C1">
        <w:t>e</w:t>
      </w:r>
      <w:proofErr w:type="spellEnd"/>
      <w:r w:rsidRPr="00F543C1">
        <w:t xml:space="preserve"> </w:t>
      </w:r>
      <w:r w:rsidR="0034562B" w:rsidRPr="00F543C1">
        <w:t>A</w:t>
      </w:r>
      <w:r w:rsidRPr="00F543C1">
        <w:t xml:space="preserve">o Māori will resonate and have relevance in other cultural contexts (for example, mutual trust and respect </w:t>
      </w:r>
      <w:r w:rsidR="00596BAA" w:rsidRPr="00F543C1">
        <w:t xml:space="preserve">are </w:t>
      </w:r>
      <w:r w:rsidRPr="00F543C1">
        <w:t xml:space="preserve">always essential to strong relationships). </w:t>
      </w:r>
    </w:p>
    <w:p w14:paraId="7D43F53B" w14:textId="77777777" w:rsidR="0073394C" w:rsidRPr="00F543C1" w:rsidRDefault="0073394C" w:rsidP="0073394C">
      <w:pPr>
        <w:pStyle w:val="Heading3"/>
      </w:pPr>
      <w:bookmarkStart w:id="153" w:name="_Toc126092115"/>
      <w:r w:rsidRPr="00F543C1">
        <w:t>Accountability within cultural narratives and customary law</w:t>
      </w:r>
      <w:bookmarkEnd w:id="153"/>
    </w:p>
    <w:p w14:paraId="3323D7F6" w14:textId="71BEE5DB" w:rsidR="0073394C" w:rsidRPr="00F543C1" w:rsidRDefault="0073394C" w:rsidP="0073394C">
      <w:pPr>
        <w:ind w:left="851"/>
      </w:pPr>
      <w:r w:rsidRPr="00F543C1">
        <w:t xml:space="preserve">Research on what accountability means to Māori conducted by </w:t>
      </w:r>
      <w:proofErr w:type="spellStart"/>
      <w:r w:rsidRPr="00F543C1">
        <w:t>Haemata</w:t>
      </w:r>
      <w:proofErr w:type="spellEnd"/>
      <w:r w:rsidRPr="00F543C1">
        <w:t xml:space="preserve"> Limited for the Office of the Auditor General emphasises that accountability is a long-standing element of </w:t>
      </w:r>
      <w:proofErr w:type="spellStart"/>
      <w:r w:rsidR="0034562B" w:rsidRPr="00F543C1">
        <w:t>T</w:t>
      </w:r>
      <w:r w:rsidRPr="00F543C1">
        <w:t>e</w:t>
      </w:r>
      <w:proofErr w:type="spellEnd"/>
      <w:r w:rsidRPr="00F543C1">
        <w:t xml:space="preserve"> </w:t>
      </w:r>
      <w:r w:rsidR="0034562B" w:rsidRPr="00F543C1">
        <w:t>A</w:t>
      </w:r>
      <w:r w:rsidRPr="00F543C1">
        <w:t xml:space="preserve">o Māori </w:t>
      </w:r>
      <w:r w:rsidRPr="00F543C1">
        <w:rPr>
          <w:i/>
          <w:iCs/>
        </w:rPr>
        <w:fldChar w:fldCharType="begin"/>
      </w:r>
      <w:r w:rsidR="009B0EC4">
        <w:rPr>
          <w:iCs/>
        </w:rPr>
        <w:instrText xml:space="preserve"> ADDIN ZOTERO_ITEM CSL_CITATION {"citationID":"a1igu96abhq","properties":{"formattedCitation":"(Haemata Limited 2022b)","plainCitation":"(Haemata Limited 2022b)","noteIndex":0},"citationItems":[{"id":16275,"uris":["http://zotero.org/groups/4801058/items/W3WC23CJ"],"itemData":{"id":16275,"type":"report","event-place":"Wellington","language":"en","publisher":"Office of the Controller and Auditor-General","publisher-place":"Wellington","title":"Māori perspectives on public accountability","title-short":"Commissioned report","URL":"https://oag.parliament.nz/2022/maori-perspectives","author":[{"literal":"Haemata Limited"}],"accessed":{"date-parts":[["2022",9,28]]},"issued":{"date-parts":[["2022"]]}},"label":"page"}],"schema":"https://github.com/citation-style-language/schema/raw/master/csl-citation.json"} </w:instrText>
      </w:r>
      <w:r w:rsidRPr="00F543C1">
        <w:rPr>
          <w:i/>
          <w:iCs/>
        </w:rPr>
        <w:fldChar w:fldCharType="separate"/>
      </w:r>
      <w:r w:rsidR="008C479E" w:rsidRPr="00F543C1">
        <w:rPr>
          <w:rFonts w:cs="Calibri"/>
        </w:rPr>
        <w:t>(Haemata Limited 2022b)</w:t>
      </w:r>
      <w:r w:rsidRPr="00F543C1">
        <w:rPr>
          <w:i/>
          <w:iCs/>
        </w:rPr>
        <w:fldChar w:fldCharType="end"/>
      </w:r>
      <w:r w:rsidRPr="00726346">
        <w:t>.</w:t>
      </w:r>
      <w:r w:rsidRPr="00F543C1">
        <w:t xml:space="preserve"> The authors examine</w:t>
      </w:r>
      <w:r w:rsidR="00ED2BA8" w:rsidRPr="00F543C1">
        <w:t>d</w:t>
      </w:r>
      <w:r w:rsidRPr="00F543C1">
        <w:t xml:space="preserve"> accountability within </w:t>
      </w:r>
      <w:proofErr w:type="spellStart"/>
      <w:r w:rsidRPr="00F543C1">
        <w:t>pūrākau</w:t>
      </w:r>
      <w:proofErr w:type="spellEnd"/>
      <w:r w:rsidRPr="00F543C1">
        <w:t xml:space="preserve"> (cultural narratives)</w:t>
      </w:r>
      <w:r w:rsidRPr="009006D7">
        <w:rPr>
          <w:rStyle w:val="FootnoteReference"/>
        </w:rPr>
        <w:footnoteReference w:id="130"/>
      </w:r>
      <w:r w:rsidRPr="00726346">
        <w:t xml:space="preserve"> and customary law, demonstrating how </w:t>
      </w:r>
      <w:proofErr w:type="spellStart"/>
      <w:r w:rsidRPr="00726346">
        <w:t>rangatira</w:t>
      </w:r>
      <w:proofErr w:type="spellEnd"/>
      <w:r w:rsidRPr="00726346">
        <w:t xml:space="preserve"> are accountable through mana and how broken trust can be resolved</w:t>
      </w:r>
      <w:r w:rsidR="00BC4BA8">
        <w:t>, thereby</w:t>
      </w:r>
      <w:r w:rsidRPr="00726346">
        <w:t xml:space="preserve"> achieving ‘</w:t>
      </w:r>
      <w:proofErr w:type="spellStart"/>
      <w:r w:rsidRPr="00726346">
        <w:t>ea</w:t>
      </w:r>
      <w:proofErr w:type="spellEnd"/>
      <w:r w:rsidRPr="00726346">
        <w:t>’</w:t>
      </w:r>
      <w:r w:rsidR="00BC4BA8">
        <w:t>:</w:t>
      </w:r>
      <w:r w:rsidR="00E21898" w:rsidRPr="009006D7">
        <w:rPr>
          <w:rStyle w:val="FootnoteReference"/>
        </w:rPr>
        <w:footnoteReference w:id="131"/>
      </w:r>
    </w:p>
    <w:p w14:paraId="0120D834" w14:textId="6ACE2A18" w:rsidR="0073394C" w:rsidRPr="00F543C1" w:rsidRDefault="0073394C" w:rsidP="0073394C">
      <w:pPr>
        <w:spacing w:before="120"/>
        <w:ind w:left="1276" w:right="425"/>
        <w:rPr>
          <w:i/>
          <w:color w:val="30353F"/>
        </w:rPr>
      </w:pPr>
      <w:r w:rsidRPr="00F543C1">
        <w:rPr>
          <w:i/>
          <w:color w:val="30353F"/>
        </w:rPr>
        <w:t xml:space="preserve">Even when mana and trust is lost, there is potential for trust to be regained through the public sector and the Crown holding itself accountable, owning the </w:t>
      </w:r>
      <w:r w:rsidRPr="00F543C1">
        <w:rPr>
          <w:i/>
          <w:color w:val="30353F"/>
        </w:rPr>
        <w:lastRenderedPageBreak/>
        <w:t>responsibility and committing to fix the issue in collaboration with Māori. Trust, mana, and accountability are, therefore, intertwined. There is no trust without accountability and when accountability is not present, mana and trust will diminish.</w:t>
      </w:r>
      <w:r w:rsidRPr="00F543C1">
        <w:rPr>
          <w:iCs/>
          <w:color w:val="30353F"/>
        </w:rPr>
        <w:t xml:space="preserve"> (</w:t>
      </w:r>
      <w:r w:rsidR="00070CBD">
        <w:rPr>
          <w:iCs/>
          <w:color w:val="30353F"/>
        </w:rPr>
        <w:t>ibid</w:t>
      </w:r>
      <w:r w:rsidR="00AF53C5">
        <w:rPr>
          <w:iCs/>
          <w:color w:val="30353F"/>
        </w:rPr>
        <w:t>.</w:t>
      </w:r>
      <w:r w:rsidRPr="00F543C1">
        <w:rPr>
          <w:iCs/>
          <w:color w:val="30353F"/>
        </w:rPr>
        <w:t>, 17).</w:t>
      </w:r>
    </w:p>
    <w:p w14:paraId="64130294" w14:textId="77777777" w:rsidR="0073394C" w:rsidRPr="00F543C1" w:rsidRDefault="0073394C" w:rsidP="0073394C">
      <w:pPr>
        <w:pStyle w:val="Heading3"/>
      </w:pPr>
      <w:bookmarkStart w:id="154" w:name="_Toc126092116"/>
      <w:r w:rsidRPr="00F543C1">
        <w:t>Indigenous perspectives of value</w:t>
      </w:r>
      <w:bookmarkEnd w:id="154"/>
    </w:p>
    <w:p w14:paraId="4856D0BE" w14:textId="5F174CCC" w:rsidR="0073394C" w:rsidRPr="00F543C1" w:rsidRDefault="00FE5AEE" w:rsidP="0073394C">
      <w:pPr>
        <w:ind w:left="851"/>
      </w:pPr>
      <w:r w:rsidRPr="00F543C1">
        <w:t xml:space="preserve">As discussed in section 1.3.1, </w:t>
      </w:r>
      <w:r w:rsidR="000B0C4B" w:rsidRPr="00F543C1">
        <w:t>ou</w:t>
      </w:r>
      <w:r w:rsidR="000F7368" w:rsidRPr="00F543C1">
        <w:t>r</w:t>
      </w:r>
      <w:r w:rsidR="0073394C" w:rsidRPr="00F543C1">
        <w:t xml:space="preserve"> framework</w:t>
      </w:r>
      <w:r w:rsidRPr="00F543C1">
        <w:t xml:space="preserve"> </w:t>
      </w:r>
      <w:r w:rsidR="0073394C" w:rsidRPr="00F543C1">
        <w:t xml:space="preserve">focuses on assisting people </w:t>
      </w:r>
      <w:r w:rsidR="00FC15EA" w:rsidRPr="00F543C1">
        <w:t>to live</w:t>
      </w:r>
      <w:r w:rsidR="00C02F0B" w:rsidRPr="00F543C1">
        <w:t xml:space="preserve"> </w:t>
      </w:r>
      <w:r w:rsidR="0073394C" w:rsidRPr="00F543C1">
        <w:t xml:space="preserve">lives they value. </w:t>
      </w:r>
      <w:r w:rsidR="00BF28CD" w:rsidRPr="00F543C1">
        <w:t>Therefore, understanding that there are different perspectives on what is valuable is</w:t>
      </w:r>
      <w:r w:rsidR="0073394C" w:rsidRPr="00F543C1">
        <w:t xml:space="preserve"> necessary to test alternative policies. </w:t>
      </w:r>
    </w:p>
    <w:p w14:paraId="4592DA52" w14:textId="4B73FD88" w:rsidR="0073394C" w:rsidRPr="00F543C1" w:rsidRDefault="0073394C" w:rsidP="0073394C">
      <w:pPr>
        <w:ind w:left="851"/>
      </w:pPr>
      <w:r w:rsidRPr="00F543C1">
        <w:t>Jason Mika and his colleagues explain that while all of the world</w:t>
      </w:r>
      <w:r w:rsidR="000F7368" w:rsidRPr="00F543C1">
        <w:t>’</w:t>
      </w:r>
      <w:r w:rsidRPr="00F543C1">
        <w:t xml:space="preserve">s </w:t>
      </w:r>
      <w:r w:rsidR="00334EAF" w:rsidRPr="00F543C1">
        <w:t xml:space="preserve">more than </w:t>
      </w:r>
      <w:r w:rsidRPr="00F543C1">
        <w:t xml:space="preserve">5,000 indigenous cultures have distinct languages, history and traditions, there is often a commonality at the level of understanding of knowledge of how they conceptualise value </w:t>
      </w:r>
      <w:r w:rsidRPr="00F543C1">
        <w:fldChar w:fldCharType="begin"/>
      </w:r>
      <w:r w:rsidR="009B0EC4">
        <w:instrText xml:space="preserve"> ADDIN ZOTERO_ITEM CSL_CITATION {"citationID":"a13a64tuupo","properties":{"formattedCitation":"(Mika et al. 2022, 7)","plainCitation":"(Mika et al. 2022, 7)","noteIndex":0},"citationItems":[{"id":13991,"uris":["http://zotero.org/groups/4623831/items/5DJ6TW7R"],"itemData":{"id":13991,"type":"article-journal","abstract":"The theoretical challenge posed by this paper is to find a conceptualisation of value for entrepreneurship theory grounded in Indigenous knowledge from a Māori perspective capable of guiding entrepreneurs operating for sustainability and wellbeing. We review Western and Māori theories of value, values, and valuation. We argue that Indigenous concepts of value centre on collective wellbeing as opposed to self-interest, and have spiritual and material elements. The paper proposes a tentative Māori theory of value we call manahau, which combines mana (power, authority, and dignity) and hau (vitality of people, places, and objects). We define manahau as an axiological agent Māori entrepreneurs employ to synergistically negotiate cultural and commercial imperatives to achieve multidimensional wellbeing, human potential, and relational balance. We discuss research which illustrates manifestations of manahau in the Māori cultural ethics of utu (reciprocity) in Māori entrepreneurship and tauutuutu (reciprocity and balance) in Māori agribusiness. We argue that an Indigenous Māori theory of value has implications for entrepreneurship theory and practice.","container-title":"Philosophy of Management","DOI":"10.1007/s40926-022-00195-3","ISSN":"2052-9597","journalAbbreviation":"Philosophy of Management","language":"en","source":"Springer Link","title":"Manahau: Toward an Indigenous Māori theory of value","title-short":"Manahau","URL":"https://doi.org/10.1007/s40926-022-00195-3","author":[{"family":"Mika","given":"Jason Paul"},{"family":"Dell","given":"Kiri"},{"family":"Newth","given":"Jamie"},{"family":"Houkamau","given":"Carla"}],"accessed":{"date-parts":[["2022",3,22]]},"issued":{"date-parts":[["2022",2,16]]}},"locator":"7","label":"page"}],"schema":"https://github.com/citation-style-language/schema/raw/master/csl-citation.json"} </w:instrText>
      </w:r>
      <w:r w:rsidRPr="00F543C1">
        <w:fldChar w:fldCharType="separate"/>
      </w:r>
      <w:r w:rsidRPr="00F543C1">
        <w:rPr>
          <w:rFonts w:cs="Calibri"/>
        </w:rPr>
        <w:t>(Mika et al. 2022, 7)</w:t>
      </w:r>
      <w:r w:rsidRPr="00F543C1">
        <w:fldChar w:fldCharType="end"/>
      </w:r>
      <w:r w:rsidRPr="00726346">
        <w:t>. They suggest that the following principles often underlie indigenous worldviews:</w:t>
      </w:r>
    </w:p>
    <w:p w14:paraId="2DCE58B4" w14:textId="145F8E3D" w:rsidR="0073394C" w:rsidRPr="00F543C1" w:rsidRDefault="00BF28CD" w:rsidP="0073394C">
      <w:pPr>
        <w:pStyle w:val="USBullet1"/>
      </w:pPr>
      <w:r w:rsidRPr="00F543C1">
        <w:t xml:space="preserve">everything </w:t>
      </w:r>
      <w:r w:rsidR="0073394C" w:rsidRPr="00F543C1">
        <w:t xml:space="preserve">has value because everything is connected with everything </w:t>
      </w:r>
      <w:proofErr w:type="gramStart"/>
      <w:r w:rsidR="0073394C" w:rsidRPr="00F543C1">
        <w:t>else</w:t>
      </w:r>
      <w:proofErr w:type="gramEnd"/>
    </w:p>
    <w:p w14:paraId="602DADDB" w14:textId="30E07428" w:rsidR="0073394C" w:rsidRPr="00F543C1" w:rsidRDefault="00BF28CD" w:rsidP="0073394C">
      <w:pPr>
        <w:pStyle w:val="USBullet1"/>
      </w:pPr>
      <w:r w:rsidRPr="00F543C1">
        <w:t xml:space="preserve">balance </w:t>
      </w:r>
    </w:p>
    <w:p w14:paraId="53739ACD" w14:textId="2DD4ECA3" w:rsidR="0073394C" w:rsidRPr="00F543C1" w:rsidRDefault="00BF28CD" w:rsidP="0073394C">
      <w:pPr>
        <w:pStyle w:val="USBullet1"/>
      </w:pPr>
      <w:r w:rsidRPr="00F543C1">
        <w:t xml:space="preserve">the </w:t>
      </w:r>
      <w:r w:rsidR="0073394C" w:rsidRPr="00F543C1">
        <w:t>immortalisation of physical beings.</w:t>
      </w:r>
    </w:p>
    <w:p w14:paraId="15068810" w14:textId="12CD065F" w:rsidR="0073394C" w:rsidRPr="00F543C1" w:rsidRDefault="0073394C" w:rsidP="0073394C">
      <w:pPr>
        <w:ind w:left="1276" w:hanging="425"/>
      </w:pPr>
      <w:r w:rsidRPr="00F543C1">
        <w:t>Drawing on the works of many other authors, they conclude that</w:t>
      </w:r>
      <w:r w:rsidR="000F7368" w:rsidRPr="00F543C1">
        <w:t>:</w:t>
      </w:r>
    </w:p>
    <w:p w14:paraId="369E7C45" w14:textId="1EDBB2A8" w:rsidR="0073394C" w:rsidRPr="00F543C1" w:rsidRDefault="0073394C" w:rsidP="0073394C">
      <w:pPr>
        <w:spacing w:before="120"/>
        <w:ind w:left="1276" w:right="425"/>
        <w:rPr>
          <w:iCs/>
          <w:color w:val="30353F"/>
        </w:rPr>
      </w:pPr>
      <w:r w:rsidRPr="00F543C1">
        <w:rPr>
          <w:i/>
          <w:color w:val="30353F"/>
        </w:rPr>
        <w:t xml:space="preserve">Value from an Indigenous perspective, then, is ubiquitous; it exists in all things. It is material, immaterial, intrinsic, extrinsic, intertemporal, transformative, and effectuating. This makes an Indigenous view of value somewhat incomprehensible because it is boundary-less, amorphous, and without end. Yet, value is discernible through </w:t>
      </w:r>
      <w:proofErr w:type="spellStart"/>
      <w:r w:rsidRPr="00F543C1">
        <w:rPr>
          <w:i/>
          <w:color w:val="30353F"/>
        </w:rPr>
        <w:t>subjectifying</w:t>
      </w:r>
      <w:proofErr w:type="spellEnd"/>
      <w:r w:rsidRPr="00F543C1">
        <w:rPr>
          <w:i/>
          <w:color w:val="30353F"/>
        </w:rPr>
        <w:t xml:space="preserve"> consciousness, the possession of which transfers from the person to the group through culturally encoded lifeways, narratives, and values. Values in this view represent human attempts at giving material form, function, and boundaries to the immaterial, extricating innate ethicality from what is valued. </w:t>
      </w:r>
      <w:r w:rsidRPr="00F543C1">
        <w:rPr>
          <w:iCs/>
          <w:color w:val="30353F"/>
        </w:rPr>
        <w:t>(</w:t>
      </w:r>
      <w:r w:rsidR="00070CBD">
        <w:rPr>
          <w:iCs/>
          <w:color w:val="30353F"/>
        </w:rPr>
        <w:t>ibid</w:t>
      </w:r>
      <w:r w:rsidRPr="00F543C1">
        <w:rPr>
          <w:iCs/>
          <w:color w:val="30353F"/>
        </w:rPr>
        <w:t>., internal citations omitted)</w:t>
      </w:r>
    </w:p>
    <w:p w14:paraId="79122E37" w14:textId="77777777" w:rsidR="0073394C" w:rsidRPr="00F543C1" w:rsidRDefault="0073394C" w:rsidP="0073394C">
      <w:pPr>
        <w:spacing w:before="120"/>
        <w:ind w:left="1276" w:right="425"/>
        <w:rPr>
          <w:iCs/>
          <w:color w:val="30353F"/>
        </w:rPr>
      </w:pPr>
      <w:r w:rsidRPr="00F543C1">
        <w:rPr>
          <w:iCs/>
          <w:color w:val="30353F"/>
        </w:rPr>
        <w:t>…</w:t>
      </w:r>
    </w:p>
    <w:p w14:paraId="4983FB4D" w14:textId="498D1419" w:rsidR="0073394C" w:rsidRPr="00F543C1" w:rsidRDefault="0073394C" w:rsidP="0073394C">
      <w:pPr>
        <w:spacing w:before="120"/>
        <w:ind w:left="1276" w:right="425"/>
        <w:rPr>
          <w:iCs/>
          <w:color w:val="30353F"/>
        </w:rPr>
      </w:pPr>
      <w:r w:rsidRPr="00F543C1">
        <w:rPr>
          <w:i/>
          <w:color w:val="30353F"/>
        </w:rPr>
        <w:t xml:space="preserve">In the pantheon of </w:t>
      </w:r>
      <w:proofErr w:type="spellStart"/>
      <w:r w:rsidRPr="00F543C1">
        <w:rPr>
          <w:i/>
          <w:color w:val="30353F"/>
        </w:rPr>
        <w:t>te</w:t>
      </w:r>
      <w:proofErr w:type="spellEnd"/>
      <w:r w:rsidRPr="00F543C1">
        <w:rPr>
          <w:i/>
          <w:color w:val="30353F"/>
        </w:rPr>
        <w:t xml:space="preserve"> </w:t>
      </w:r>
      <w:proofErr w:type="spellStart"/>
      <w:r w:rsidRPr="00F543C1">
        <w:rPr>
          <w:i/>
          <w:color w:val="30353F"/>
        </w:rPr>
        <w:t>ao</w:t>
      </w:r>
      <w:proofErr w:type="spellEnd"/>
      <w:r w:rsidRPr="00F543C1">
        <w:rPr>
          <w:i/>
          <w:color w:val="30353F"/>
        </w:rPr>
        <w:t xml:space="preserve"> Māori, we draw attention to several values: the value of </w:t>
      </w:r>
      <w:proofErr w:type="spellStart"/>
      <w:r w:rsidRPr="00F543C1">
        <w:rPr>
          <w:i/>
          <w:color w:val="30353F"/>
        </w:rPr>
        <w:t>kotahitanga</w:t>
      </w:r>
      <w:proofErr w:type="spellEnd"/>
      <w:r w:rsidRPr="00F543C1">
        <w:rPr>
          <w:i/>
          <w:color w:val="30353F"/>
        </w:rPr>
        <w:t xml:space="preserve"> (unity) and the interrelatedness of all things; whakapapa (genealogy), the value of unbroken lines of descent from the heavens to humanity; mana (power), the value of vestiges of divine power, authority, and responsibility, which are imbued within all things, human and nonhuman; </w:t>
      </w:r>
      <w:proofErr w:type="spellStart"/>
      <w:r w:rsidRPr="00F543C1">
        <w:rPr>
          <w:i/>
          <w:color w:val="30353F"/>
        </w:rPr>
        <w:t>kaitiakitanga</w:t>
      </w:r>
      <w:proofErr w:type="spellEnd"/>
      <w:r w:rsidRPr="00F543C1">
        <w:rPr>
          <w:i/>
          <w:color w:val="30353F"/>
        </w:rPr>
        <w:t xml:space="preserve"> (guardianship), protecting kin—people and planet— for all are kin; </w:t>
      </w:r>
      <w:r w:rsidR="00D260F7" w:rsidRPr="00F543C1">
        <w:rPr>
          <w:i/>
          <w:color w:val="30353F"/>
        </w:rPr>
        <w:t>wh</w:t>
      </w:r>
      <w:r w:rsidR="0063210C" w:rsidRPr="00F543C1">
        <w:rPr>
          <w:i/>
          <w:color w:val="30353F"/>
        </w:rPr>
        <w:t>a</w:t>
      </w:r>
      <w:r w:rsidR="00D260F7" w:rsidRPr="00F543C1">
        <w:rPr>
          <w:i/>
          <w:color w:val="30353F"/>
        </w:rPr>
        <w:t>nau</w:t>
      </w:r>
      <w:r w:rsidRPr="00F543C1">
        <w:rPr>
          <w:i/>
          <w:color w:val="30353F"/>
        </w:rPr>
        <w:t xml:space="preserve">ngatanga (kinship), establishing and maintaining familial relations as an organising principle; </w:t>
      </w:r>
      <w:proofErr w:type="spellStart"/>
      <w:r w:rsidRPr="00F543C1">
        <w:rPr>
          <w:i/>
          <w:color w:val="30353F"/>
        </w:rPr>
        <w:t>manaakitanga</w:t>
      </w:r>
      <w:proofErr w:type="spellEnd"/>
      <w:r w:rsidRPr="00F543C1">
        <w:rPr>
          <w:i/>
          <w:color w:val="30353F"/>
        </w:rPr>
        <w:t xml:space="preserve"> (generosity), caring for others with kindness; and </w:t>
      </w:r>
      <w:proofErr w:type="spellStart"/>
      <w:r w:rsidRPr="00F543C1">
        <w:rPr>
          <w:i/>
          <w:color w:val="30353F"/>
        </w:rPr>
        <w:t>wairuatanga</w:t>
      </w:r>
      <w:proofErr w:type="spellEnd"/>
      <w:r w:rsidRPr="00F543C1">
        <w:rPr>
          <w:i/>
          <w:color w:val="30353F"/>
        </w:rPr>
        <w:t xml:space="preserve"> (spirituality), the constant duality of all things. These values intimate what Māori value: identity, origins, and purpose defined in terms of relationality. (</w:t>
      </w:r>
      <w:r w:rsidR="00070CBD">
        <w:rPr>
          <w:iCs/>
          <w:color w:val="30353F"/>
        </w:rPr>
        <w:t>ibid</w:t>
      </w:r>
      <w:r w:rsidRPr="00F543C1">
        <w:rPr>
          <w:iCs/>
          <w:color w:val="30353F"/>
        </w:rPr>
        <w:t>., 10, internal citations omitted)</w:t>
      </w:r>
    </w:p>
    <w:p w14:paraId="674C949C" w14:textId="77777777" w:rsidR="0073394C" w:rsidRPr="00F543C1" w:rsidRDefault="0073394C" w:rsidP="0073394C">
      <w:pPr>
        <w:pStyle w:val="Heading3"/>
      </w:pPr>
      <w:bookmarkStart w:id="155" w:name="_Toc126092117"/>
      <w:r w:rsidRPr="00F543C1">
        <w:t xml:space="preserve">Trusted relationships, </w:t>
      </w:r>
      <w:proofErr w:type="gramStart"/>
      <w:r w:rsidRPr="00F543C1">
        <w:t>reciprocity</w:t>
      </w:r>
      <w:proofErr w:type="gramEnd"/>
      <w:r w:rsidRPr="00F543C1">
        <w:t xml:space="preserve"> and power</w:t>
      </w:r>
      <w:bookmarkEnd w:id="155"/>
    </w:p>
    <w:p w14:paraId="7FEE0420" w14:textId="3C6704B1" w:rsidR="0073394C" w:rsidRPr="00F543C1" w:rsidRDefault="0073394C" w:rsidP="0073394C">
      <w:pPr>
        <w:ind w:left="851"/>
      </w:pPr>
      <w:proofErr w:type="spellStart"/>
      <w:r w:rsidRPr="00F543C1">
        <w:t>Haemata</w:t>
      </w:r>
      <w:proofErr w:type="spellEnd"/>
      <w:r w:rsidRPr="00F543C1">
        <w:t xml:space="preserve"> Limited </w:t>
      </w:r>
      <w:r w:rsidR="00515E73" w:rsidRPr="00F543C1">
        <w:t xml:space="preserve">note </w:t>
      </w:r>
      <w:r w:rsidRPr="00F543C1">
        <w:t xml:space="preserve">that forming relationships with whānau Māori “that are tikanga-based, sustainable and which, by and large, involve </w:t>
      </w:r>
      <w:proofErr w:type="spellStart"/>
      <w:r w:rsidRPr="00F543C1">
        <w:t>kanohi</w:t>
      </w:r>
      <w:proofErr w:type="spellEnd"/>
      <w:r w:rsidRPr="00F543C1">
        <w:t xml:space="preserve"> </w:t>
      </w:r>
      <w:proofErr w:type="spellStart"/>
      <w:r w:rsidRPr="00F543C1">
        <w:t>kitea</w:t>
      </w:r>
      <w:proofErr w:type="spellEnd"/>
      <w:r w:rsidRPr="00F543C1">
        <w:t xml:space="preserve"> (being seen, having a physical presence)” is critical </w:t>
      </w:r>
      <w:r w:rsidRPr="00F543C1">
        <w:fldChar w:fldCharType="begin"/>
      </w:r>
      <w:r w:rsidR="009B0EC4">
        <w:instrText xml:space="preserve"> ADDIN ZOTERO_ITEM CSL_CITATION {"citationID":"a1bcu1n0r2l","properties":{"formattedCitation":"(Haemata Limited 2022b, 11)","plainCitation":"(Haemata Limited 2022b, 11)","noteIndex":0},"citationItems":[{"id":16275,"uris":["http://zotero.org/groups/4801058/items/W3WC23CJ"],"itemData":{"id":16275,"type":"report","event-place":"Wellington","language":"en","publisher":"Office of the Controller and Auditor-General","publisher-place":"Wellington","title":"Māori perspectives on public accountability","title-short":"Commissioned report","URL":"https://oag.parliament.nz/2022/maori-perspectives","author":[{"literal":"Haemata Limited"}],"accessed":{"date-parts":[["2022",9,28]]},"issued":{"date-parts":[["2022"]]}},"locator":"11","label":"page"}],"schema":"https://github.com/citation-style-language/schema/raw/master/csl-citation.json"} </w:instrText>
      </w:r>
      <w:r w:rsidRPr="00F543C1">
        <w:fldChar w:fldCharType="separate"/>
      </w:r>
      <w:r w:rsidR="008C479E" w:rsidRPr="00F543C1">
        <w:rPr>
          <w:rFonts w:cs="Calibri"/>
        </w:rPr>
        <w:t>(Haemata Limited 2022b, 11)</w:t>
      </w:r>
      <w:r w:rsidRPr="00F543C1">
        <w:fldChar w:fldCharType="end"/>
      </w:r>
      <w:r w:rsidRPr="00726346">
        <w:t xml:space="preserve">. </w:t>
      </w:r>
    </w:p>
    <w:p w14:paraId="69214F8F" w14:textId="77777777" w:rsidR="0073394C" w:rsidRPr="00F543C1" w:rsidRDefault="0073394C" w:rsidP="0073394C">
      <w:pPr>
        <w:ind w:left="851"/>
      </w:pPr>
      <w:r w:rsidRPr="00F543C1">
        <w:lastRenderedPageBreak/>
        <w:t xml:space="preserve">Understanding tikanga and Māori values should guide the development of relationships and build trust and confidence, be authentically understood, </w:t>
      </w:r>
      <w:proofErr w:type="gramStart"/>
      <w:r w:rsidRPr="00F543C1">
        <w:t>embedded</w:t>
      </w:r>
      <w:proofErr w:type="gramEnd"/>
      <w:r w:rsidRPr="00F543C1">
        <w:t xml:space="preserve"> and demonstrated:</w:t>
      </w:r>
    </w:p>
    <w:p w14:paraId="3DF61E9B" w14:textId="3BCD5F59" w:rsidR="0073394C" w:rsidRPr="00F543C1" w:rsidRDefault="0073394C" w:rsidP="0073394C">
      <w:pPr>
        <w:spacing w:before="120"/>
        <w:ind w:left="1276" w:right="425"/>
        <w:rPr>
          <w:i/>
          <w:color w:val="30353F"/>
        </w:rPr>
      </w:pPr>
      <w:r w:rsidRPr="00F543C1">
        <w:rPr>
          <w:i/>
          <w:color w:val="30353F"/>
        </w:rPr>
        <w:t xml:space="preserve">At the heart of tikanga are concepts such as tika (true, right, fair, just), pono (honest, genuine, sincere), aroha (empathy, compassion, care), mana, </w:t>
      </w:r>
      <w:r w:rsidR="00D260F7" w:rsidRPr="00F543C1">
        <w:rPr>
          <w:i/>
          <w:color w:val="30353F"/>
        </w:rPr>
        <w:t>wh</w:t>
      </w:r>
      <w:r w:rsidR="005D25F8" w:rsidRPr="00F543C1">
        <w:rPr>
          <w:i/>
          <w:color w:val="30353F"/>
        </w:rPr>
        <w:t>a</w:t>
      </w:r>
      <w:r w:rsidR="00D260F7" w:rsidRPr="00F543C1">
        <w:rPr>
          <w:i/>
          <w:color w:val="30353F"/>
        </w:rPr>
        <w:t>nau</w:t>
      </w:r>
      <w:r w:rsidRPr="00F543C1">
        <w:rPr>
          <w:i/>
          <w:color w:val="30353F"/>
        </w:rPr>
        <w:t xml:space="preserve">ngatanga, </w:t>
      </w:r>
      <w:proofErr w:type="spellStart"/>
      <w:r w:rsidRPr="00F543C1">
        <w:rPr>
          <w:i/>
          <w:color w:val="30353F"/>
        </w:rPr>
        <w:t>kotahitanga</w:t>
      </w:r>
      <w:proofErr w:type="spellEnd"/>
      <w:r w:rsidRPr="00F543C1">
        <w:rPr>
          <w:i/>
          <w:color w:val="30353F"/>
        </w:rPr>
        <w:t xml:space="preserve"> and </w:t>
      </w:r>
      <w:proofErr w:type="spellStart"/>
      <w:r w:rsidRPr="00F543C1">
        <w:rPr>
          <w:i/>
          <w:color w:val="30353F"/>
        </w:rPr>
        <w:t>manaakitanga</w:t>
      </w:r>
      <w:proofErr w:type="spellEnd"/>
      <w:r w:rsidRPr="00F543C1">
        <w:rPr>
          <w:i/>
          <w:color w:val="30353F"/>
        </w:rPr>
        <w:t xml:space="preserve">. </w:t>
      </w:r>
      <w:r w:rsidRPr="00F543C1">
        <w:rPr>
          <w:iCs/>
          <w:color w:val="30353F"/>
        </w:rPr>
        <w:t>(</w:t>
      </w:r>
      <w:r w:rsidR="00070CBD">
        <w:rPr>
          <w:iCs/>
          <w:color w:val="30353F"/>
        </w:rPr>
        <w:t>ibid</w:t>
      </w:r>
      <w:r w:rsidR="00F36F15" w:rsidRPr="00F543C1">
        <w:rPr>
          <w:iCs/>
          <w:color w:val="30353F"/>
        </w:rPr>
        <w:t>.</w:t>
      </w:r>
      <w:r w:rsidRPr="00F543C1">
        <w:rPr>
          <w:iCs/>
          <w:color w:val="30353F"/>
        </w:rPr>
        <w:t xml:space="preserve">, 13) </w:t>
      </w:r>
    </w:p>
    <w:p w14:paraId="2600EB3D" w14:textId="37B116D1" w:rsidR="0073394C" w:rsidRPr="00F543C1" w:rsidRDefault="0073394C" w:rsidP="0073394C">
      <w:pPr>
        <w:ind w:left="851"/>
      </w:pPr>
      <w:r w:rsidRPr="00F543C1">
        <w:t xml:space="preserve">Reciprocal trust is key. The Crown and its agents </w:t>
      </w:r>
      <w:r w:rsidR="005C3CB9" w:rsidRPr="00F543C1">
        <w:t>must</w:t>
      </w:r>
      <w:r w:rsidRPr="00F543C1">
        <w:t xml:space="preserve"> demonstrate that they trust Māori, focus on strengths and support innovation. Part of this involves employees and organisations taking time to do their homework, develop cultural understandings, and understand and acknowledge lived experience and context</w:t>
      </w:r>
      <w:r w:rsidR="005C3CB9" w:rsidRPr="00F543C1">
        <w:t>,</w:t>
      </w:r>
      <w:r w:rsidRPr="00F543C1">
        <w:t xml:space="preserve"> including “tikanga, history, iwi authority, mana whenua, and connections that may impact on the development of a relationship” (</w:t>
      </w:r>
      <w:r w:rsidR="00070CBD">
        <w:t>ibid</w:t>
      </w:r>
      <w:r w:rsidR="00F36F15" w:rsidRPr="00F543C1">
        <w:t>.</w:t>
      </w:r>
      <w:r w:rsidRPr="00F543C1">
        <w:t>, 14).</w:t>
      </w:r>
    </w:p>
    <w:p w14:paraId="0C4D4F37" w14:textId="56BCFA33" w:rsidR="0073394C" w:rsidRPr="00F543C1" w:rsidRDefault="0073394C" w:rsidP="003A4473">
      <w:pPr>
        <w:pStyle w:val="USBodyText"/>
      </w:pPr>
      <w:r w:rsidRPr="00F543C1">
        <w:t>Power imbalances between the Treaty partners are longstanding and need to be addressed at both macro and micro levels (</w:t>
      </w:r>
      <w:r w:rsidR="00070CBD">
        <w:t>i</w:t>
      </w:r>
      <w:r w:rsidRPr="00F543C1">
        <w:t>bid</w:t>
      </w:r>
      <w:r w:rsidR="00F36F15" w:rsidRPr="00F543C1">
        <w:t>.</w:t>
      </w:r>
      <w:r w:rsidRPr="00F543C1">
        <w:t>,</w:t>
      </w:r>
      <w:r w:rsidR="00AF53C5">
        <w:t xml:space="preserve"> </w:t>
      </w:r>
      <w:r w:rsidRPr="00F543C1">
        <w:t>15). Currently, the Crown holds</w:t>
      </w:r>
      <w:r w:rsidR="00956083" w:rsidRPr="00F543C1">
        <w:t xml:space="preserve"> the</w:t>
      </w:r>
      <w:r w:rsidRPr="00F543C1">
        <w:t xml:space="preserve"> power to govern and shape the narrative, </w:t>
      </w:r>
      <w:r w:rsidR="005C3CB9" w:rsidRPr="00F543C1">
        <w:t>influencing th</w:t>
      </w:r>
      <w:r w:rsidRPr="00F543C1">
        <w:t xml:space="preserve">e policy agenda: what is discussed, when and how. </w:t>
      </w:r>
    </w:p>
    <w:p w14:paraId="0CE4B279" w14:textId="598ACF7C" w:rsidR="0073394C" w:rsidRPr="00F543C1" w:rsidRDefault="005C3CB9" w:rsidP="0073394C">
      <w:pPr>
        <w:pStyle w:val="USBodyText"/>
      </w:pPr>
      <w:r w:rsidRPr="00F543C1">
        <w:t>T</w:t>
      </w:r>
      <w:r w:rsidR="0073394C" w:rsidRPr="00F543C1">
        <w:t>o be trusted, governments and public services must show themselves to be trustworthy. As</w:t>
      </w:r>
      <w:r w:rsidR="007F738A">
        <w:t xml:space="preserve"> </w:t>
      </w:r>
      <w:r w:rsidR="007F738A">
        <w:fldChar w:fldCharType="begin"/>
      </w:r>
      <w:r w:rsidR="007F738A">
        <w:instrText xml:space="preserve"> REF Box4 \r \h </w:instrText>
      </w:r>
      <w:r w:rsidR="007F738A">
        <w:fldChar w:fldCharType="separate"/>
      </w:r>
      <w:r w:rsidR="00E06351">
        <w:t>Box 3</w:t>
      </w:r>
      <w:r w:rsidR="007F738A">
        <w:fldChar w:fldCharType="end"/>
      </w:r>
      <w:r w:rsidR="0073394C" w:rsidRPr="00F543C1">
        <w:t xml:space="preserve">, which discusses some of the learnings from </w:t>
      </w:r>
      <w:r w:rsidR="00640079" w:rsidRPr="00F543C1">
        <w:t>t</w:t>
      </w:r>
      <w:r w:rsidR="00120FD6" w:rsidRPr="00F543C1">
        <w:t>he government response to the C</w:t>
      </w:r>
      <w:r w:rsidR="00944DB2" w:rsidRPr="00F543C1">
        <w:t>OVID</w:t>
      </w:r>
      <w:r w:rsidR="006072E3" w:rsidRPr="00F543C1">
        <w:t>-19</w:t>
      </w:r>
      <w:r w:rsidR="00120FD6" w:rsidRPr="00F543C1">
        <w:t xml:space="preserve"> pandemic</w:t>
      </w:r>
      <w:r w:rsidR="00B75014" w:rsidRPr="00F543C1">
        <w:t xml:space="preserve"> illustrates</w:t>
      </w:r>
      <w:r w:rsidR="00120FD6" w:rsidRPr="00F543C1">
        <w:t xml:space="preserve">, </w:t>
      </w:r>
      <w:r w:rsidR="00640079" w:rsidRPr="00F543C1">
        <w:t>despite encouraging progress</w:t>
      </w:r>
      <w:r w:rsidR="00407B55" w:rsidRPr="00F543C1">
        <w:t>,</w:t>
      </w:r>
      <w:r w:rsidR="00640079" w:rsidRPr="00F543C1">
        <w:t xml:space="preserve"> </w:t>
      </w:r>
      <w:r w:rsidR="00120FD6" w:rsidRPr="00F543C1">
        <w:t xml:space="preserve">there </w:t>
      </w:r>
      <w:r w:rsidR="00DC68E0" w:rsidRPr="00F543C1">
        <w:t xml:space="preserve">is </w:t>
      </w:r>
      <w:r w:rsidR="00640079" w:rsidRPr="00F543C1">
        <w:t>still a considerable</w:t>
      </w:r>
      <w:r w:rsidR="00DC68E0" w:rsidRPr="00F543C1">
        <w:t xml:space="preserve"> </w:t>
      </w:r>
      <w:r w:rsidR="00120FD6" w:rsidRPr="00F543C1">
        <w:t>way to go in developing</w:t>
      </w:r>
      <w:r w:rsidR="00640079" w:rsidRPr="00F543C1">
        <w:t xml:space="preserve"> </w:t>
      </w:r>
      <w:r w:rsidR="00DC68E0" w:rsidRPr="00F543C1">
        <w:t>the</w:t>
      </w:r>
      <w:r w:rsidR="00640079" w:rsidRPr="00F543C1">
        <w:t xml:space="preserve"> kind</w:t>
      </w:r>
      <w:r w:rsidR="00120FD6" w:rsidRPr="00F543C1">
        <w:t xml:space="preserve"> </w:t>
      </w:r>
      <w:r w:rsidR="001A0CD1" w:rsidRPr="00F543C1">
        <w:t xml:space="preserve">of </w:t>
      </w:r>
      <w:r w:rsidR="00120FD6" w:rsidRPr="00F543C1">
        <w:t xml:space="preserve">trusted and trusting </w:t>
      </w:r>
      <w:r w:rsidR="00944DB2" w:rsidRPr="00F543C1">
        <w:t xml:space="preserve">relationships </w:t>
      </w:r>
      <w:r w:rsidR="00120FD6" w:rsidRPr="00F543C1">
        <w:t>between the government and communitie</w:t>
      </w:r>
      <w:r w:rsidR="00AF2151" w:rsidRPr="00F543C1">
        <w:t>s</w:t>
      </w:r>
      <w:r w:rsidR="00120FD6" w:rsidRPr="00F543C1">
        <w:t xml:space="preserve"> in Aotearoa</w:t>
      </w:r>
      <w:r w:rsidR="00AF2151" w:rsidRPr="00F543C1">
        <w:t xml:space="preserve"> that underpin learning accountability</w:t>
      </w:r>
      <w:r w:rsidR="00640079" w:rsidRPr="00F543C1">
        <w:t>.</w:t>
      </w:r>
    </w:p>
    <w:p w14:paraId="3C9F75FE" w14:textId="77777777" w:rsidR="0073394C" w:rsidRPr="00F543C1" w:rsidRDefault="0073394C" w:rsidP="0073394C">
      <w:pPr>
        <w:ind w:left="851"/>
      </w:pPr>
    </w:p>
    <w:tbl>
      <w:tblPr>
        <w:tblStyle w:val="TableDefault"/>
        <w:tblW w:w="7969" w:type="dxa"/>
        <w:tblBorders>
          <w:top w:val="none" w:sz="0" w:space="0" w:color="auto"/>
          <w:bottom w:val="none" w:sz="0" w:space="0" w:color="auto"/>
          <w:insideH w:val="none" w:sz="0" w:space="0" w:color="auto"/>
        </w:tblBorders>
        <w:tblLook w:val="04A0" w:firstRow="1" w:lastRow="0" w:firstColumn="1" w:lastColumn="0" w:noHBand="0" w:noVBand="1"/>
      </w:tblPr>
      <w:tblGrid>
        <w:gridCol w:w="7969"/>
      </w:tblGrid>
      <w:tr w:rsidR="0073394C" w:rsidRPr="00F543C1" w14:paraId="62BD76B4" w14:textId="77777777" w:rsidTr="00167321">
        <w:trPr>
          <w:cnfStyle w:val="100000000000" w:firstRow="1" w:lastRow="0" w:firstColumn="0" w:lastColumn="0" w:oddVBand="0" w:evenVBand="0" w:oddHBand="0" w:evenHBand="0" w:firstRowFirstColumn="0" w:firstRowLastColumn="0" w:lastRowFirstColumn="0" w:lastRowLastColumn="0"/>
        </w:trPr>
        <w:tc>
          <w:tcPr>
            <w:tcW w:w="7969" w:type="dxa"/>
            <w:shd w:val="clear" w:color="auto" w:fill="C0EFFF"/>
          </w:tcPr>
          <w:p w14:paraId="14F82985" w14:textId="705AFAB3" w:rsidR="007527D9" w:rsidRPr="005C01D3" w:rsidRDefault="007527D9" w:rsidP="005C01D3">
            <w:pPr>
              <w:pStyle w:val="Box2"/>
            </w:pPr>
            <w:bookmarkStart w:id="156" w:name="Box3"/>
            <w:bookmarkStart w:id="157" w:name="_Toc126092156"/>
            <w:bookmarkStart w:id="158" w:name="_Toc126841254"/>
            <w:bookmarkStart w:id="159" w:name="Box4"/>
            <w:bookmarkEnd w:id="156"/>
            <w:r w:rsidRPr="005C01D3">
              <w:lastRenderedPageBreak/>
              <w:t>How accountability and trust interact in practice</w:t>
            </w:r>
            <w:bookmarkEnd w:id="157"/>
            <w:bookmarkEnd w:id="158"/>
            <w:r w:rsidRPr="005C01D3">
              <w:t xml:space="preserve"> </w:t>
            </w:r>
          </w:p>
          <w:bookmarkEnd w:id="159"/>
          <w:p w14:paraId="120EAB2A" w14:textId="7EEC846F" w:rsidR="007527D9" w:rsidRPr="00852078" w:rsidRDefault="00BF7333" w:rsidP="00852078">
            <w:pPr>
              <w:spacing w:line="240" w:lineRule="auto"/>
              <w:rPr>
                <w:sz w:val="18"/>
                <w:szCs w:val="18"/>
              </w:rPr>
            </w:pPr>
            <w:r w:rsidRPr="00852078">
              <w:rPr>
                <w:sz w:val="18"/>
                <w:szCs w:val="18"/>
              </w:rPr>
              <w:t>While lauded internationally, m</w:t>
            </w:r>
            <w:r w:rsidR="007527D9" w:rsidRPr="00852078">
              <w:rPr>
                <w:sz w:val="18"/>
                <w:szCs w:val="18"/>
              </w:rPr>
              <w:t xml:space="preserve">any aspects of the </w:t>
            </w:r>
            <w:r w:rsidR="00392F2D" w:rsidRPr="00852078">
              <w:rPr>
                <w:sz w:val="18"/>
                <w:szCs w:val="18"/>
              </w:rPr>
              <w:t>government’s</w:t>
            </w:r>
            <w:r w:rsidR="007527D9" w:rsidRPr="00852078">
              <w:rPr>
                <w:sz w:val="18"/>
                <w:szCs w:val="18"/>
              </w:rPr>
              <w:t xml:space="preserve"> initial health-focused response</w:t>
            </w:r>
            <w:r w:rsidR="00AA70AB" w:rsidRPr="00852078">
              <w:rPr>
                <w:sz w:val="18"/>
                <w:szCs w:val="18"/>
              </w:rPr>
              <w:t xml:space="preserve"> to the COVID-19 pandemic</w:t>
            </w:r>
            <w:r w:rsidR="007527D9" w:rsidRPr="00852078">
              <w:rPr>
                <w:sz w:val="18"/>
                <w:szCs w:val="18"/>
              </w:rPr>
              <w:t xml:space="preserve"> fell short. </w:t>
            </w:r>
            <w:r w:rsidR="00B15499" w:rsidRPr="00852078">
              <w:rPr>
                <w:sz w:val="18"/>
                <w:szCs w:val="18"/>
              </w:rPr>
              <w:t>T</w:t>
            </w:r>
            <w:r w:rsidR="007527D9" w:rsidRPr="00852078">
              <w:rPr>
                <w:sz w:val="18"/>
                <w:szCs w:val="18"/>
              </w:rPr>
              <w:t xml:space="preserve">argeting </w:t>
            </w:r>
            <w:r w:rsidR="000F60E1" w:rsidRPr="00852078">
              <w:rPr>
                <w:sz w:val="18"/>
                <w:szCs w:val="18"/>
              </w:rPr>
              <w:t>vaccination acces</w:t>
            </w:r>
            <w:r w:rsidR="007527D9" w:rsidRPr="00852078">
              <w:rPr>
                <w:sz w:val="18"/>
                <w:szCs w:val="18"/>
              </w:rPr>
              <w:t xml:space="preserve">s based primarily on age did not adequately reflect other risk factors, particularly in Māori and Pacific communities. The </w:t>
            </w:r>
            <w:r w:rsidR="00981CB3" w:rsidRPr="00852078">
              <w:rPr>
                <w:sz w:val="18"/>
                <w:szCs w:val="18"/>
              </w:rPr>
              <w:t>government</w:t>
            </w:r>
            <w:r w:rsidR="007527D9" w:rsidRPr="00852078">
              <w:rPr>
                <w:sz w:val="18"/>
                <w:szCs w:val="18"/>
              </w:rPr>
              <w:t xml:space="preserve"> also failed to recognise the extent to which many Māori and Pacific people distrust the health system </w:t>
            </w:r>
            <w:r w:rsidR="0045079A" w:rsidRPr="00852078">
              <w:rPr>
                <w:sz w:val="18"/>
                <w:szCs w:val="18"/>
              </w:rPr>
              <w:t>because of</w:t>
            </w:r>
            <w:r w:rsidR="007527D9" w:rsidRPr="00852078">
              <w:rPr>
                <w:sz w:val="18"/>
                <w:szCs w:val="18"/>
              </w:rPr>
              <w:t xml:space="preserve"> prior negative experiences, including systemic and institutional racism. This distrust was amplified by disinformation</w:t>
            </w:r>
            <w:r w:rsidR="00927D8F" w:rsidRPr="00852078">
              <w:rPr>
                <w:sz w:val="18"/>
                <w:szCs w:val="18"/>
              </w:rPr>
              <w:t>,</w:t>
            </w:r>
            <w:r w:rsidR="007527D9" w:rsidRPr="00852078">
              <w:rPr>
                <w:sz w:val="18"/>
                <w:szCs w:val="18"/>
              </w:rPr>
              <w:t xml:space="preserve"> misinformation</w:t>
            </w:r>
            <w:r w:rsidR="00AD04B0" w:rsidRPr="00852078">
              <w:rPr>
                <w:sz w:val="18"/>
                <w:szCs w:val="18"/>
              </w:rPr>
              <w:t>, and a failure to engage as equals</w:t>
            </w:r>
            <w:r w:rsidR="007527D9" w:rsidRPr="00852078">
              <w:rPr>
                <w:sz w:val="18"/>
                <w:szCs w:val="18"/>
              </w:rPr>
              <w:t>.</w:t>
            </w:r>
            <w:r w:rsidR="003777D7" w:rsidRPr="009006D7">
              <w:rPr>
                <w:rStyle w:val="FootnoteReference"/>
              </w:rPr>
              <w:footnoteReference w:id="132"/>
            </w:r>
          </w:p>
          <w:p w14:paraId="57C9150A" w14:textId="11C44581" w:rsidR="007527D9" w:rsidRPr="00852078" w:rsidRDefault="007527D9" w:rsidP="00852078">
            <w:pPr>
              <w:spacing w:line="240" w:lineRule="auto"/>
              <w:rPr>
                <w:sz w:val="18"/>
                <w:szCs w:val="18"/>
              </w:rPr>
            </w:pPr>
            <w:r w:rsidRPr="00852078">
              <w:rPr>
                <w:sz w:val="18"/>
                <w:szCs w:val="18"/>
              </w:rPr>
              <w:t xml:space="preserve">As </w:t>
            </w:r>
            <w:proofErr w:type="spellStart"/>
            <w:r w:rsidRPr="00852078">
              <w:rPr>
                <w:sz w:val="18"/>
                <w:szCs w:val="18"/>
              </w:rPr>
              <w:t>Matakāoa</w:t>
            </w:r>
            <w:proofErr w:type="spellEnd"/>
            <w:r w:rsidRPr="00852078">
              <w:rPr>
                <w:sz w:val="18"/>
                <w:szCs w:val="18"/>
              </w:rPr>
              <w:t>-based author, researcher and advocate Tina</w:t>
            </w:r>
            <w:r w:rsidR="00392F2D" w:rsidRPr="00852078">
              <w:rPr>
                <w:sz w:val="18"/>
                <w:szCs w:val="18"/>
              </w:rPr>
              <w:t xml:space="preserve"> </w:t>
            </w:r>
            <w:r w:rsidRPr="00852078">
              <w:rPr>
                <w:sz w:val="18"/>
                <w:szCs w:val="18"/>
              </w:rPr>
              <w:t xml:space="preserve">Ngata commented: </w:t>
            </w:r>
          </w:p>
          <w:p w14:paraId="583915F8" w14:textId="50B05BA4" w:rsidR="007527D9" w:rsidRPr="00852078" w:rsidRDefault="007527D9" w:rsidP="00852078">
            <w:pPr>
              <w:spacing w:line="240" w:lineRule="auto"/>
              <w:ind w:left="360"/>
              <w:rPr>
                <w:i/>
                <w:iCs/>
                <w:sz w:val="18"/>
                <w:szCs w:val="18"/>
              </w:rPr>
            </w:pPr>
            <w:r w:rsidRPr="00852078">
              <w:rPr>
                <w:i/>
                <w:iCs/>
                <w:sz w:val="18"/>
                <w:szCs w:val="18"/>
              </w:rPr>
              <w:t xml:space="preserve">The trust hasn’t flowed towards Māori communities. We haven’t been trusted with the roles at the decision-making table, we haven’t been trusted with a proper partnership role even though the securing of that partnership role is part of the document upon which the power of Government rests, </w:t>
            </w:r>
            <w:proofErr w:type="spellStart"/>
            <w:r w:rsidRPr="00852078">
              <w:rPr>
                <w:i/>
                <w:iCs/>
                <w:sz w:val="18"/>
                <w:szCs w:val="18"/>
              </w:rPr>
              <w:t>Te</w:t>
            </w:r>
            <w:proofErr w:type="spellEnd"/>
            <w:r w:rsidRPr="00852078">
              <w:rPr>
                <w:i/>
                <w:iCs/>
                <w:sz w:val="18"/>
                <w:szCs w:val="18"/>
              </w:rPr>
              <w:t xml:space="preserve"> </w:t>
            </w:r>
            <w:proofErr w:type="spellStart"/>
            <w:r w:rsidRPr="00852078">
              <w:rPr>
                <w:i/>
                <w:iCs/>
                <w:sz w:val="18"/>
                <w:szCs w:val="18"/>
              </w:rPr>
              <w:t>Tiriti</w:t>
            </w:r>
            <w:proofErr w:type="spellEnd"/>
            <w:r w:rsidRPr="00852078">
              <w:rPr>
                <w:i/>
                <w:iCs/>
                <w:sz w:val="18"/>
                <w:szCs w:val="18"/>
              </w:rPr>
              <w:t xml:space="preserve"> o Waitangi. The Government still isn’t trusting us with the power to be able to run this even though we’ve demonstrated we can do it well and trust has to go both ways. </w:t>
            </w:r>
            <w:r w:rsidR="00DA7964" w:rsidRPr="00852078">
              <w:rPr>
                <w:i/>
                <w:iCs/>
                <w:sz w:val="18"/>
                <w:szCs w:val="18"/>
              </w:rPr>
              <w:fldChar w:fldCharType="begin"/>
            </w:r>
            <w:r w:rsidR="009B0EC4">
              <w:rPr>
                <w:i/>
                <w:iCs/>
                <w:sz w:val="18"/>
                <w:szCs w:val="18"/>
              </w:rPr>
              <w:instrText xml:space="preserve"> ADDIN ZOTERO_ITEM CSL_CITATION {"citationID":"SFzPyb1i","properties":{"formattedCitation":"(1News 2021)","plainCitation":"(1News 2021)","noteIndex":0},"citationItems":[{"id":18429,"uris":["http://zotero.org/groups/4801058/items/AIHTKRLC"],"itemData":{"id":18429,"type":"webpage","abstract":"Researcher Tina Ngata says the Government needs true partnership with Māori if they want health figures to rise.","container-title":"1 News","language":"en","title":"'Multiple levels of injustice' contributing to low Māori vaccination rates","URL":"https://www.1news.co.nz/2021/10/05/multiple-levels-of-injustice-contributing-to-low-maori-vaccination-rates/","author":[{"family":"1News","given":""}],"accessed":{"date-parts":[["2023",1,12]]},"issued":{"date-parts":[["2021",10,6]]}}}],"schema":"https://github.com/citation-style-language/schema/raw/master/csl-citation.json"} </w:instrText>
            </w:r>
            <w:r w:rsidR="00DA7964" w:rsidRPr="00852078">
              <w:rPr>
                <w:i/>
                <w:iCs/>
                <w:sz w:val="18"/>
                <w:szCs w:val="18"/>
              </w:rPr>
              <w:fldChar w:fldCharType="separate"/>
            </w:r>
            <w:r w:rsidR="00DA7964" w:rsidRPr="00852078">
              <w:rPr>
                <w:rFonts w:cs="Calibri"/>
                <w:sz w:val="18"/>
                <w:szCs w:val="18"/>
              </w:rPr>
              <w:t>(1News 2021)</w:t>
            </w:r>
            <w:r w:rsidR="00DA7964" w:rsidRPr="00852078">
              <w:rPr>
                <w:i/>
                <w:iCs/>
                <w:sz w:val="18"/>
                <w:szCs w:val="18"/>
              </w:rPr>
              <w:fldChar w:fldCharType="end"/>
            </w:r>
          </w:p>
          <w:p w14:paraId="210CB62B" w14:textId="09672C43" w:rsidR="007527D9" w:rsidRPr="00852078" w:rsidRDefault="007527D9" w:rsidP="00852078">
            <w:pPr>
              <w:spacing w:line="240" w:lineRule="auto"/>
              <w:rPr>
                <w:sz w:val="18"/>
                <w:szCs w:val="18"/>
              </w:rPr>
            </w:pPr>
            <w:r w:rsidRPr="00852078">
              <w:rPr>
                <w:sz w:val="18"/>
                <w:szCs w:val="18"/>
              </w:rPr>
              <w:t>Pacific communities</w:t>
            </w:r>
            <w:r w:rsidR="00B03197" w:rsidRPr="00852078">
              <w:rPr>
                <w:sz w:val="18"/>
                <w:szCs w:val="18"/>
              </w:rPr>
              <w:t xml:space="preserve"> </w:t>
            </w:r>
            <w:r w:rsidRPr="00852078">
              <w:rPr>
                <w:sz w:val="18"/>
                <w:szCs w:val="18"/>
              </w:rPr>
              <w:t xml:space="preserve">expressed similar concerns about being ‘consulted’ and having the government attempt to leverage their connections rather than </w:t>
            </w:r>
            <w:r w:rsidR="0001246E" w:rsidRPr="00852078">
              <w:rPr>
                <w:sz w:val="18"/>
                <w:szCs w:val="18"/>
              </w:rPr>
              <w:t xml:space="preserve">being </w:t>
            </w:r>
            <w:r w:rsidRPr="00852078">
              <w:rPr>
                <w:sz w:val="18"/>
                <w:szCs w:val="18"/>
              </w:rPr>
              <w:t xml:space="preserve">engaged </w:t>
            </w:r>
            <w:r w:rsidR="004F302E" w:rsidRPr="00852078">
              <w:rPr>
                <w:sz w:val="18"/>
                <w:szCs w:val="18"/>
              </w:rPr>
              <w:t xml:space="preserve">from the start </w:t>
            </w:r>
            <w:r w:rsidRPr="00852078">
              <w:rPr>
                <w:sz w:val="18"/>
                <w:szCs w:val="18"/>
              </w:rPr>
              <w:t>as trusted experts and partners. The Tangaroa Disability Collective, which received C</w:t>
            </w:r>
            <w:r w:rsidR="002D0091">
              <w:rPr>
                <w:sz w:val="18"/>
                <w:szCs w:val="18"/>
              </w:rPr>
              <w:t>OVID</w:t>
            </w:r>
            <w:r w:rsidRPr="00852078">
              <w:rPr>
                <w:sz w:val="18"/>
                <w:szCs w:val="18"/>
              </w:rPr>
              <w:t>-19 resilience funding in late 2020, noted that:</w:t>
            </w:r>
          </w:p>
          <w:p w14:paraId="7FB558BF" w14:textId="47AB4058" w:rsidR="007527D9" w:rsidRPr="00852078" w:rsidRDefault="007527D9" w:rsidP="00852078">
            <w:pPr>
              <w:spacing w:line="240" w:lineRule="auto"/>
              <w:ind w:left="450"/>
              <w:rPr>
                <w:i/>
                <w:iCs/>
                <w:sz w:val="18"/>
                <w:szCs w:val="18"/>
              </w:rPr>
            </w:pPr>
            <w:r w:rsidRPr="00852078">
              <w:rPr>
                <w:i/>
                <w:iCs/>
                <w:sz w:val="18"/>
                <w:szCs w:val="18"/>
              </w:rPr>
              <w:t>the disability system operates around individualistic and Western values with most services designed accordingly. This creates an immediate barrier for people with collectivistic preferences and perpetuates a reinforcing cycle – those who find the system familiar and responsive get more, and those with an uneasy fit, get less or opt out.</w:t>
            </w:r>
            <w:r w:rsidR="00FE2CD9" w:rsidRPr="00852078">
              <w:rPr>
                <w:i/>
                <w:iCs/>
                <w:sz w:val="18"/>
                <w:szCs w:val="18"/>
              </w:rPr>
              <w:t xml:space="preserve"> </w:t>
            </w:r>
            <w:r w:rsidR="00FE2CD9" w:rsidRPr="00852078">
              <w:rPr>
                <w:i/>
                <w:iCs/>
                <w:sz w:val="18"/>
                <w:szCs w:val="18"/>
              </w:rPr>
              <w:fldChar w:fldCharType="begin"/>
            </w:r>
            <w:r w:rsidR="009B0EC4">
              <w:rPr>
                <w:i/>
                <w:iCs/>
                <w:sz w:val="18"/>
                <w:szCs w:val="18"/>
              </w:rPr>
              <w:instrText xml:space="preserve"> ADDIN ZOTERO_ITEM CSL_CITATION {"citationID":"kCymBZuo","properties":{"formattedCitation":"(T\\uc0\\u333{}f\\uc0\\u257{} Mamao Collective 2022, 16)","plainCitation":"(Tōfā Mamao Collective 2022, 16)","noteIndex":0},"citationItems":[{"id":18124,"uris":["http://zotero.org/groups/4801058/items/P3CPBU4M"],"itemData":{"id":18124,"type":"report","title":"Tagata Sa’ilimalo Strategic Framework","author":[{"family":"Tōfā Mamao Collective","given":""}],"issued":{"date-parts":[["2022"]]}},"locator":"16","label":"page"}],"schema":"https://github.com/citation-style-language/schema/raw/master/csl-citation.json"} </w:instrText>
            </w:r>
            <w:r w:rsidR="00FE2CD9" w:rsidRPr="00852078">
              <w:rPr>
                <w:i/>
                <w:iCs/>
                <w:sz w:val="18"/>
                <w:szCs w:val="18"/>
              </w:rPr>
              <w:fldChar w:fldCharType="separate"/>
            </w:r>
            <w:r w:rsidR="00FE2CD9" w:rsidRPr="00852078">
              <w:rPr>
                <w:rFonts w:cs="Calibri"/>
                <w:sz w:val="18"/>
                <w:szCs w:val="20"/>
              </w:rPr>
              <w:t>(Tōfā Mamao Collective 2022, 16)</w:t>
            </w:r>
            <w:r w:rsidR="00FE2CD9" w:rsidRPr="00852078">
              <w:rPr>
                <w:i/>
                <w:iCs/>
                <w:sz w:val="18"/>
                <w:szCs w:val="18"/>
              </w:rPr>
              <w:fldChar w:fldCharType="end"/>
            </w:r>
            <w:r w:rsidR="00CC0ABA" w:rsidRPr="00852078">
              <w:rPr>
                <w:i/>
                <w:iCs/>
                <w:sz w:val="18"/>
                <w:szCs w:val="18"/>
              </w:rPr>
              <w:t xml:space="preserve"> </w:t>
            </w:r>
          </w:p>
          <w:p w14:paraId="6B1AA260" w14:textId="0E634389" w:rsidR="007527D9" w:rsidRPr="00852078" w:rsidRDefault="007527D9" w:rsidP="00852078">
            <w:pPr>
              <w:spacing w:line="240" w:lineRule="auto"/>
              <w:rPr>
                <w:sz w:val="18"/>
                <w:szCs w:val="18"/>
              </w:rPr>
            </w:pPr>
            <w:r w:rsidRPr="00852078">
              <w:rPr>
                <w:sz w:val="18"/>
                <w:szCs w:val="18"/>
              </w:rPr>
              <w:t xml:space="preserve">Many of these communities leveraged their knowledge of their own people and history of trusted relationships to improve vaccination rates. At a time when nationwide first-dose vaccination rates for Māori were below sixty percent, thanks to a by-Māori, for-Māori approach which devolved planning and decision-making to providers, iwi and even hapū, more than ninety percent of Māori in </w:t>
            </w:r>
            <w:proofErr w:type="spellStart"/>
            <w:r w:rsidRPr="00852078">
              <w:rPr>
                <w:sz w:val="18"/>
                <w:szCs w:val="18"/>
              </w:rPr>
              <w:t>Tairāwhiti</w:t>
            </w:r>
            <w:proofErr w:type="spellEnd"/>
            <w:r w:rsidRPr="00852078">
              <w:rPr>
                <w:sz w:val="18"/>
                <w:szCs w:val="18"/>
              </w:rPr>
              <w:t xml:space="preserve"> had received a jab</w:t>
            </w:r>
            <w:r w:rsidR="00E446CF" w:rsidRPr="00852078">
              <w:rPr>
                <w:sz w:val="18"/>
                <w:szCs w:val="18"/>
              </w:rPr>
              <w:t xml:space="preserve"> </w:t>
            </w:r>
            <w:r w:rsidR="00E446CF" w:rsidRPr="00852078">
              <w:rPr>
                <w:sz w:val="18"/>
                <w:szCs w:val="18"/>
              </w:rPr>
              <w:fldChar w:fldCharType="begin"/>
            </w:r>
            <w:r w:rsidR="009B0EC4">
              <w:rPr>
                <w:sz w:val="18"/>
                <w:szCs w:val="18"/>
              </w:rPr>
              <w:instrText xml:space="preserve"> ADDIN ZOTERO_ITEM CSL_CITATION {"citationID":"itFLVNjE","properties":{"formattedCitation":"(1News 2021)","plainCitation":"(1News 2021)","noteIndex":0},"citationItems":[{"id":18429,"uris":["http://zotero.org/groups/4801058/items/AIHTKRLC"],"itemData":{"id":18429,"type":"webpage","abstract":"Researcher Tina Ngata says the Government needs true partnership with Māori if they want health figures to rise.","container-title":"1 News","language":"en","title":"'Multiple levels of injustice' contributing to low Māori vaccination rates","URL":"https://www.1news.co.nz/2021/10/05/multiple-levels-of-injustice-contributing-to-low-maori-vaccination-rates/","author":[{"family":"1News","given":""}],"accessed":{"date-parts":[["2023",1,12]]},"issued":{"date-parts":[["2021",10,6]]}}}],"schema":"https://github.com/citation-style-language/schema/raw/master/csl-citation.json"} </w:instrText>
            </w:r>
            <w:r w:rsidR="00E446CF" w:rsidRPr="00852078">
              <w:rPr>
                <w:sz w:val="18"/>
                <w:szCs w:val="18"/>
              </w:rPr>
              <w:fldChar w:fldCharType="separate"/>
            </w:r>
            <w:r w:rsidR="00E446CF" w:rsidRPr="00852078">
              <w:rPr>
                <w:rFonts w:cs="Calibri"/>
                <w:sz w:val="18"/>
                <w:szCs w:val="18"/>
              </w:rPr>
              <w:t>(1News 2021)</w:t>
            </w:r>
            <w:r w:rsidR="00E446CF" w:rsidRPr="00852078">
              <w:rPr>
                <w:sz w:val="18"/>
                <w:szCs w:val="18"/>
              </w:rPr>
              <w:fldChar w:fldCharType="end"/>
            </w:r>
            <w:r w:rsidR="0073128A" w:rsidRPr="00852078">
              <w:rPr>
                <w:sz w:val="18"/>
                <w:szCs w:val="18"/>
              </w:rPr>
              <w:t>.</w:t>
            </w:r>
          </w:p>
          <w:p w14:paraId="77D43AFA" w14:textId="3A2EA8FB" w:rsidR="007527D9" w:rsidRPr="00852078" w:rsidRDefault="002228F7" w:rsidP="00852078">
            <w:pPr>
              <w:spacing w:line="240" w:lineRule="auto"/>
              <w:rPr>
                <w:sz w:val="18"/>
                <w:szCs w:val="18"/>
              </w:rPr>
            </w:pPr>
            <w:r w:rsidRPr="00852078">
              <w:rPr>
                <w:sz w:val="18"/>
                <w:szCs w:val="18"/>
              </w:rPr>
              <w:t>As the</w:t>
            </w:r>
            <w:r w:rsidR="007527D9" w:rsidRPr="00852078">
              <w:rPr>
                <w:sz w:val="18"/>
                <w:szCs w:val="18"/>
              </w:rPr>
              <w:t xml:space="preserve"> crisis</w:t>
            </w:r>
            <w:r w:rsidRPr="00852078">
              <w:rPr>
                <w:sz w:val="18"/>
                <w:szCs w:val="18"/>
              </w:rPr>
              <w:t xml:space="preserve"> unfolded</w:t>
            </w:r>
            <w:r w:rsidR="007527D9" w:rsidRPr="00852078">
              <w:rPr>
                <w:sz w:val="18"/>
                <w:szCs w:val="18"/>
              </w:rPr>
              <w:t xml:space="preserve">, “data sharing, </w:t>
            </w:r>
            <w:proofErr w:type="spellStart"/>
            <w:r w:rsidR="007527D9" w:rsidRPr="00852078">
              <w:rPr>
                <w:sz w:val="18"/>
                <w:szCs w:val="18"/>
              </w:rPr>
              <w:t>manaaki</w:t>
            </w:r>
            <w:proofErr w:type="spellEnd"/>
            <w:r w:rsidR="007527D9" w:rsidRPr="00852078">
              <w:rPr>
                <w:sz w:val="18"/>
                <w:szCs w:val="18"/>
              </w:rPr>
              <w:t>, and co-design occurred at speed. Trust-based relationships with providers with a strong delivery track record enabled contracts to be collapsed together, joint providers to be supported, and health and social service delivery to be joined up”</w:t>
            </w:r>
            <w:r w:rsidR="005A0FD5">
              <w:rPr>
                <w:sz w:val="18"/>
                <w:szCs w:val="18"/>
              </w:rPr>
              <w:t xml:space="preserve"> </w:t>
            </w:r>
            <w:r w:rsidR="005A0FD5">
              <w:rPr>
                <w:sz w:val="18"/>
                <w:szCs w:val="18"/>
              </w:rPr>
              <w:fldChar w:fldCharType="begin"/>
            </w:r>
            <w:r w:rsidR="009B0EC4">
              <w:rPr>
                <w:sz w:val="18"/>
                <w:szCs w:val="18"/>
              </w:rPr>
              <w:instrText xml:space="preserve"> ADDIN ZOTERO_ITEM CSL_CITATION {"citationID":"I8QaKFGI","properties":{"formattedCitation":"(Fry 2022, 25)","plainCitation":"(Fry 2022, 25)","noteIndex":0},"citationItems":[{"id":18461,"uris":["http://zotero.org/groups/4801058/items/Y4XY6L7J"],"itemData":{"id":18461,"type":"report","event-place":"Wellington","publisher":"Productivity Commission","publisher-place":"Wellington","title":"Together alone: A review of joined-up social services","URL":"https://www.productivity.govt.nz/assets/Documents/Together-alone_A-review-of-joined-up-social-services.pdf","author":[{"family":"Fry","given":"Julie"}],"accessed":{"date-parts":[["2023",1,15]]},"issued":{"date-parts":[["2022"]]}},"locator":"25","label":"page"}],"schema":"https://github.com/citation-style-language/schema/raw/master/csl-citation.json"} </w:instrText>
            </w:r>
            <w:r w:rsidR="005A0FD5">
              <w:rPr>
                <w:sz w:val="18"/>
                <w:szCs w:val="18"/>
              </w:rPr>
              <w:fldChar w:fldCharType="separate"/>
            </w:r>
            <w:r w:rsidR="00660BDF" w:rsidRPr="00660BDF">
              <w:rPr>
                <w:rFonts w:cs="Calibri"/>
                <w:sz w:val="18"/>
              </w:rPr>
              <w:t>(Fry 2022, 25)</w:t>
            </w:r>
            <w:r w:rsidR="005A0FD5">
              <w:rPr>
                <w:sz w:val="18"/>
                <w:szCs w:val="18"/>
              </w:rPr>
              <w:fldChar w:fldCharType="end"/>
            </w:r>
            <w:r w:rsidR="007527D9" w:rsidRPr="00852078">
              <w:rPr>
                <w:sz w:val="18"/>
                <w:szCs w:val="18"/>
              </w:rPr>
              <w:t>. The government allocated additional funding and increased flexibility to trusted organisations which enabled them to support individuals, families, whānau and aiga in need. In many cases, conventional tools of democratic accountability were also scaled back.</w:t>
            </w:r>
          </w:p>
          <w:p w14:paraId="23E77DA3" w14:textId="2978244E" w:rsidR="007527D9" w:rsidRPr="00852078" w:rsidRDefault="007527D9" w:rsidP="00852078">
            <w:pPr>
              <w:spacing w:line="240" w:lineRule="auto"/>
              <w:rPr>
                <w:sz w:val="18"/>
                <w:szCs w:val="18"/>
              </w:rPr>
            </w:pPr>
            <w:r w:rsidRPr="00852078">
              <w:rPr>
                <w:sz w:val="18"/>
                <w:szCs w:val="18"/>
              </w:rPr>
              <w:t xml:space="preserve">For example, </w:t>
            </w:r>
            <w:proofErr w:type="spellStart"/>
            <w:r w:rsidRPr="00852078">
              <w:rPr>
                <w:sz w:val="18"/>
                <w:szCs w:val="18"/>
              </w:rPr>
              <w:t>Talanoa</w:t>
            </w:r>
            <w:proofErr w:type="spellEnd"/>
            <w:r w:rsidRPr="00852078">
              <w:rPr>
                <w:sz w:val="18"/>
                <w:szCs w:val="18"/>
              </w:rPr>
              <w:t xml:space="preserve"> </w:t>
            </w:r>
            <w:proofErr w:type="spellStart"/>
            <w:r w:rsidRPr="00852078">
              <w:rPr>
                <w:sz w:val="18"/>
                <w:szCs w:val="18"/>
              </w:rPr>
              <w:t>Ako</w:t>
            </w:r>
            <w:proofErr w:type="spellEnd"/>
            <w:r w:rsidRPr="00852078">
              <w:rPr>
                <w:sz w:val="18"/>
                <w:szCs w:val="18"/>
              </w:rPr>
              <w:t>, a Pacific parent education programme delivered by the Ministry of Education</w:t>
            </w:r>
            <w:r w:rsidR="00430A6D" w:rsidRPr="00852078">
              <w:rPr>
                <w:sz w:val="18"/>
                <w:szCs w:val="18"/>
              </w:rPr>
              <w:t>,</w:t>
            </w:r>
            <w:r w:rsidRPr="00852078">
              <w:rPr>
                <w:sz w:val="18"/>
                <w:szCs w:val="18"/>
              </w:rPr>
              <w:t xml:space="preserve"> pivoted to providing food and other urgent supplies, help with utility bills, petrol and medical costs, and assistance with digital connectivity so students could continue to learn. The team designed new, simple forms that were used to collate information on funds spent, keeping both partners and the team at the ministry safe. The email guidance issued made clear the levels of trust involved:</w:t>
            </w:r>
          </w:p>
          <w:p w14:paraId="02CB9097" w14:textId="44391570" w:rsidR="007527D9" w:rsidRPr="00852078" w:rsidRDefault="007527D9" w:rsidP="00852078">
            <w:pPr>
              <w:spacing w:line="240" w:lineRule="auto"/>
              <w:ind w:left="360"/>
              <w:rPr>
                <w:i/>
                <w:iCs/>
                <w:sz w:val="18"/>
                <w:szCs w:val="18"/>
              </w:rPr>
            </w:pPr>
            <w:r w:rsidRPr="00852078">
              <w:rPr>
                <w:i/>
                <w:iCs/>
                <w:sz w:val="18"/>
                <w:szCs w:val="18"/>
              </w:rPr>
              <w:t xml:space="preserve">Use your discretion as to what support you provide and the amount… You will know from your assessment what is required and what you are able to support within the small fund you have. </w:t>
            </w:r>
            <w:r w:rsidR="007E71AF" w:rsidRPr="00852078">
              <w:rPr>
                <w:i/>
                <w:iCs/>
                <w:sz w:val="18"/>
                <w:szCs w:val="18"/>
              </w:rPr>
              <w:fldChar w:fldCharType="begin"/>
            </w:r>
            <w:r w:rsidR="009B0EC4">
              <w:rPr>
                <w:i/>
                <w:iCs/>
                <w:sz w:val="18"/>
                <w:szCs w:val="18"/>
              </w:rPr>
              <w:instrText xml:space="preserve"> ADDIN ZOTERO_ITEM CSL_CITATION {"citationID":"j7RxYsKw","properties":{"formattedCitation":"(Oakden and Spee 2022)","plainCitation":"(Oakden and Spee 2022)","noteIndex":0},"citationItems":[{"id":18458,"uris":["http://zotero.org/groups/4801058/items/UVR8JZCZ"],"itemData":{"id":18458,"type":"document","title":"Fast response of Talanoa Ako to urgent Pacific community needs in the first COVID-19 lockdown 2020","author":[{"family":"Oakden","given":"Judy"},{"family":"Spee","given":"Kellie"}],"issued":{"date-parts":[["2022"]]}}}],"schema":"https://github.com/citation-style-language/schema/raw/master/csl-citation.json"} </w:instrText>
            </w:r>
            <w:r w:rsidR="007E71AF" w:rsidRPr="00852078">
              <w:rPr>
                <w:i/>
                <w:iCs/>
                <w:sz w:val="18"/>
                <w:szCs w:val="18"/>
              </w:rPr>
              <w:fldChar w:fldCharType="separate"/>
            </w:r>
            <w:r w:rsidR="007E71AF" w:rsidRPr="00852078">
              <w:rPr>
                <w:rFonts w:cs="Calibri"/>
                <w:sz w:val="18"/>
                <w:szCs w:val="18"/>
              </w:rPr>
              <w:t>(Oakden and Spee 2022)</w:t>
            </w:r>
            <w:r w:rsidR="007E71AF" w:rsidRPr="00852078">
              <w:rPr>
                <w:i/>
                <w:iCs/>
                <w:sz w:val="18"/>
                <w:szCs w:val="18"/>
              </w:rPr>
              <w:fldChar w:fldCharType="end"/>
            </w:r>
          </w:p>
          <w:p w14:paraId="1821C634" w14:textId="0CFA4718" w:rsidR="0073394C" w:rsidRPr="00F543C1" w:rsidRDefault="007527D9" w:rsidP="00852078">
            <w:pPr>
              <w:spacing w:line="240" w:lineRule="auto"/>
            </w:pPr>
            <w:r w:rsidRPr="00852078">
              <w:rPr>
                <w:sz w:val="18"/>
                <w:szCs w:val="18"/>
              </w:rPr>
              <w:t xml:space="preserve">Unfortunately, these efforts </w:t>
            </w:r>
            <w:r w:rsidR="00AA6F04" w:rsidRPr="00852078">
              <w:rPr>
                <w:sz w:val="18"/>
                <w:szCs w:val="18"/>
              </w:rPr>
              <w:t>have not</w:t>
            </w:r>
            <w:r w:rsidRPr="00852078">
              <w:rPr>
                <w:sz w:val="18"/>
                <w:szCs w:val="18"/>
              </w:rPr>
              <w:t xml:space="preserve"> led to systemic change. Government officials spoken to after the first lockdown in 2020 emphasised</w:t>
            </w:r>
            <w:r w:rsidR="00430A6D" w:rsidRPr="00852078">
              <w:rPr>
                <w:sz w:val="18"/>
                <w:szCs w:val="18"/>
              </w:rPr>
              <w:t>:</w:t>
            </w:r>
            <w:r w:rsidRPr="00852078">
              <w:rPr>
                <w:sz w:val="18"/>
                <w:szCs w:val="18"/>
              </w:rPr>
              <w:t xml:space="preserve"> “both the effectiveness of the high-trust, ‘do whatever it takes’ data sharing and decision-making environment engendered by the pandemic, and the speed with which ‘the elastic band of government went back to the original settings of risk and trust within and across agencies’ as the initial crisis faded</w:t>
            </w:r>
            <w:r w:rsidR="00295B98" w:rsidRPr="00852078">
              <w:rPr>
                <w:sz w:val="18"/>
                <w:szCs w:val="18"/>
              </w:rPr>
              <w:t>”</w:t>
            </w:r>
            <w:r w:rsidR="00876CD8" w:rsidRPr="00852078">
              <w:rPr>
                <w:sz w:val="18"/>
                <w:szCs w:val="18"/>
              </w:rPr>
              <w:t xml:space="preserve"> </w:t>
            </w:r>
            <w:r w:rsidR="00876CD8" w:rsidRPr="00852078">
              <w:rPr>
                <w:sz w:val="18"/>
                <w:szCs w:val="18"/>
              </w:rPr>
              <w:fldChar w:fldCharType="begin"/>
            </w:r>
            <w:r w:rsidR="009B0EC4">
              <w:rPr>
                <w:sz w:val="18"/>
                <w:szCs w:val="18"/>
              </w:rPr>
              <w:instrText xml:space="preserve"> ADDIN ZOTERO_ITEM CSL_CITATION {"citationID":"7z1RPICu","properties":{"formattedCitation":"(Fry 2022, 25)","plainCitation":"(Fry 2022, 25)","noteIndex":0},"citationItems":[{"id":18461,"uris":["http://zotero.org/groups/4801058/items/Y4XY6L7J"],"itemData":{"id":18461,"type":"report","event-place":"Wellington","publisher":"Productivity Commission","publisher-place":"Wellington","title":"Together alone: A review of joined-up social services","URL":"https://www.productivity.govt.nz/assets/Documents/Together-alone_A-review-of-joined-up-social-services.pdf","author":[{"family":"Fry","given":"Julie"}],"accessed":{"date-parts":[["2023",1,15]]},"issued":{"date-parts":[["2022"]]}},"locator":"25","label":"page"}],"schema":"https://github.com/citation-style-language/schema/raw/master/csl-citation.json"} </w:instrText>
            </w:r>
            <w:r w:rsidR="00876CD8" w:rsidRPr="00852078">
              <w:rPr>
                <w:sz w:val="18"/>
                <w:szCs w:val="18"/>
              </w:rPr>
              <w:fldChar w:fldCharType="separate"/>
            </w:r>
            <w:r w:rsidR="00660BDF" w:rsidRPr="00660BDF">
              <w:rPr>
                <w:rFonts w:cs="Calibri"/>
                <w:sz w:val="18"/>
              </w:rPr>
              <w:t>(Fry 2022, 25)</w:t>
            </w:r>
            <w:r w:rsidR="00876CD8" w:rsidRPr="00852078">
              <w:rPr>
                <w:sz w:val="18"/>
                <w:szCs w:val="18"/>
              </w:rPr>
              <w:fldChar w:fldCharType="end"/>
            </w:r>
            <w:r w:rsidR="00876CD8" w:rsidRPr="00852078">
              <w:rPr>
                <w:sz w:val="18"/>
                <w:szCs w:val="18"/>
              </w:rPr>
              <w:t xml:space="preserve">. </w:t>
            </w:r>
          </w:p>
        </w:tc>
      </w:tr>
    </w:tbl>
    <w:p w14:paraId="00372D78" w14:textId="77777777" w:rsidR="002A4DEF" w:rsidRPr="00F543C1" w:rsidRDefault="002A4DEF" w:rsidP="002A4DEF">
      <w:pPr>
        <w:pStyle w:val="USBodyText"/>
      </w:pPr>
    </w:p>
    <w:p w14:paraId="57A71D97" w14:textId="40909E92" w:rsidR="0073394C" w:rsidRPr="00F543C1" w:rsidRDefault="002A4DEF" w:rsidP="0073394C">
      <w:pPr>
        <w:pStyle w:val="USBodyText"/>
      </w:pPr>
      <w:r w:rsidRPr="00F543C1">
        <w:t>Building and maintaining trust</w:t>
      </w:r>
      <w:r w:rsidR="0001730A" w:rsidRPr="00F543C1">
        <w:t>ing relationships requires governments and their agents to listen, take a long-term view, and demonstrate</w:t>
      </w:r>
      <w:r w:rsidRPr="00F543C1">
        <w:t xml:space="preserve"> competence and </w:t>
      </w:r>
      <w:r w:rsidR="00C21528" w:rsidRPr="00F543C1">
        <w:t>a</w:t>
      </w:r>
      <w:r w:rsidR="00BA4AA2" w:rsidRPr="00F543C1">
        <w:t>n ongoing</w:t>
      </w:r>
      <w:r w:rsidR="00C21528" w:rsidRPr="00F543C1">
        <w:t xml:space="preserve"> </w:t>
      </w:r>
      <w:r w:rsidRPr="00F543C1">
        <w:t>commitment</w:t>
      </w:r>
      <w:r w:rsidR="00C21528" w:rsidRPr="00F543C1">
        <w:t xml:space="preserve"> to meeting their promises</w:t>
      </w:r>
      <w:r w:rsidRPr="00F543C1">
        <w:t xml:space="preserve">. </w:t>
      </w:r>
      <w:r w:rsidR="00BA4AA2" w:rsidRPr="00F543C1">
        <w:t>Trusted r</w:t>
      </w:r>
      <w:r w:rsidRPr="00F543C1">
        <w:t>elationships take time and resources</w:t>
      </w:r>
      <w:r w:rsidR="00CE4A55" w:rsidRPr="00F543C1">
        <w:t xml:space="preserve"> </w:t>
      </w:r>
      <w:r w:rsidR="00CE4A55" w:rsidRPr="00F543C1">
        <w:lastRenderedPageBreak/>
        <w:t>to nurture</w:t>
      </w:r>
      <w:r w:rsidR="00C21528" w:rsidRPr="00F543C1">
        <w:t xml:space="preserve">. </w:t>
      </w:r>
      <w:r w:rsidR="0001730A" w:rsidRPr="00F543C1">
        <w:t>Preparing</w:t>
      </w:r>
      <w:r w:rsidR="0073394C" w:rsidRPr="00F543C1">
        <w:t xml:space="preserve"> to meet people where they are and change </w:t>
      </w:r>
      <w:r w:rsidR="001A0CD1" w:rsidRPr="00F543C1">
        <w:t>direction if</w:t>
      </w:r>
      <w:r w:rsidR="0073394C" w:rsidRPr="00F543C1">
        <w:t xml:space="preserve"> the current approach is not improving people’s lives</w:t>
      </w:r>
      <w:r w:rsidR="003527F5" w:rsidRPr="00F543C1">
        <w:t xml:space="preserve"> is </w:t>
      </w:r>
      <w:r w:rsidR="00E90386" w:rsidRPr="00F543C1">
        <w:t>at the heart of learning accountability</w:t>
      </w:r>
      <w:r w:rsidR="0073394C" w:rsidRPr="00F543C1">
        <w:t>. Rather than</w:t>
      </w:r>
      <w:r w:rsidR="003C75B8" w:rsidRPr="00F543C1">
        <w:t xml:space="preserve"> providing</w:t>
      </w:r>
      <w:r w:rsidR="0073394C" w:rsidRPr="00F543C1">
        <w:t xml:space="preserve"> accountability through expensive, large-scale, point-in-time evaluations, more nimble, frequent, adaptive assessments are required. The ability to flag and address underlying systemic issues through this process is key.</w:t>
      </w:r>
    </w:p>
    <w:p w14:paraId="1107B25D" w14:textId="77777777" w:rsidR="0073394C" w:rsidRPr="00F543C1" w:rsidRDefault="0073394C" w:rsidP="0073394C">
      <w:pPr>
        <w:pStyle w:val="Heading3"/>
      </w:pPr>
      <w:bookmarkStart w:id="160" w:name="_Ref124948561"/>
      <w:bookmarkStart w:id="161" w:name="_Toc126092118"/>
      <w:proofErr w:type="spellStart"/>
      <w:r w:rsidRPr="00F543C1">
        <w:t>Te</w:t>
      </w:r>
      <w:proofErr w:type="spellEnd"/>
      <w:r w:rsidRPr="00F543C1">
        <w:t xml:space="preserve"> </w:t>
      </w:r>
      <w:proofErr w:type="spellStart"/>
      <w:r w:rsidRPr="00F543C1">
        <w:t>Tiriti</w:t>
      </w:r>
      <w:proofErr w:type="spellEnd"/>
      <w:r w:rsidRPr="00F543C1">
        <w:t xml:space="preserve"> o Waitangi</w:t>
      </w:r>
      <w:bookmarkEnd w:id="160"/>
      <w:bookmarkEnd w:id="161"/>
      <w:r w:rsidRPr="00F543C1">
        <w:t xml:space="preserve"> </w:t>
      </w:r>
    </w:p>
    <w:p w14:paraId="40D3B94F" w14:textId="23F83A71" w:rsidR="00FC2622" w:rsidRPr="00F543C1" w:rsidRDefault="00FC2622" w:rsidP="00C640DA">
      <w:pPr>
        <w:pStyle w:val="USBodyText"/>
      </w:pPr>
      <w:r w:rsidRPr="00F543C1">
        <w:t xml:space="preserve">In a report for the Productivity Commission, </w:t>
      </w:r>
      <w:proofErr w:type="spellStart"/>
      <w:r w:rsidRPr="00F543C1">
        <w:t>Haemata</w:t>
      </w:r>
      <w:proofErr w:type="spellEnd"/>
      <w:r w:rsidRPr="00F543C1">
        <w:t xml:space="preserve"> </w:t>
      </w:r>
      <w:r w:rsidR="00560ABB" w:rsidRPr="00F543C1">
        <w:t xml:space="preserve">Limited </w:t>
      </w:r>
      <w:r w:rsidRPr="00F543C1">
        <w:t>stated:</w:t>
      </w:r>
    </w:p>
    <w:p w14:paraId="2A5660D0" w14:textId="1580499F" w:rsidR="008C479E" w:rsidRPr="00726346" w:rsidRDefault="00A716EE" w:rsidP="004004A3">
      <w:pPr>
        <w:pStyle w:val="Quotation"/>
      </w:pPr>
      <w:r w:rsidRPr="00F543C1">
        <w:t xml:space="preserve">The historical and ongoing impacts of colonisation and racism continue to be felt by Māori and Pacific people today. The lived experience of many Māori today are the cumulative result of breaches of pre-existing rights afforded under </w:t>
      </w:r>
      <w:proofErr w:type="spellStart"/>
      <w:r w:rsidRPr="00F543C1">
        <w:t>Te</w:t>
      </w:r>
      <w:proofErr w:type="spellEnd"/>
      <w:r w:rsidRPr="00F543C1">
        <w:t xml:space="preserve"> </w:t>
      </w:r>
      <w:proofErr w:type="spellStart"/>
      <w:r w:rsidRPr="00F543C1">
        <w:t>Tiriti</w:t>
      </w:r>
      <w:proofErr w:type="spellEnd"/>
      <w:r w:rsidRPr="00F543C1">
        <w:t xml:space="preserve"> o Waitangi. </w:t>
      </w:r>
      <w:r w:rsidR="008C479E" w:rsidRPr="00F543C1">
        <w:rPr>
          <w:i w:val="0"/>
          <w:iCs/>
        </w:rPr>
        <w:fldChar w:fldCharType="begin"/>
      </w:r>
      <w:r w:rsidR="009B0EC4">
        <w:rPr>
          <w:i w:val="0"/>
          <w:iCs/>
        </w:rPr>
        <w:instrText xml:space="preserve"> ADDIN ZOTERO_ITEM CSL_CITATION {"citationID":"nREvMkWP","properties":{"formattedCitation":"(Haemata Limited 2022a, 7)","plainCitation":"(Haemata Limited 2022a, 7)","noteIndex":0},"citationItems":[{"id":16549,"uris":["http://zotero.org/groups/4801058/items/4YZZU74I"],"itemData":{"id":16549,"type":"report","event-place":"Wellington","publisher":"New Zealand Productivity Commission","publisher-place":"Wellington","title":"Colonisation, racism and wellbeing","author":[{"family":"Haemata Limited","given":""}],"issued":{"date-parts":[["2022"]]}},"locator":"7","label":"page"}],"schema":"https://github.com/citation-style-language/schema/raw/master/csl-citation.json"} </w:instrText>
      </w:r>
      <w:r w:rsidR="008C479E" w:rsidRPr="00F543C1">
        <w:rPr>
          <w:i w:val="0"/>
          <w:iCs/>
        </w:rPr>
        <w:fldChar w:fldCharType="separate"/>
      </w:r>
      <w:r w:rsidR="008C479E" w:rsidRPr="00F543C1">
        <w:rPr>
          <w:rFonts w:cs="Calibri"/>
          <w:i w:val="0"/>
          <w:iCs/>
        </w:rPr>
        <w:t>(Haemata Limited 2022a, 7)</w:t>
      </w:r>
      <w:r w:rsidR="008C479E" w:rsidRPr="00F543C1">
        <w:rPr>
          <w:i w:val="0"/>
          <w:iCs/>
        </w:rPr>
        <w:fldChar w:fldCharType="end"/>
      </w:r>
    </w:p>
    <w:p w14:paraId="28AB464F" w14:textId="4EF1C40C" w:rsidR="00E254A8" w:rsidRPr="00F543C1" w:rsidRDefault="0073394C" w:rsidP="0073394C">
      <w:pPr>
        <w:pStyle w:val="USBodyText"/>
      </w:pPr>
      <w:proofErr w:type="spellStart"/>
      <w:r w:rsidRPr="00F543C1">
        <w:t>Te</w:t>
      </w:r>
      <w:proofErr w:type="spellEnd"/>
      <w:r w:rsidRPr="00F543C1">
        <w:t xml:space="preserve"> </w:t>
      </w:r>
      <w:proofErr w:type="spellStart"/>
      <w:r w:rsidRPr="00F543C1">
        <w:t>Tiriti</w:t>
      </w:r>
      <w:proofErr w:type="spellEnd"/>
      <w:r w:rsidRPr="00F543C1">
        <w:t xml:space="preserve"> o Waitangi is New Zealand’s founding document and has been called “the Māori Magna Carta” and a charter of Māori rights </w:t>
      </w:r>
      <w:r w:rsidRPr="00F543C1">
        <w:fldChar w:fldCharType="begin"/>
      </w:r>
      <w:r w:rsidR="009B0EC4">
        <w:instrText xml:space="preserve"> ADDIN ZOTERO_ITEM CSL_CITATION {"citationID":"a2at3s4e30f","properties":{"formattedCitation":"(Byrnes 2006, 2)","plainCitation":"(Byrnes 2006, 2)","noteIndex":0},"citationItems":[{"id":17126,"uris":["http://zotero.org/groups/4801058/items/Y9DU3DQW"],"itemData":{"id":17126,"type":"article-journal","container-title":"Kotuitui: New Zealand Journal of Social Sciences Online","DOI":"10.1080/1177083X.2006.9522407","ISSN":"1177-083X","issue":"1","journalAbbreviation":"Kotuitui: New Zealand Journal of Social Sciences Online","language":"en","page":"1-12","source":"DOI.org (Crossref)","title":"“Relic of 1840” or founding document? The treaty, the tribunal and concepts of time","title-short":"“Relic of 1840” or founding document?","volume":"1","author":[{"family":"Byrnes","given":"Giselle"}],"issued":{"date-parts":[["2006",1]]}},"locator":"2","label":"page"}],"schema":"https://github.com/citation-style-language/schema/raw/master/csl-citation.json"} </w:instrText>
      </w:r>
      <w:r w:rsidRPr="00F543C1">
        <w:fldChar w:fldCharType="separate"/>
      </w:r>
      <w:r w:rsidRPr="00F543C1">
        <w:rPr>
          <w:rFonts w:cs="Calibri"/>
          <w:szCs w:val="24"/>
        </w:rPr>
        <w:t>(Byrnes 2006, 2)</w:t>
      </w:r>
      <w:r w:rsidRPr="00F543C1">
        <w:fldChar w:fldCharType="end"/>
      </w:r>
      <w:r w:rsidRPr="00726346">
        <w:t>.</w:t>
      </w:r>
      <w:r w:rsidRPr="009006D7">
        <w:rPr>
          <w:rStyle w:val="FootnoteReference"/>
        </w:rPr>
        <w:footnoteReference w:id="133"/>
      </w:r>
      <w:r w:rsidRPr="00726346">
        <w:t xml:space="preserve"> </w:t>
      </w:r>
    </w:p>
    <w:p w14:paraId="4785CFA4" w14:textId="67EE9215" w:rsidR="00E254A8" w:rsidRPr="00726346" w:rsidRDefault="00EE19F2" w:rsidP="004004A3">
      <w:pPr>
        <w:pStyle w:val="Quotation"/>
        <w:rPr>
          <w:i w:val="0"/>
          <w:iCs/>
        </w:rPr>
      </w:pPr>
      <w:r w:rsidRPr="00F543C1">
        <w:t xml:space="preserve">There is no doubt that </w:t>
      </w:r>
      <w:proofErr w:type="spellStart"/>
      <w:r w:rsidRPr="00F543C1">
        <w:t>Te</w:t>
      </w:r>
      <w:proofErr w:type="spellEnd"/>
      <w:r w:rsidRPr="00F543C1">
        <w:t xml:space="preserve"> </w:t>
      </w:r>
      <w:proofErr w:type="spellStart"/>
      <w:r w:rsidRPr="00F543C1">
        <w:t>Tiriti</w:t>
      </w:r>
      <w:proofErr w:type="spellEnd"/>
      <w:r w:rsidRPr="00F543C1">
        <w:t xml:space="preserve"> o Waitangi/ the Treaty of Waitangi is a significant constitutional document </w:t>
      </w:r>
      <w:r w:rsidR="00D7120E" w:rsidRPr="00F543C1">
        <w:t>today. It affects, in various ways and varying extents, h</w:t>
      </w:r>
      <w:r w:rsidR="00D73339" w:rsidRPr="00F543C1">
        <w:t>ow public power is exercised in New Zealand.</w:t>
      </w:r>
      <w:r w:rsidR="0067138B" w:rsidRPr="00F543C1">
        <w:t xml:space="preserve"> </w:t>
      </w:r>
      <w:r w:rsidR="00D73339" w:rsidRPr="00F543C1">
        <w:rPr>
          <w:i w:val="0"/>
          <w:iCs/>
        </w:rPr>
        <w:fldChar w:fldCharType="begin"/>
      </w:r>
      <w:r w:rsidR="009B0EC4">
        <w:rPr>
          <w:i w:val="0"/>
          <w:iCs/>
        </w:rPr>
        <w:instrText xml:space="preserve"> ADDIN ZOTERO_ITEM CSL_CITATION {"citationID":"L4nqU2c0","properties":{"formattedCitation":"(Palmer and Knight 2022, 208)","plainCitation":"(Palmer and Knight 2022, 208)","noteIndex":0},"citationItems":[{"id":18446,"uris":["http://zotero.org/groups/4801058/items/VJID95CY"],"itemData":{"id":18446,"type":"book","abstract":"\"This book examines New Zealand's constitution, through the lens of constitutional realism. It looks at the practices, habits, conventions and norms of constitutional life. It focuses on the structures, processes and culture that govern the exercise of public power - a perspective that is necessary to explore and account for a lived, rather than textual, constitution. New Zealand's constitution is unique. One of three remaining unwritten democratic constitutions in the world, it is characterised by a charming set of anachronistic contrasts. \"Unwritten\", but much found in various written sources. Built on a network of Westminster constitutional conventions but generously tailored to local conditions. Proudly independent, yet perhaps a purer Westminster model than its British parent. Flexible and vulnerable, while oddly enduring. It looks to the centralised authority that comes with a strong executive, strict parliamentary sovereignty, and a unitary state. However, its populace insists on egalitarian values and representative democracy, with elections fiercely conducted nowadays under a system of proportional representation. The interests of indigenous Maori are protected largely through democratic majority rule. A reputation for upholding the rule of law, yet few institutional safeguards to ensure compliance\"--","call-number":"KUQ1750","collection-title":"Constitutional systems of the world","event-place":"Oxford, UK ; New York, NY","ISBN":"978-1-84946-904-3","number-of-pages":"1","publisher":"Hart Publishing, an imprint of Bloomsbury Publishing","publisher-place":"Oxford, UK ; New York, NY","source":"Library of Congress ISBN","title":"The Constitution of New Zealand: a contextual analysis","title-short":"The Constitution of New Zealand","author":[{"family":"Palmer","given":"Matthew"},{"family":"Knight","given":"Dean R."}],"issued":{"date-parts":[["2022"]]}},"locator":"208","label":"page"}],"schema":"https://github.com/citation-style-language/schema/raw/master/csl-citation.json"} </w:instrText>
      </w:r>
      <w:r w:rsidR="00D73339" w:rsidRPr="00F543C1">
        <w:rPr>
          <w:i w:val="0"/>
          <w:iCs/>
        </w:rPr>
        <w:fldChar w:fldCharType="separate"/>
      </w:r>
      <w:r w:rsidR="00D73339" w:rsidRPr="00F543C1">
        <w:rPr>
          <w:rFonts w:cs="Calibri"/>
          <w:i w:val="0"/>
          <w:iCs/>
        </w:rPr>
        <w:t>(Palmer and Knight 2022, 208)</w:t>
      </w:r>
      <w:r w:rsidR="00D73339" w:rsidRPr="00F543C1">
        <w:rPr>
          <w:i w:val="0"/>
          <w:iCs/>
        </w:rPr>
        <w:fldChar w:fldCharType="end"/>
      </w:r>
    </w:p>
    <w:p w14:paraId="6F52611D" w14:textId="61DE20A8" w:rsidR="0073394C" w:rsidRPr="00F543C1" w:rsidRDefault="0073394C" w:rsidP="0073394C">
      <w:pPr>
        <w:pStyle w:val="USBodyText"/>
      </w:pPr>
      <w:r w:rsidRPr="00F543C1">
        <w:t xml:space="preserve">Increasingly, </w:t>
      </w:r>
      <w:proofErr w:type="spellStart"/>
      <w:r w:rsidRPr="00F543C1">
        <w:t>Te</w:t>
      </w:r>
      <w:proofErr w:type="spellEnd"/>
      <w:r w:rsidRPr="00F543C1">
        <w:t xml:space="preserve"> </w:t>
      </w:r>
      <w:proofErr w:type="spellStart"/>
      <w:r w:rsidRPr="00F543C1">
        <w:t>Tiriti</w:t>
      </w:r>
      <w:proofErr w:type="spellEnd"/>
      <w:r w:rsidRPr="00F543C1">
        <w:t xml:space="preserve"> is regarded as representing what hapū actually agreed at Waitangi in 1840</w:t>
      </w:r>
      <w:r w:rsidRPr="00F543C1">
        <w:fldChar w:fldCharType="begin"/>
      </w:r>
      <w:r w:rsidR="009B0EC4">
        <w:instrText xml:space="preserve"> ADDIN ZOTERO_ITEM CSL_CITATION {"citationID":"MUgx0wGw","properties":{"formattedCitation":"(Ross 1972; Mikaere 2011a; Waitangi Tribunal 2014a; Orange 2020a; Waitangi Tribunal 2022)","plainCitation":"(Ross 1972; Mikaere 2011a; Waitangi Tribunal 2014a; Orange 2020a; Waitangi Tribunal 2022)","dontUpdate":true,"noteIndex":0},"citationItems":[{"id":12445,"uris":["http://zotero.org/users/4659042/items/SG9R3VQP"],"itemData":{"id":12445,"type":"article-journal","container-title":"New Zealand Journal of History","issue":"2","page":"129-157","title":"Te Tiriti o Waitangi: Texts and Translations","volume":"6","author":[{"family":"Ross","given":"Ruth"}],"issued":{"date-parts":[["1972"]]}},"label":"page"},{"id":18452,"uris":["http://zotero.org/groups/4801058/items/M2RKNXNS"],"itemData":{"id":18452,"type":"book","call-number":"KUQ449.3 .M55 2011","event-place":"Wellington, N.Z","ISBN":"978-1-86969-453-1","number-of-pages":"348","publisher":"Huia Publishers and Te Wānanga o Raukawa","publisher-place":"Wellington, N.Z","source":"Library of Congress ISBN","title":"Colonising myths--Māori realities: he rukuruku whakaaro","title-short":"Colonising myths--Māori realities","author":[{"family":"Mikaere","given":"Annabel"}],"contributor":[{"family":"Te Wānanga-o-Raukawa","given":""}],"issued":{"date-parts":[["2011"]]}},"label":"page"},{"id":2547,"uris":["http://zotero.org/users/4659042/items/7VN75XJ9"],"itemData":{"id":2547,"type":"report","number":"WAI 1040","publisher":"Waitangi Tribunal","title":"He Whakaputanga me te Tiriti The Declaration and the Treaty: The Report on Stage 1 of the Te Paparahi o Te Raki Inquiry","URL":"https://forms.justice.govt.nz/search/Documents/WT/wt_DOC_85648980/Te%20Raki%20W.pdf","author":[{"family":"Waitangi Tribunal","given":""}],"accessed":{"date-parts":[["2019",4,23]]},"issued":{"date-parts":[["2014"]]}},"label":"page"},{"id":18453,"uris":["http://zotero.org/groups/4801058/items/HYRSTT9U"],"itemData":{"id":18453,"type":"book","event-place":"Wellington","ISBN":"978-1-988587-18-9","language":"eng","number-of-pages":"486","publisher":"Bridget Williams Books","publisher-place":"Wellington","source":"K10plus ISBN","title":"The treaty of Waitangi: an illustrated history = Te Tiriti o Waitangi","title-short":"The treaty of Waitangi","author":[{"family":"Orange","given":"Claudia"}],"issued":{"date-parts":[["2020"]]}},"label":"page"},{"id":17442,"uris":["http://zotero.org/users/4659042/items/86CVNPB5"],"itemData":{"id":17442,"type":"report","event-place":"Wellington","publisher":"Waitangi Tribunal","publisher-place":"Wellington","title":"Tino Rangatiratanga me Te Kāwanatanga","author":[{"family":"Waitangi Tribunal","given":""}],"issued":{"date-parts":[["2022"]]}},"label":"page"}],"schema":"https://github.com/citation-style-language/schema/raw/master/csl-citation.json"} </w:instrText>
      </w:r>
      <w:r w:rsidRPr="00F543C1">
        <w:fldChar w:fldCharType="separate"/>
      </w:r>
      <w:r w:rsidRPr="00F543C1">
        <w:t xml:space="preserve"> </w:t>
      </w:r>
      <w:r w:rsidRPr="00F543C1">
        <w:rPr>
          <w:rFonts w:cs="Calibri"/>
        </w:rPr>
        <w:t>(Ross 1972; Mikaere 2011a; Waitangi Tribunal 2014a; Orange 2020a; Waitangi Tribunal 2022)</w:t>
      </w:r>
      <w:r w:rsidRPr="00F543C1">
        <w:fldChar w:fldCharType="end"/>
      </w:r>
      <w:r w:rsidRPr="00726346">
        <w:t>.</w:t>
      </w:r>
      <w:r w:rsidRPr="009006D7">
        <w:rPr>
          <w:rStyle w:val="FootnoteReference"/>
        </w:rPr>
        <w:footnoteReference w:id="134"/>
      </w:r>
      <w:r w:rsidR="002050F2" w:rsidRPr="00726346">
        <w:rPr>
          <w:vertAlign w:val="superscript"/>
        </w:rPr>
        <w:t xml:space="preserve"> </w:t>
      </w:r>
    </w:p>
    <w:p w14:paraId="466492BE" w14:textId="0AA33E7E" w:rsidR="0073394C" w:rsidRPr="00F543C1" w:rsidRDefault="0073394C" w:rsidP="0073394C">
      <w:pPr>
        <w:ind w:left="851"/>
      </w:pPr>
      <w:proofErr w:type="spellStart"/>
      <w:r w:rsidRPr="00F543C1">
        <w:t>Te</w:t>
      </w:r>
      <w:proofErr w:type="spellEnd"/>
      <w:r w:rsidRPr="00F543C1">
        <w:t xml:space="preserve"> </w:t>
      </w:r>
      <w:proofErr w:type="spellStart"/>
      <w:r w:rsidRPr="00F543C1">
        <w:t>Tiriti</w:t>
      </w:r>
      <w:proofErr w:type="spellEnd"/>
      <w:r w:rsidRPr="00F543C1">
        <w:t xml:space="preserve"> o Waitangi acknowledges that Māori would continue to exercise </w:t>
      </w:r>
      <w:proofErr w:type="spellStart"/>
      <w:r w:rsidRPr="00F543C1">
        <w:t>tino</w:t>
      </w:r>
      <w:proofErr w:type="spellEnd"/>
      <w:r w:rsidRPr="00F543C1">
        <w:t xml:space="preserve"> rangatiratanga, while the Crown would exercise </w:t>
      </w:r>
      <w:r w:rsidRPr="00F543C1">
        <w:rPr>
          <w:rFonts w:cstheme="minorHAnsi"/>
          <w:color w:val="000000"/>
        </w:rPr>
        <w:t>kāwanatanga (‘governorship’) over current and expected settlers</w:t>
      </w:r>
      <w:r w:rsidRPr="00F543C1">
        <w:t>. Māori welcomed the opportunities to trade th</w:t>
      </w:r>
      <w:r w:rsidR="004E370C" w:rsidRPr="00F543C1">
        <w:t>ose</w:t>
      </w:r>
      <w:r w:rsidRPr="00F543C1">
        <w:t xml:space="preserve"> immigrants provided </w:t>
      </w:r>
      <w:r w:rsidRPr="00F543C1">
        <w:fldChar w:fldCharType="begin"/>
      </w:r>
      <w:r w:rsidR="009B0EC4">
        <w:instrText xml:space="preserve"> ADDIN ZOTERO_ITEM CSL_CITATION {"citationID":"BmBiHR7Y","properties":{"formattedCitation":"(Orange 2020b, 74\\uc0\\u8211{}77)","plainCitation":"(Orange 2020b, 74–77)","noteIndex":0},"citationItems":[{"id":13294,"uris":["http://zotero.org/groups/4544915/items/8UW3TNTK"],"itemData":{"id":13294,"type":"book","event-place":"Wellington","ISBN":"978-1-988587-18-9","language":"English","note":"OCLC: 1162884225","publisher":"Bridget Williams Books","publisher-place":"Wellington","source":"Open WorldCat","title":"Treaty of Waitangi | te Tiriti o Waitangi: an illustrated history.","title-short":"Treaty of waitangi | te tiriti o waitangi","author":[{"family":"Orange","given":"Claudia"}],"issued":{"date-parts":[["2020"]]}},"locator":"74-77","label":"page"}],"schema":"https://github.com/citation-style-language/schema/raw/master/csl-citation.json"} </w:instrText>
      </w:r>
      <w:r w:rsidRPr="00F543C1">
        <w:fldChar w:fldCharType="separate"/>
      </w:r>
      <w:r w:rsidRPr="00F543C1">
        <w:rPr>
          <w:rFonts w:cs="Calibri"/>
          <w:szCs w:val="24"/>
        </w:rPr>
        <w:t>(Orange 2020b, 74–77)</w:t>
      </w:r>
      <w:r w:rsidRPr="00F543C1">
        <w:fldChar w:fldCharType="end"/>
      </w:r>
      <w:r w:rsidRPr="00726346">
        <w:t>. They understood that more settlers would be coming, who would be governed by the British:</w:t>
      </w:r>
    </w:p>
    <w:p w14:paraId="1B5E4A95" w14:textId="6DDFBE1F" w:rsidR="0073394C" w:rsidRPr="00F543C1" w:rsidRDefault="0073394C" w:rsidP="0073394C">
      <w:pPr>
        <w:spacing w:before="120"/>
        <w:ind w:left="1276" w:right="425"/>
        <w:rPr>
          <w:i/>
          <w:color w:val="30353F"/>
        </w:rPr>
      </w:pPr>
      <w:r w:rsidRPr="00F543C1">
        <w:rPr>
          <w:i/>
          <w:color w:val="30353F"/>
        </w:rPr>
        <w:t xml:space="preserve">[T]he Treaty gave the Queen government, Kawanatanga, and foresaw continuing immigration. </w:t>
      </w:r>
      <w:r w:rsidRPr="00F543C1">
        <w:rPr>
          <w:iCs/>
          <w:color w:val="30353F"/>
        </w:rPr>
        <w:fldChar w:fldCharType="begin"/>
      </w:r>
      <w:r w:rsidR="009B0EC4">
        <w:rPr>
          <w:iCs/>
          <w:color w:val="30353F"/>
        </w:rPr>
        <w:instrText xml:space="preserve"> ADDIN ZOTERO_ITEM CSL_CITATION {"citationID":"52Ug6rCu","properties":{"formattedCitation":"(Cooke 1989, 530)","plainCitation":"(Cooke 1989, 530)","noteIndex":0},"citationItems":[{"id":13169,"uris":["http://zotero.org/users/4659042/items/UPR99EFC"],"itemData":{"id":13169,"type":"legal_case","container-title":"2 NZLR","page":"513","title":"Tainui Māori Trust Board v. Attorney- General","author":[{"family":"Cooke","given":"Robin"}],"issued":{"date-parts":[["1989"]]}},"locator":"530"}],"schema":"https://github.com/citation-style-language/schema/raw/master/csl-citation.json"} </w:instrText>
      </w:r>
      <w:r w:rsidRPr="00F543C1">
        <w:rPr>
          <w:iCs/>
          <w:color w:val="30353F"/>
        </w:rPr>
        <w:fldChar w:fldCharType="separate"/>
      </w:r>
      <w:r w:rsidRPr="00F543C1">
        <w:rPr>
          <w:rFonts w:cs="Calibri"/>
          <w:iCs/>
          <w:color w:val="30353F"/>
        </w:rPr>
        <w:t>(Cooke 1989, 530)</w:t>
      </w:r>
      <w:r w:rsidRPr="00F543C1">
        <w:rPr>
          <w:iCs/>
          <w:color w:val="30353F"/>
        </w:rPr>
        <w:fldChar w:fldCharType="end"/>
      </w:r>
      <w:r w:rsidRPr="00726346">
        <w:rPr>
          <w:iCs/>
          <w:color w:val="30353F"/>
        </w:rPr>
        <w:t>.</w:t>
      </w:r>
    </w:p>
    <w:p w14:paraId="0B5FFB84" w14:textId="52027208" w:rsidR="0073394C" w:rsidRPr="00726346" w:rsidRDefault="0073394C" w:rsidP="0073394C">
      <w:pPr>
        <w:ind w:left="851"/>
      </w:pPr>
      <w:r w:rsidRPr="00F543C1">
        <w:t>Within months of the agreement being signed at Waitangi in 1840, Governor Hobson proclaimed British sovereignty over all New Zealand, claiming that via the Treaty</w:t>
      </w:r>
      <w:r w:rsidR="004E370C" w:rsidRPr="00F543C1">
        <w:t>,</w:t>
      </w:r>
      <w:r w:rsidRPr="00F543C1">
        <w:t xml:space="preserve"> “</w:t>
      </w:r>
      <w:r w:rsidRPr="00F543C1">
        <w:rPr>
          <w:lang w:eastAsia="en-NZ"/>
        </w:rPr>
        <w:t>all rights and powers of Sovereignty over the said Northern Island</w:t>
      </w:r>
      <w:r w:rsidRPr="00F543C1">
        <w:t xml:space="preserve"> were ceded to Her Majesty the Queen of Great Britain and Ireland, absolutely and without reservation”</w:t>
      </w:r>
      <w:r w:rsidRPr="0010306D">
        <w:rPr>
          <w:rStyle w:val="FootnoteReference"/>
        </w:rPr>
        <w:t>.</w:t>
      </w:r>
      <w:r w:rsidRPr="009006D7">
        <w:rPr>
          <w:rStyle w:val="FootnoteReference"/>
        </w:rPr>
        <w:footnoteReference w:id="135"/>
      </w:r>
      <w:r w:rsidRPr="00726346">
        <w:t xml:space="preserve"> </w:t>
      </w:r>
      <w:r w:rsidRPr="00726346">
        <w:lastRenderedPageBreak/>
        <w:t>The formal institut</w:t>
      </w:r>
      <w:r w:rsidRPr="00F543C1">
        <w:t>ions of British-style government, applying to Māori and Pākehā alike, soon followed</w:t>
      </w:r>
      <w:r w:rsidRPr="00F543C1">
        <w:rPr>
          <w:sz w:val="18"/>
          <w:szCs w:val="18"/>
        </w:rPr>
        <w:t xml:space="preserve"> </w:t>
      </w:r>
      <w:r w:rsidRPr="00F543C1">
        <w:fldChar w:fldCharType="begin"/>
      </w:r>
      <w:r w:rsidR="009B0EC4">
        <w:instrText xml:space="preserve"> ADDIN ZOTERO_ITEM CSL_CITATION {"citationID":"0qh6tfPt","properties":{"formattedCitation":"(Orange 2020b, 63)","plainCitation":"(Orange 2020b, 63)","noteIndex":0},"citationItems":[{"id":13294,"uris":["http://zotero.org/groups/4544915/items/8UW3TNTK"],"itemData":{"id":13294,"type":"book","event-place":"Wellington","ISBN":"978-1-988587-18-9","language":"English","note":"OCLC: 1162884225","publisher":"Bridget Williams Books","publisher-place":"Wellington","source":"Open WorldCat","title":"Treaty of Waitangi | te Tiriti o Waitangi: an illustrated history.","title-short":"Treaty of waitangi | te tiriti o waitangi","author":[{"family":"Orange","given":"Claudia"}],"issued":{"date-parts":[["2020"]]}},"locator":"63","label":"page"}],"schema":"https://github.com/citation-style-language/schema/raw/master/csl-citation.json"} </w:instrText>
      </w:r>
      <w:r w:rsidRPr="00F543C1">
        <w:fldChar w:fldCharType="separate"/>
      </w:r>
      <w:r w:rsidRPr="00F543C1">
        <w:rPr>
          <w:rFonts w:cs="Calibri"/>
        </w:rPr>
        <w:t>(Orange 2020b, 63)</w:t>
      </w:r>
      <w:r w:rsidRPr="00F543C1">
        <w:fldChar w:fldCharType="end"/>
      </w:r>
      <w:r w:rsidRPr="00726346">
        <w:t>.</w:t>
      </w:r>
      <w:r w:rsidRPr="009006D7">
        <w:rPr>
          <w:rStyle w:val="FootnoteReference"/>
        </w:rPr>
        <w:footnoteReference w:id="136"/>
      </w:r>
    </w:p>
    <w:p w14:paraId="7C40B211" w14:textId="125F8713" w:rsidR="0073394C" w:rsidRPr="00F543C1" w:rsidRDefault="0073394C" w:rsidP="0073394C">
      <w:pPr>
        <w:ind w:left="851"/>
      </w:pPr>
      <w:r w:rsidRPr="00F543C1">
        <w:t>Progressively, large-scale immigration transformed Aotearoa and the idea that Māori would have control over their lands and lives receded into history. The Colonial Office knew that extensive settlement, financed by the purchase of Māori land</w:t>
      </w:r>
      <w:r w:rsidR="00496508" w:rsidRPr="00F543C1">
        <w:t>,</w:t>
      </w:r>
      <w:r w:rsidRPr="00F543C1">
        <w:t xml:space="preserve"> which was then sold to settlers at </w:t>
      </w:r>
      <w:r w:rsidR="00496508" w:rsidRPr="00F543C1">
        <w:t xml:space="preserve">a </w:t>
      </w:r>
      <w:r w:rsidRPr="00F543C1">
        <w:t>substantial profit</w:t>
      </w:r>
      <w:r w:rsidR="00496508" w:rsidRPr="00F543C1">
        <w:t>,</w:t>
      </w:r>
      <w:r w:rsidRPr="00F543C1">
        <w:t xml:space="preserve"> was the intended result of the Treaty </w:t>
      </w:r>
      <w:r w:rsidRPr="00F543C1">
        <w:fldChar w:fldCharType="begin"/>
      </w:r>
      <w:r w:rsidR="009B0EC4">
        <w:instrText xml:space="preserve"> ADDIN ZOTERO_ITEM CSL_CITATION {"citationID":"zWIeXuj3","properties":{"formattedCitation":"(Adams 2015, sec. 3932)","plainCitation":"(Adams 2015, sec. 3932)","noteIndex":0},"citationItems":[{"id":13409,"uris":["http://zotero.org/groups/4544915/items/ZP7Y84DD"],"itemData":{"id":13409,"type":"book","edition":"Kindle Edition","event-place":"Wellington","publisher":"Bridget Williams Books","publisher-place":"Wellington","title":"Fatal Necessity: British Intervention in New Zealand, 1830–1847","author":[{"family":"Adams","given":"Peter"}],"issued":{"date-parts":[["2015"]]}},"locator":"3932","label":"section"}],"schema":"https://github.com/citation-style-language/schema/raw/master/csl-citation.json"} </w:instrText>
      </w:r>
      <w:r w:rsidRPr="00F543C1">
        <w:fldChar w:fldCharType="separate"/>
      </w:r>
      <w:r w:rsidRPr="00F543C1">
        <w:rPr>
          <w:rFonts w:cs="Calibri"/>
        </w:rPr>
        <w:t>(Adams 2015, sec. 3932)</w:t>
      </w:r>
      <w:r w:rsidRPr="00F543C1">
        <w:fldChar w:fldCharType="end"/>
      </w:r>
      <w:r w:rsidRPr="00726346">
        <w:t>. Māori soon confronted this reality:</w:t>
      </w:r>
    </w:p>
    <w:p w14:paraId="58FC4271" w14:textId="322444EA" w:rsidR="0073394C" w:rsidRPr="00F543C1" w:rsidRDefault="0073394C" w:rsidP="0073394C">
      <w:pPr>
        <w:spacing w:before="120"/>
        <w:ind w:left="1276" w:right="425"/>
        <w:rPr>
          <w:iCs/>
          <w:color w:val="30353F"/>
        </w:rPr>
      </w:pPr>
      <w:r w:rsidRPr="00F543C1">
        <w:rPr>
          <w:i/>
          <w:color w:val="30353F"/>
        </w:rPr>
        <w:t xml:space="preserve">When the first emigrant ships arrived at Port Nicholson, and landed their hundreds of colonists, the Natives are said to have wept at the sight. They had been told, but had not believed, that the foreigners were coming to settle in great numbers upon the land which the agent of the Colonizing Company had just acquired. They had not realized to themselves that their country was about to be occupied by a civilized race in such force as to be able to hold its ground in spite of Native resistance. </w:t>
      </w:r>
      <w:r w:rsidRPr="00F543C1">
        <w:rPr>
          <w:iCs/>
          <w:color w:val="30353F"/>
        </w:rPr>
        <w:fldChar w:fldCharType="begin"/>
      </w:r>
      <w:r w:rsidR="009B0EC4">
        <w:rPr>
          <w:iCs/>
          <w:color w:val="30353F"/>
        </w:rPr>
        <w:instrText xml:space="preserve"> ADDIN ZOTERO_ITEM CSL_CITATION {"citationID":"RU1vdiyd","properties":{"formattedCitation":"(C.W. Richmond, quoted in O\\uc0\\u8217{}Malley, Stirling, and Penetito 2010)","plainCitation":"(C.W. Richmond, quoted in O’Malley, Stirling, and Penetito 2010)","noteIndex":0},"citationItems":[{"id":12425,"uris":["http://zotero.org/users/4659042/items/DFS4G3IC"],"itemData":{"id":12425,"type":"book","call-number":"DU420.12 .T74 2010","event-place":"Auckland, N.Z","ISBN":"978-1-86940-467-3","note":"OCLC: 652792607","number-of-pages":"422","publisher":"Auckland University Press","publisher-place":"Auckland, N.Z","source":"Library of Congress ISBN","title":"The Treaty of Waitangi companion: Māori and Pākeha from Tasman to today","title-short":"The Treaty of Waitangi companion","editor":[{"family":"O'Malley","given":"Vincent"},{"family":"Stirling","given":"Bruce"},{"family":"Penetito","given":"Wally"}],"issued":{"date-parts":[["2010"]]}},"prefix":"C.W. Richmond, quoted in "}],"schema":"https://github.com/citation-style-language/schema/raw/master/csl-citation.json"} </w:instrText>
      </w:r>
      <w:r w:rsidRPr="00F543C1">
        <w:rPr>
          <w:iCs/>
          <w:color w:val="30353F"/>
        </w:rPr>
        <w:fldChar w:fldCharType="separate"/>
      </w:r>
      <w:r w:rsidRPr="00F543C1">
        <w:rPr>
          <w:rFonts w:cs="Calibri"/>
          <w:iCs/>
          <w:color w:val="30353F"/>
          <w:szCs w:val="24"/>
        </w:rPr>
        <w:t>(C.W. Richmond, quoted in O’Malley, Stirling, and Penetito 2010)</w:t>
      </w:r>
      <w:r w:rsidRPr="00F543C1">
        <w:rPr>
          <w:iCs/>
          <w:color w:val="30353F"/>
        </w:rPr>
        <w:fldChar w:fldCharType="end"/>
      </w:r>
      <w:r w:rsidRPr="00726346">
        <w:rPr>
          <w:iCs/>
          <w:color w:val="30353F"/>
        </w:rPr>
        <w:t>.</w:t>
      </w:r>
    </w:p>
    <w:p w14:paraId="608DC416" w14:textId="18A5F720" w:rsidR="0073394C" w:rsidRPr="00726346" w:rsidRDefault="0073394C" w:rsidP="0073394C">
      <w:pPr>
        <w:ind w:left="851"/>
      </w:pPr>
      <w:r w:rsidRPr="00F543C1">
        <w:t>Māori became a minority in their own whenua (land). By the time the first official statistics were published in 1858, the total population had reached about 120,000</w:t>
      </w:r>
      <w:r w:rsidR="00496508" w:rsidRPr="00F543C1">
        <w:t>,</w:t>
      </w:r>
      <w:r w:rsidRPr="00F543C1">
        <w:t xml:space="preserve"> half of whom were Māori</w:t>
      </w:r>
      <w:r w:rsidR="00C50615">
        <w:t xml:space="preserve"> </w:t>
      </w:r>
      <w:r w:rsidR="00C50615">
        <w:fldChar w:fldCharType="begin"/>
      </w:r>
      <w:r w:rsidR="009B0EC4">
        <w:instrText xml:space="preserve"> ADDIN ZOTERO_ITEM CSL_CITATION {"citationID":"54QButTY","properties":{"formattedCitation":"(Fry and Wilson 2018, 25)","plainCitation":"(Fry and Wilson 2018, 25)","noteIndex":0},"citationItems":[{"id":2525,"uris":["http://zotero.org/users/4659042/items/QY2T26ST"],"itemData":{"id":2525,"type":"book","abstract":"\"Migration is at historically high levels and more than a quarter of the New Zealand population was born overseas. Yet immigration remains a deeply contentious issue, with the debate more often shaped by emotion than evidence. Julie Fry and Peter Wilson have developed a new framework that broadens the scope of how we consider migration policy. Rather than just considering the effect of migration on GDP, they look at factors such as the Treaty of Waitangi. Their goal? Migration policy that acknowledges the complexity of the world we all inhabit.\"--Publisher information","call-number":"JV9262 .F79 2018","collection-title":"BWB Texts","event-place":"Wellington, New Zealand","ISBN":"978-1-988533-75-9","license":"All rights reserved","note":"OCLC: on1029949831","number-of-pages":"280","publisher":"Bridget Williams Books Limited","publisher-place":"Wellington, New Zealand","source":"Library of Congress ISBN","title":"Better lives: migration, wellbeing and New Zealand","title-short":"Better lives","author":[{"family":"Fry","given":"Julie"},{"family":"Wilson","given":"Peter"}],"issued":{"date-parts":[["2018"]]}},"locator":"25","label":"page"}],"schema":"https://github.com/citation-style-language/schema/raw/master/csl-citation.json"} </w:instrText>
      </w:r>
      <w:r w:rsidR="00C50615">
        <w:fldChar w:fldCharType="separate"/>
      </w:r>
      <w:r w:rsidR="00C50615" w:rsidRPr="00C50615">
        <w:rPr>
          <w:rFonts w:cs="Calibri"/>
        </w:rPr>
        <w:t>(Fry and Wilson 2018, 25)</w:t>
      </w:r>
      <w:r w:rsidR="00C50615">
        <w:fldChar w:fldCharType="end"/>
      </w:r>
      <w:r w:rsidR="00C50615">
        <w:t>.</w:t>
      </w:r>
      <w:r w:rsidRPr="00726346">
        <w:t>Today, Māori comprise 17 percent of the total population of Aotearoa.</w:t>
      </w:r>
      <w:r w:rsidRPr="009006D7">
        <w:rPr>
          <w:rStyle w:val="FootnoteReference"/>
        </w:rPr>
        <w:footnoteReference w:id="137"/>
      </w:r>
    </w:p>
    <w:p w14:paraId="39A8746E" w14:textId="7E8C9E4F" w:rsidR="0073394C" w:rsidRPr="00F543C1" w:rsidRDefault="0073394C" w:rsidP="0073394C">
      <w:pPr>
        <w:ind w:left="851"/>
      </w:pPr>
      <w:r w:rsidRPr="00F543C1">
        <w:t xml:space="preserve">The Waitangi Tribunal has emphasised that </w:t>
      </w:r>
      <w:r w:rsidR="006F4235" w:rsidRPr="00F543C1">
        <w:t xml:space="preserve">the </w:t>
      </w:r>
      <w:r w:rsidRPr="00F543C1">
        <w:t xml:space="preserve">partnership </w:t>
      </w:r>
      <w:r w:rsidR="006F4235" w:rsidRPr="00F543C1">
        <w:t xml:space="preserve">in </w:t>
      </w:r>
      <w:proofErr w:type="spellStart"/>
      <w:r w:rsidR="006F4235" w:rsidRPr="00F543C1">
        <w:t>Te</w:t>
      </w:r>
      <w:proofErr w:type="spellEnd"/>
      <w:r w:rsidR="006F4235" w:rsidRPr="00F543C1">
        <w:t xml:space="preserve"> </w:t>
      </w:r>
      <w:proofErr w:type="spellStart"/>
      <w:r w:rsidR="006F4235" w:rsidRPr="00F543C1">
        <w:t>Tiriti</w:t>
      </w:r>
      <w:proofErr w:type="spellEnd"/>
      <w:r w:rsidR="006F4235" w:rsidRPr="00F543C1">
        <w:t xml:space="preserve"> </w:t>
      </w:r>
      <w:r w:rsidRPr="00F543C1">
        <w:t xml:space="preserve">gives rise to some level of accountability between the Treaty partners. In its 1998 </w:t>
      </w:r>
      <w:proofErr w:type="spellStart"/>
      <w:r w:rsidRPr="00F543C1">
        <w:t>Te</w:t>
      </w:r>
      <w:proofErr w:type="spellEnd"/>
      <w:r w:rsidRPr="00F543C1">
        <w:t xml:space="preserve"> Whānau o </w:t>
      </w:r>
      <w:proofErr w:type="spellStart"/>
      <w:r w:rsidRPr="00F543C1">
        <w:t>Waipereira</w:t>
      </w:r>
      <w:proofErr w:type="spellEnd"/>
      <w:r w:rsidRPr="00F543C1">
        <w:t xml:space="preserve"> Report, after discussing the purpose of the State Sector Act and the Public Finance Act in creating “a framework of authorities and accountabilities, and requirements for reporting”, the Tribunal commented that:</w:t>
      </w:r>
    </w:p>
    <w:p w14:paraId="0E878425" w14:textId="033571FE" w:rsidR="0073394C" w:rsidRPr="00726346" w:rsidRDefault="0073394C" w:rsidP="0073394C">
      <w:pPr>
        <w:spacing w:before="120"/>
        <w:ind w:left="1276" w:right="425"/>
        <w:rPr>
          <w:i/>
          <w:color w:val="30353F"/>
        </w:rPr>
      </w:pPr>
      <w:r w:rsidRPr="00F543C1">
        <w:rPr>
          <w:i/>
          <w:color w:val="30353F"/>
        </w:rPr>
        <w:t xml:space="preserve"> It is fundamental to a partnership that there is some level of accountability to each other, as a prerequisite for shared control. It is self-evident, too, that if no consideration is given to a Māori community’s values and aspirations in assessing the performance of Crown agencies, it cannot be said that the Crown and Māori are working together, nor that the principle of rangatiratanga is in fact being maintained.</w:t>
      </w:r>
      <w:r w:rsidRPr="00F543C1">
        <w:rPr>
          <w:iCs/>
          <w:color w:val="30353F"/>
        </w:rPr>
        <w:t xml:space="preserve"> </w:t>
      </w:r>
      <w:r w:rsidRPr="00F543C1">
        <w:rPr>
          <w:iCs/>
          <w:color w:val="30353F"/>
        </w:rPr>
        <w:fldChar w:fldCharType="begin"/>
      </w:r>
      <w:r w:rsidR="009B0EC4">
        <w:rPr>
          <w:iCs/>
          <w:color w:val="30353F"/>
        </w:rPr>
        <w:instrText xml:space="preserve"> ADDIN ZOTERO_ITEM CSL_CITATION {"citationID":"asd37nc91s","properties":{"formattedCitation":"(Waitangi Tribunal 1998, 231)","plainCitation":"(Waitangi Tribunal 1998, 231)","noteIndex":0},"citationItems":[{"id":17075,"uris":["http://zotero.org/groups/4801058/items/58IA3NKL"],"itemData":{"id":17075,"type":"report","event-place":"Wellington","publisher":"Waitangi Tribunal","publisher-place":"Wellington","title":"Te Whänau o Waipereira Report","author":[{"family":"Waitangi Tribunal","given":""}],"issued":{"date-parts":[["1998"]]}},"locator":"231","label":"page"}],"schema":"https://github.com/citation-style-language/schema/raw/master/csl-citation.json"} </w:instrText>
      </w:r>
      <w:r w:rsidRPr="00F543C1">
        <w:rPr>
          <w:iCs/>
          <w:color w:val="30353F"/>
        </w:rPr>
        <w:fldChar w:fldCharType="separate"/>
      </w:r>
      <w:r w:rsidRPr="00F543C1">
        <w:rPr>
          <w:rFonts w:cs="Calibri"/>
          <w:iCs/>
          <w:color w:val="30353F"/>
        </w:rPr>
        <w:t>(Waitangi Tribunal 1998, 231)</w:t>
      </w:r>
      <w:r w:rsidRPr="00F543C1">
        <w:rPr>
          <w:iCs/>
          <w:color w:val="30353F"/>
        </w:rPr>
        <w:fldChar w:fldCharType="end"/>
      </w:r>
    </w:p>
    <w:p w14:paraId="7FE52D4B" w14:textId="0989626A" w:rsidR="0073394C" w:rsidRPr="00F543C1" w:rsidRDefault="0073394C" w:rsidP="0073394C">
      <w:pPr>
        <w:ind w:left="851"/>
      </w:pPr>
      <w:r w:rsidRPr="00F543C1">
        <w:t xml:space="preserve">For Māori and the Crown, accountability requires meeting mutual obligations as set out in </w:t>
      </w:r>
      <w:proofErr w:type="spellStart"/>
      <w:r w:rsidRPr="00F543C1">
        <w:t>Te</w:t>
      </w:r>
      <w:proofErr w:type="spellEnd"/>
      <w:r w:rsidRPr="00F543C1">
        <w:t xml:space="preserve"> </w:t>
      </w:r>
      <w:proofErr w:type="spellStart"/>
      <w:r w:rsidRPr="00F543C1">
        <w:t>Tiriti</w:t>
      </w:r>
      <w:proofErr w:type="spellEnd"/>
      <w:r w:rsidRPr="00F543C1">
        <w:t xml:space="preserve"> o Waitangi. Truly meeting its obligations in the context of addressing persistent disadvantage will involve much more than the Crown lifting staff cultural capability, improving relationship management skills and increasing the use of iwi-based providers to deliver services designed by departments in Wellington. It goes to the fundamental issue of who has the authority to determine the nature of specific </w:t>
      </w:r>
      <w:r w:rsidRPr="00F543C1">
        <w:lastRenderedPageBreak/>
        <w:t xml:space="preserve">responses to disadvantage, from designing </w:t>
      </w:r>
      <w:r w:rsidR="007C7FE0">
        <w:t>assistance</w:t>
      </w:r>
      <w:r w:rsidRPr="00F543C1">
        <w:t xml:space="preserve"> to deciding what resources they should receive and determining whether and on what basis they have succeeded or failed. The Crown needs to adopt more honourable, </w:t>
      </w:r>
      <w:proofErr w:type="gramStart"/>
      <w:r w:rsidRPr="00F543C1">
        <w:t>consultative</w:t>
      </w:r>
      <w:proofErr w:type="gramEnd"/>
      <w:r w:rsidRPr="00F543C1">
        <w:t xml:space="preserve"> and culturally appropriate ways of working with its Treaty partner.</w:t>
      </w:r>
      <w:r w:rsidRPr="009006D7">
        <w:rPr>
          <w:rStyle w:val="FootnoteReference"/>
        </w:rPr>
        <w:footnoteReference w:id="138"/>
      </w:r>
      <w:r w:rsidRPr="00726346">
        <w:t xml:space="preserve"> </w:t>
      </w:r>
    </w:p>
    <w:p w14:paraId="2486D4DB" w14:textId="10253941" w:rsidR="00366E19" w:rsidRPr="00F543C1" w:rsidRDefault="008E075A" w:rsidP="00366E19">
      <w:pPr>
        <w:pStyle w:val="Heading3"/>
      </w:pPr>
      <w:bookmarkStart w:id="162" w:name="_Toc126092119"/>
      <w:bookmarkStart w:id="163" w:name="_Ref124701566"/>
      <w:r w:rsidRPr="00F543C1">
        <w:t>What genuine partnership requires</w:t>
      </w:r>
      <w:bookmarkEnd w:id="162"/>
      <w:r w:rsidR="00366E19" w:rsidRPr="00F543C1">
        <w:t xml:space="preserve"> </w:t>
      </w:r>
    </w:p>
    <w:p w14:paraId="63A08AE8" w14:textId="0F7994FC" w:rsidR="00366E19" w:rsidRPr="00F543C1" w:rsidRDefault="00366E19" w:rsidP="00366E19">
      <w:pPr>
        <w:ind w:left="851"/>
      </w:pPr>
      <w:r w:rsidRPr="00F543C1">
        <w:t xml:space="preserve">The task of building governance and accountability structures and mechanisms that do not seek assimilation of Māori into the dominant colonial culture but rather honour </w:t>
      </w:r>
      <w:proofErr w:type="spellStart"/>
      <w:r w:rsidRPr="00F543C1">
        <w:t>Te</w:t>
      </w:r>
      <w:proofErr w:type="spellEnd"/>
      <w:r w:rsidRPr="00F543C1">
        <w:t xml:space="preserve"> </w:t>
      </w:r>
      <w:proofErr w:type="spellStart"/>
      <w:r w:rsidRPr="00F543C1">
        <w:t>Tiriti</w:t>
      </w:r>
      <w:proofErr w:type="spellEnd"/>
      <w:r w:rsidRPr="00F543C1">
        <w:t xml:space="preserve"> o Waitangi and acknowledge that all cultures have an interest in rejecting injustice is ongoing. </w:t>
      </w:r>
    </w:p>
    <w:p w14:paraId="20FDCCB6" w14:textId="3ADF8842" w:rsidR="00366E19" w:rsidRPr="00F543C1" w:rsidRDefault="00366E19" w:rsidP="00366E19">
      <w:pPr>
        <w:ind w:left="851"/>
      </w:pPr>
      <w:r w:rsidRPr="00F543C1">
        <w:t>Participants in interviews and w</w:t>
      </w:r>
      <w:r w:rsidR="003B3619" w:rsidRPr="00F543C1">
        <w:rPr>
          <w:rFonts w:cs="Calibri"/>
        </w:rPr>
        <w:t>ā</w:t>
      </w:r>
      <w:r w:rsidRPr="00F543C1">
        <w:t xml:space="preserve">nanga hosted by </w:t>
      </w:r>
      <w:proofErr w:type="spellStart"/>
      <w:r w:rsidRPr="00F543C1">
        <w:t>Haemata</w:t>
      </w:r>
      <w:proofErr w:type="spellEnd"/>
      <w:r w:rsidRPr="00F543C1">
        <w:t xml:space="preserve"> Limited in 2022 identified several practical challenges when it comes to improving accountability in Aotearoa. These include navigating dual, and at times conflicting accountabilities – to employers, whānau, hapū and iwi; managing different and sometimes conflicting values; and the power imbalances in monitoring: government currently monitors both Māori and itself </w:t>
      </w:r>
      <w:r w:rsidRPr="00F543C1">
        <w:fldChar w:fldCharType="begin"/>
      </w:r>
      <w:r w:rsidR="009B0EC4">
        <w:instrText xml:space="preserve"> ADDIN ZOTERO_ITEM CSL_CITATION {"citationID":"a1hjrl5m38i","properties":{"formattedCitation":"(Haemata Limited 2022c)","plainCitation":"(Haemata Limited 2022c)","noteIndex":0},"citationItems":[{"id":17087,"uris":["http://zotero.org/groups/4801058/items/Q8YKW9QE"],"itemData":{"id":17087,"type":"article-journal","title":"Wānanga Feedback Report Prepared for Te Kōmihana Whai Hua o Aotearoa New Zealand Productivity Commission For the inquiry A Fair Chance for All: Breaking the Cycle of Persistent Disadvantage","author":[{"family":"Haemata Limited","given":""}],"issued":{"date-parts":[["2022"]]}}}],"schema":"https://github.com/citation-style-language/schema/raw/master/csl-citation.json"} </w:instrText>
      </w:r>
      <w:r w:rsidRPr="00F543C1">
        <w:fldChar w:fldCharType="separate"/>
      </w:r>
      <w:r w:rsidR="008C479E" w:rsidRPr="00F543C1">
        <w:rPr>
          <w:rFonts w:cs="Calibri"/>
        </w:rPr>
        <w:t>(Haemata Limited 2022c)</w:t>
      </w:r>
      <w:r w:rsidRPr="00F543C1">
        <w:fldChar w:fldCharType="end"/>
      </w:r>
      <w:r w:rsidRPr="00726346">
        <w:t xml:space="preserve">. </w:t>
      </w:r>
    </w:p>
    <w:p w14:paraId="43A32135" w14:textId="183B43F4" w:rsidR="00366E19" w:rsidRPr="00F543C1" w:rsidRDefault="00366E19" w:rsidP="00366E19">
      <w:pPr>
        <w:ind w:left="851"/>
      </w:pPr>
      <w:r w:rsidRPr="00F543C1">
        <w:t>While the Public Service Act 2020 reflects a growing expectation that “the Public Service will develop and maintain its own capability to engage with Māori and understand Māori perspectives and actively seek greater involvement of Māori” (</w:t>
      </w:r>
      <w:r w:rsidR="00070CBD">
        <w:t>i</w:t>
      </w:r>
      <w:r w:rsidRPr="00F543C1">
        <w:t>bid</w:t>
      </w:r>
      <w:r w:rsidR="007E3DA9">
        <w:t>.</w:t>
      </w:r>
      <w:r w:rsidRPr="00F543C1">
        <w:t xml:space="preserve">, 3) and that leaders and the Public Service Commissioner are genuinely held accountable for these responsibilities </w:t>
      </w:r>
      <w:r w:rsidRPr="00F543C1">
        <w:fldChar w:fldCharType="begin"/>
      </w:r>
      <w:r w:rsidR="009B0EC4">
        <w:instrText xml:space="preserve"> ADDIN ZOTERO_ITEM CSL_CITATION {"citationID":"a22ausqbnf","properties":{"formattedCitation":"(Public Service Commission 2021)","plainCitation":"(Public Service Commission 2021)","noteIndex":0},"citationItems":[{"id":17031,"uris":["http://zotero.org/groups/4801058/items/ST94L8RX"],"itemData":{"id":17031,"type":"report","event-place":"Wellington","publisher":"Public Service Commission","publisher-place":"Wellington","title":"Te whakapakari i te hononga i waenga i te Māori me te Karauna: Strengthening the Māori Crown relationship","author":[{"family":"Public Service Commission","given":""}],"issued":{"date-parts":[["2021"]]}}}],"schema":"https://github.com/citation-style-language/schema/raw/master/csl-citation.json"} </w:instrText>
      </w:r>
      <w:r w:rsidRPr="00F543C1">
        <w:fldChar w:fldCharType="separate"/>
      </w:r>
      <w:r w:rsidRPr="00F543C1">
        <w:rPr>
          <w:rFonts w:cs="Calibri"/>
          <w:szCs w:val="24"/>
        </w:rPr>
        <w:t>(Public Service Commission 2021)</w:t>
      </w:r>
      <w:r w:rsidRPr="00F543C1">
        <w:fldChar w:fldCharType="end"/>
      </w:r>
      <w:r w:rsidRPr="00726346">
        <w:t>, there is still much more to be done:</w:t>
      </w:r>
    </w:p>
    <w:p w14:paraId="643DC5D8" w14:textId="27F88D8D" w:rsidR="00366E19" w:rsidRPr="00726346" w:rsidRDefault="00366E19" w:rsidP="00366E19">
      <w:pPr>
        <w:spacing w:before="120"/>
        <w:ind w:left="1276" w:right="425"/>
        <w:rPr>
          <w:iCs/>
          <w:color w:val="30353F"/>
        </w:rPr>
      </w:pPr>
      <w:r w:rsidRPr="00F543C1">
        <w:rPr>
          <w:i/>
          <w:color w:val="30353F"/>
        </w:rPr>
        <w:t xml:space="preserve">Participants felt that the current monitoring system fails to consider independent community voice and if it is to be a system that Māori value, there would need to be a valued place for the voices of whānau, </w:t>
      </w:r>
      <w:proofErr w:type="spellStart"/>
      <w:r w:rsidRPr="00F543C1">
        <w:rPr>
          <w:i/>
          <w:color w:val="30353F"/>
        </w:rPr>
        <w:t>rangatahi</w:t>
      </w:r>
      <w:proofErr w:type="spellEnd"/>
      <w:r w:rsidRPr="00F543C1">
        <w:rPr>
          <w:i/>
          <w:color w:val="30353F"/>
        </w:rPr>
        <w:t xml:space="preserve"> (youth), and kaumātua (elders) to be heard. Māori would also need to be involved in making the judgements on accountability and the appropriate forms of redress where accountability measures have not been met. In the absence of these perspectives and roles being validated through the monitoring system, participants felt that monitoring could not provide a ‘true and accurate’ evaluation of the public sector or hold the public sector to account for the things that really matter to Māori. </w:t>
      </w:r>
      <w:r w:rsidRPr="00F543C1">
        <w:rPr>
          <w:iCs/>
          <w:color w:val="30353F"/>
        </w:rPr>
        <w:fldChar w:fldCharType="begin"/>
      </w:r>
      <w:r w:rsidR="009B0EC4">
        <w:rPr>
          <w:iCs/>
          <w:color w:val="30353F"/>
        </w:rPr>
        <w:instrText xml:space="preserve"> ADDIN ZOTERO_ITEM CSL_CITATION {"citationID":"a2j96kg72u7","properties":{"formattedCitation":"(Haemata Limited 2022c, 19)","plainCitation":"(Haemata Limited 2022c, 19)","noteIndex":0},"citationItems":[{"id":17087,"uris":["http://zotero.org/groups/4801058/items/Q8YKW9QE"],"itemData":{"id":17087,"type":"article-journal","title":"Wānanga Feedback Report Prepared for Te Kōmihana Whai Hua o Aotearoa New Zealand Productivity Commission For the inquiry A Fair Chance for All: Breaking the Cycle of Persistent Disadvantage","author":[{"family":"Haemata Limited","given":""}],"issued":{"date-parts":[["2022"]]}},"locator":"19","label":"page"}],"schema":"https://github.com/citation-style-language/schema/raw/master/csl-citation.json"} </w:instrText>
      </w:r>
      <w:r w:rsidRPr="00F543C1">
        <w:rPr>
          <w:iCs/>
          <w:color w:val="30353F"/>
        </w:rPr>
        <w:fldChar w:fldCharType="separate"/>
      </w:r>
      <w:r w:rsidR="008C479E" w:rsidRPr="00F543C1">
        <w:rPr>
          <w:rFonts w:cs="Calibri"/>
        </w:rPr>
        <w:t>(Haemata Limited 2022c, 19)</w:t>
      </w:r>
      <w:r w:rsidRPr="00F543C1">
        <w:rPr>
          <w:iCs/>
          <w:color w:val="30353F"/>
        </w:rPr>
        <w:fldChar w:fldCharType="end"/>
      </w:r>
    </w:p>
    <w:p w14:paraId="30DBD646" w14:textId="203887C6" w:rsidR="00366E19" w:rsidRPr="00F543C1" w:rsidRDefault="00366E19" w:rsidP="00366E19">
      <w:pPr>
        <w:ind w:left="851"/>
      </w:pPr>
      <w:r w:rsidRPr="00F543C1">
        <w:t>As one participant commented, “We want to be at the top table, not just on the menu.” (</w:t>
      </w:r>
      <w:r w:rsidR="00070CBD">
        <w:t>i</w:t>
      </w:r>
      <w:r w:rsidRPr="00F543C1">
        <w:t>bid</w:t>
      </w:r>
      <w:r w:rsidR="007E3DA9">
        <w:t>.</w:t>
      </w:r>
      <w:r w:rsidRPr="00F543C1">
        <w:t>).</w:t>
      </w:r>
    </w:p>
    <w:p w14:paraId="7CB7F6FF" w14:textId="2A9C9289" w:rsidR="00366E19" w:rsidRPr="00F543C1" w:rsidRDefault="00A953DB" w:rsidP="00A953DB">
      <w:pPr>
        <w:ind w:left="851"/>
      </w:pPr>
      <w:r w:rsidRPr="00F543C1">
        <w:t xml:space="preserve">There </w:t>
      </w:r>
      <w:r w:rsidR="00F85592" w:rsidRPr="00F543C1">
        <w:t>is much that the</w:t>
      </w:r>
      <w:r w:rsidR="00E2535B" w:rsidRPr="00F543C1">
        <w:t xml:space="preserve"> Crown </w:t>
      </w:r>
      <w:r w:rsidR="00F85592" w:rsidRPr="00F543C1">
        <w:t xml:space="preserve">can learn </w:t>
      </w:r>
      <w:r w:rsidR="00555221" w:rsidRPr="00F543C1">
        <w:t xml:space="preserve">from </w:t>
      </w:r>
      <w:proofErr w:type="spellStart"/>
      <w:r w:rsidR="00555221" w:rsidRPr="00F543C1">
        <w:t>Te</w:t>
      </w:r>
      <w:proofErr w:type="spellEnd"/>
      <w:r w:rsidR="00555221" w:rsidRPr="00F543C1">
        <w:t xml:space="preserve"> Ao Māori approaches to accountability. </w:t>
      </w:r>
      <w:r w:rsidR="00DD2393" w:rsidRPr="00F543C1">
        <w:t xml:space="preserve">Foremost among these </w:t>
      </w:r>
      <w:r w:rsidR="00771F48" w:rsidRPr="00F543C1">
        <w:t>are lessons a</w:t>
      </w:r>
      <w:r w:rsidR="004C04F5" w:rsidRPr="00F543C1">
        <w:t>bout</w:t>
      </w:r>
      <w:r w:rsidR="00771F48" w:rsidRPr="00F543C1">
        <w:t xml:space="preserve"> </w:t>
      </w:r>
      <w:r w:rsidR="008E0A97" w:rsidRPr="00F543C1">
        <w:t xml:space="preserve">what it takes to </w:t>
      </w:r>
      <w:r w:rsidR="00771F48" w:rsidRPr="00F543C1">
        <w:t xml:space="preserve">build enduring trust and be a good partner. </w:t>
      </w:r>
      <w:r w:rsidR="00F46BF0" w:rsidRPr="00F543C1">
        <w:t xml:space="preserve">Tikanga Māori </w:t>
      </w:r>
      <w:r w:rsidR="00CC3D1B" w:rsidRPr="00F543C1">
        <w:t>requires taking</w:t>
      </w:r>
      <w:r w:rsidR="00A60FF2" w:rsidRPr="00F543C1">
        <w:t xml:space="preserve"> </w:t>
      </w:r>
      <w:r w:rsidR="00E9619D" w:rsidRPr="00F543C1">
        <w:t>a very</w:t>
      </w:r>
      <w:r w:rsidR="00A60FF2" w:rsidRPr="00F543C1">
        <w:t xml:space="preserve"> </w:t>
      </w:r>
      <w:r w:rsidR="00E9619D" w:rsidRPr="00F543C1">
        <w:t>long term</w:t>
      </w:r>
      <w:r w:rsidR="00A60FF2" w:rsidRPr="00F543C1">
        <w:t xml:space="preserve"> and deep view of </w:t>
      </w:r>
      <w:r w:rsidR="000D542E" w:rsidRPr="00F543C1">
        <w:t xml:space="preserve">accountability and </w:t>
      </w:r>
      <w:r w:rsidR="00A60FF2" w:rsidRPr="00F543C1">
        <w:t>trusted relationships</w:t>
      </w:r>
      <w:r w:rsidR="00E9619D" w:rsidRPr="00F543C1">
        <w:t xml:space="preserve">. </w:t>
      </w:r>
      <w:r w:rsidR="003C600C" w:rsidRPr="00F543C1">
        <w:t>There are no shortcuts</w:t>
      </w:r>
      <w:r w:rsidR="002272A4" w:rsidRPr="00F543C1">
        <w:t xml:space="preserve"> to </w:t>
      </w:r>
      <w:r w:rsidR="00194E84" w:rsidRPr="00F543C1">
        <w:t>tika and</w:t>
      </w:r>
      <w:r w:rsidR="00962787" w:rsidRPr="00F543C1">
        <w:t xml:space="preserve"> pono or </w:t>
      </w:r>
      <w:r w:rsidR="002272A4" w:rsidRPr="00F543C1">
        <w:t>becoming a good ancestor</w:t>
      </w:r>
      <w:r w:rsidR="00962787" w:rsidRPr="00F543C1">
        <w:t xml:space="preserve">. </w:t>
      </w:r>
    </w:p>
    <w:p w14:paraId="6A3A42D8" w14:textId="1460D216" w:rsidR="00F66382" w:rsidRPr="00726346" w:rsidRDefault="009C2488" w:rsidP="00366E19">
      <w:pPr>
        <w:ind w:left="851"/>
      </w:pPr>
      <w:r w:rsidRPr="00F543C1">
        <w:t>People from other cultures often share values expressed by Māori in relation to accountability</w:t>
      </w:r>
      <w:r w:rsidR="00366E19" w:rsidRPr="00F543C1">
        <w:t xml:space="preserve">. For example, </w:t>
      </w:r>
      <w:r w:rsidR="00B4532B" w:rsidRPr="00F543C1">
        <w:t>many</w:t>
      </w:r>
      <w:r w:rsidR="00366E19" w:rsidRPr="00F543C1">
        <w:t xml:space="preserve"> people living in Aotearoa with ancestors in Asia and </w:t>
      </w:r>
      <w:r w:rsidR="00366E19" w:rsidRPr="00F543C1">
        <w:lastRenderedPageBreak/>
        <w:t>the Pacific have cultures that also emphasise the importance of collective approaches to wellbeing.</w:t>
      </w:r>
      <w:r w:rsidR="008C323A" w:rsidRPr="00F543C1">
        <w:t xml:space="preserve"> </w:t>
      </w:r>
      <w:r w:rsidR="00F66382" w:rsidRPr="00F543C1">
        <w:t xml:space="preserve">Justice is </w:t>
      </w:r>
      <w:r w:rsidR="00550E3F" w:rsidRPr="00F543C1">
        <w:t xml:space="preserve">a </w:t>
      </w:r>
      <w:r w:rsidR="00F66382" w:rsidRPr="00F543C1">
        <w:t>universal</w:t>
      </w:r>
      <w:r w:rsidR="00550E3F" w:rsidRPr="00F543C1">
        <w:t xml:space="preserve"> right</w:t>
      </w:r>
      <w:r w:rsidR="00B25B11" w:rsidRPr="00F543C1">
        <w:t>.</w:t>
      </w:r>
      <w:r w:rsidR="00B25B11" w:rsidRPr="009006D7">
        <w:rPr>
          <w:rStyle w:val="FootnoteReference"/>
        </w:rPr>
        <w:footnoteReference w:id="139"/>
      </w:r>
    </w:p>
    <w:p w14:paraId="385EE71F" w14:textId="6A3CB2A6" w:rsidR="00043099" w:rsidRPr="00F543C1" w:rsidRDefault="00F25D21" w:rsidP="00366E19">
      <w:pPr>
        <w:ind w:left="851"/>
      </w:pPr>
      <w:r w:rsidRPr="00F543C1">
        <w:t>But t</w:t>
      </w:r>
      <w:r w:rsidR="00BE0F0F" w:rsidRPr="00F543C1">
        <w:t>here are also</w:t>
      </w:r>
      <w:r w:rsidR="007A7FBE" w:rsidRPr="00F543C1">
        <w:t xml:space="preserve"> much larger, and very</w:t>
      </w:r>
      <w:r w:rsidR="00BE0F0F" w:rsidRPr="00F543C1">
        <w:t xml:space="preserve"> complex </w:t>
      </w:r>
      <w:r w:rsidR="00281175" w:rsidRPr="00F543C1">
        <w:t>underlying</w:t>
      </w:r>
      <w:r w:rsidR="00BE0F0F" w:rsidRPr="00F543C1">
        <w:t xml:space="preserve"> issues that remain un</w:t>
      </w:r>
      <w:r w:rsidR="00D805BF" w:rsidRPr="00F543C1">
        <w:t>resolv</w:t>
      </w:r>
      <w:r w:rsidR="00BE0F0F" w:rsidRPr="00F543C1">
        <w:t xml:space="preserve">ed. </w:t>
      </w:r>
      <w:r w:rsidR="008014BF" w:rsidRPr="00F543C1">
        <w:t xml:space="preserve">Aotearoa </w:t>
      </w:r>
      <w:r w:rsidR="004F0AAB" w:rsidRPr="00F543C1">
        <w:t>New Zealand is a diverse country</w:t>
      </w:r>
      <w:r w:rsidR="004D1E96" w:rsidRPr="00F543C1">
        <w:t xml:space="preserve"> with a founding constitutional partnership between </w:t>
      </w:r>
      <w:r w:rsidR="00B03F4C" w:rsidRPr="00F543C1">
        <w:t xml:space="preserve">only two parties: </w:t>
      </w:r>
      <w:r w:rsidR="004D1E96" w:rsidRPr="00F543C1">
        <w:t>the Crown and iwi.</w:t>
      </w:r>
      <w:r w:rsidR="00251327" w:rsidRPr="009006D7">
        <w:rPr>
          <w:rStyle w:val="FootnoteReference"/>
        </w:rPr>
        <w:footnoteReference w:id="140"/>
      </w:r>
      <w:r w:rsidR="00DE79D3" w:rsidRPr="00726346">
        <w:t xml:space="preserve"> Many people experiencing </w:t>
      </w:r>
      <w:r w:rsidR="009F4FDB" w:rsidRPr="00F543C1">
        <w:t>persistent</w:t>
      </w:r>
      <w:r w:rsidR="00DE79D3" w:rsidRPr="00F543C1">
        <w:t xml:space="preserve"> disadvantage are neither Māori </w:t>
      </w:r>
      <w:r w:rsidR="0083582B" w:rsidRPr="00F543C1">
        <w:t>n</w:t>
      </w:r>
      <w:r w:rsidR="00DE79D3" w:rsidRPr="00F543C1">
        <w:t xml:space="preserve">or </w:t>
      </w:r>
      <w:r w:rsidR="009F4FDB" w:rsidRPr="00F543C1">
        <w:t>Pākehā.</w:t>
      </w:r>
      <w:r w:rsidR="00D906CD" w:rsidRPr="00F543C1">
        <w:t xml:space="preserve"> </w:t>
      </w:r>
      <w:r w:rsidR="00B0470E" w:rsidRPr="00F543C1">
        <w:t>H</w:t>
      </w:r>
      <w:r w:rsidR="00DF579A" w:rsidRPr="00F543C1">
        <w:t>onouring</w:t>
      </w:r>
      <w:r w:rsidR="005A7884" w:rsidRPr="00F543C1">
        <w:t xml:space="preserve"> </w:t>
      </w:r>
      <w:r w:rsidR="00BD5F21" w:rsidRPr="00F543C1">
        <w:t xml:space="preserve">a </w:t>
      </w:r>
      <w:r w:rsidR="008E7CF0" w:rsidRPr="00F543C1">
        <w:t xml:space="preserve">fundamentally </w:t>
      </w:r>
      <w:r w:rsidR="005A7884" w:rsidRPr="00F543C1">
        <w:t>bicultural constitution</w:t>
      </w:r>
      <w:r w:rsidR="008E7CF0" w:rsidRPr="00F543C1">
        <w:t xml:space="preserve">al </w:t>
      </w:r>
      <w:r w:rsidR="00BD5F21" w:rsidRPr="00F543C1">
        <w:t xml:space="preserve">agreement </w:t>
      </w:r>
      <w:r w:rsidR="003252DF" w:rsidRPr="00F543C1">
        <w:t xml:space="preserve">while </w:t>
      </w:r>
      <w:r w:rsidR="009C2488" w:rsidRPr="00F543C1">
        <w:t>meeting the needs of an increasingly multicultural society will not be easy</w:t>
      </w:r>
      <w:r w:rsidR="00441A7D" w:rsidRPr="00F543C1">
        <w:t xml:space="preserve">. </w:t>
      </w:r>
    </w:p>
    <w:p w14:paraId="2C506D6E" w14:textId="6F179BA4" w:rsidR="008D5064" w:rsidRPr="00F543C1" w:rsidRDefault="003C2E25" w:rsidP="007164D6">
      <w:pPr>
        <w:pStyle w:val="USBodyText"/>
      </w:pPr>
      <w:r w:rsidRPr="00F543C1">
        <w:t>We acknowledge that</w:t>
      </w:r>
      <w:r w:rsidR="002E6B05" w:rsidRPr="00F543C1">
        <w:t xml:space="preserve"> the Crown needs to do much</w:t>
      </w:r>
      <w:r w:rsidRPr="00F543C1">
        <w:t xml:space="preserve"> more to meet</w:t>
      </w:r>
      <w:r w:rsidR="002E6B05" w:rsidRPr="00F543C1">
        <w:t xml:space="preserve"> its</w:t>
      </w:r>
      <w:r w:rsidRPr="00F543C1">
        <w:t xml:space="preserve"> obligations under </w:t>
      </w:r>
      <w:proofErr w:type="spellStart"/>
      <w:r w:rsidRPr="00F543C1">
        <w:t>Te</w:t>
      </w:r>
      <w:proofErr w:type="spellEnd"/>
      <w:r w:rsidRPr="00F543C1">
        <w:t xml:space="preserve"> </w:t>
      </w:r>
      <w:proofErr w:type="spellStart"/>
      <w:r w:rsidRPr="00F543C1">
        <w:t>Tiriti</w:t>
      </w:r>
      <w:proofErr w:type="spellEnd"/>
      <w:r w:rsidRPr="00F543C1">
        <w:t xml:space="preserve"> o Waitangi and</w:t>
      </w:r>
      <w:r w:rsidR="002E6B05" w:rsidRPr="00F543C1">
        <w:t xml:space="preserve"> </w:t>
      </w:r>
      <w:r w:rsidR="007164D6" w:rsidRPr="00F543C1">
        <w:t>rebuild trust with</w:t>
      </w:r>
      <w:r w:rsidR="00DC5490" w:rsidRPr="00F543C1">
        <w:t xml:space="preserve"> hapū, iwi and Māori. </w:t>
      </w:r>
    </w:p>
    <w:p w14:paraId="00DE86A0" w14:textId="1C020932" w:rsidR="00DC5490" w:rsidRPr="00F543C1" w:rsidRDefault="00DC5490" w:rsidP="00DC5490">
      <w:pPr>
        <w:pStyle w:val="USBodyText"/>
      </w:pPr>
      <w:r w:rsidRPr="00F543C1">
        <w:t xml:space="preserve">Having Māori exercise </w:t>
      </w:r>
      <w:proofErr w:type="spellStart"/>
      <w:r w:rsidRPr="00F543C1">
        <w:t>tino</w:t>
      </w:r>
      <w:proofErr w:type="spellEnd"/>
      <w:r w:rsidRPr="00F543C1">
        <w:t xml:space="preserve"> rangatiratanga and the Crown exercise kāwanatanga together </w:t>
      </w:r>
      <w:r w:rsidR="00FD5FF2" w:rsidRPr="00F543C1">
        <w:t>i</w:t>
      </w:r>
      <w:r w:rsidRPr="00F543C1">
        <w:t xml:space="preserve">s </w:t>
      </w:r>
      <w:r w:rsidR="00E670AF" w:rsidRPr="00F543C1">
        <w:t>essential to</w:t>
      </w:r>
      <w:r w:rsidRPr="00F543C1">
        <w:t xml:space="preserve"> rebuilding the relationship</w:t>
      </w:r>
      <w:r w:rsidR="00FD5FF2" w:rsidRPr="00F543C1">
        <w:t xml:space="preserve"> between the Treaty partners</w:t>
      </w:r>
      <w:r w:rsidRPr="00F543C1">
        <w:t xml:space="preserve"> and</w:t>
      </w:r>
      <w:r w:rsidR="00EE62B1" w:rsidRPr="00F543C1">
        <w:t xml:space="preserve"> </w:t>
      </w:r>
      <w:r w:rsidRPr="00F543C1">
        <w:t>increas</w:t>
      </w:r>
      <w:r w:rsidR="00FD5FF2" w:rsidRPr="00F543C1">
        <w:t>ing</w:t>
      </w:r>
      <w:r w:rsidRPr="00F543C1">
        <w:t xml:space="preserve"> </w:t>
      </w:r>
      <w:r w:rsidR="00725B2A" w:rsidRPr="00F543C1">
        <w:t xml:space="preserve">overall </w:t>
      </w:r>
      <w:r w:rsidRPr="00F543C1">
        <w:t xml:space="preserve">wellbeing in Aotearoa. </w:t>
      </w:r>
      <w:r w:rsidR="00725B2A" w:rsidRPr="00F543C1">
        <w:t xml:space="preserve">While this remains a work in progress, addressing persistent disadvantage will need to incorporate additional elements to ensure </w:t>
      </w:r>
      <w:r w:rsidR="006C2A53">
        <w:t>Māori</w:t>
      </w:r>
      <w:r w:rsidR="000351CD">
        <w:t xml:space="preserve"> can ex</w:t>
      </w:r>
      <w:r w:rsidR="00CB41D6">
        <w:t>ercise their constitutional rights</w:t>
      </w:r>
      <w:r w:rsidR="00602F19">
        <w:t>.</w:t>
      </w:r>
      <w:r w:rsidR="0021575A" w:rsidRPr="00F543C1">
        <w:t xml:space="preserve"> </w:t>
      </w:r>
    </w:p>
    <w:p w14:paraId="59CF666D" w14:textId="77777777" w:rsidR="00FC3B27" w:rsidRDefault="00DC5490" w:rsidP="00FC3B27">
      <w:pPr>
        <w:pStyle w:val="USBodyText"/>
      </w:pPr>
      <w:r w:rsidRPr="00F543C1">
        <w:t xml:space="preserve">How this partnership </w:t>
      </w:r>
      <w:r w:rsidR="009C2488" w:rsidRPr="00F543C1">
        <w:t>addresse</w:t>
      </w:r>
      <w:r w:rsidRPr="00F543C1">
        <w:t xml:space="preserve">s long-neglected issues around </w:t>
      </w:r>
      <w:proofErr w:type="spellStart"/>
      <w:r w:rsidRPr="00F543C1">
        <w:t>Te</w:t>
      </w:r>
      <w:proofErr w:type="spellEnd"/>
      <w:r w:rsidRPr="00F543C1">
        <w:t xml:space="preserve"> </w:t>
      </w:r>
      <w:proofErr w:type="spellStart"/>
      <w:r w:rsidRPr="00F543C1">
        <w:t>Tiriti</w:t>
      </w:r>
      <w:proofErr w:type="spellEnd"/>
      <w:r w:rsidRPr="00F543C1">
        <w:t xml:space="preserve"> and </w:t>
      </w:r>
      <w:r w:rsidR="00880B6D" w:rsidRPr="00F543C1">
        <w:t>persistent disadvantage</w:t>
      </w:r>
      <w:r w:rsidRPr="00F543C1">
        <w:t xml:space="preserve"> – be it via hearings of the Waitangi Tribunal, </w:t>
      </w:r>
      <w:proofErr w:type="gramStart"/>
      <w:r w:rsidRPr="00F543C1">
        <w:t>hui</w:t>
      </w:r>
      <w:proofErr w:type="gramEnd"/>
      <w:r w:rsidRPr="00F543C1">
        <w:t xml:space="preserve"> or some other form of conversation between the partners – is for Māori to decide.</w:t>
      </w:r>
      <w:r w:rsidR="00880B6D" w:rsidRPr="00F543C1">
        <w:t xml:space="preserve"> </w:t>
      </w:r>
      <w:bookmarkStart w:id="164" w:name="_Ref125634580"/>
      <w:bookmarkStart w:id="165" w:name="_Toc126092120"/>
    </w:p>
    <w:p w14:paraId="2EA0D7A6" w14:textId="0D859C71" w:rsidR="00FA12B5" w:rsidRPr="00F543C1" w:rsidRDefault="00FA12B5" w:rsidP="005276B3">
      <w:pPr>
        <w:pStyle w:val="Heading2"/>
      </w:pPr>
      <w:bookmarkStart w:id="166" w:name="_Ref126749572"/>
      <w:bookmarkStart w:id="167" w:name="_Toc126841216"/>
      <w:r w:rsidRPr="00F543C1">
        <w:t>The formal accountability system in Aotearoa New Zealand</w:t>
      </w:r>
      <w:bookmarkEnd w:id="163"/>
      <w:bookmarkEnd w:id="164"/>
      <w:bookmarkEnd w:id="165"/>
      <w:bookmarkEnd w:id="166"/>
      <w:bookmarkEnd w:id="167"/>
    </w:p>
    <w:p w14:paraId="6B7DD524" w14:textId="43DBA3C2" w:rsidR="00FA12B5" w:rsidRPr="00F543C1" w:rsidRDefault="00FA12B5" w:rsidP="00FA12B5">
      <w:pPr>
        <w:ind w:left="851"/>
      </w:pPr>
      <w:r w:rsidRPr="00F543C1">
        <w:t>In New Zealand, central government operates within what</w:t>
      </w:r>
      <w:r w:rsidR="009C2488" w:rsidRPr="00F543C1">
        <w:t>,</w:t>
      </w:r>
      <w:r w:rsidRPr="00F543C1">
        <w:t xml:space="preserve"> at first sight</w:t>
      </w:r>
      <w:r w:rsidR="009C2488" w:rsidRPr="00F543C1">
        <w:t>,</w:t>
      </w:r>
      <w:r w:rsidRPr="00F543C1">
        <w:t xml:space="preserve"> can appear to be a complex, </w:t>
      </w:r>
      <w:proofErr w:type="gramStart"/>
      <w:r w:rsidRPr="00F543C1">
        <w:t>comprehensive</w:t>
      </w:r>
      <w:proofErr w:type="gramEnd"/>
      <w:r w:rsidRPr="00F543C1">
        <w:t xml:space="preserve"> and sophisticated formal public accountability system.</w:t>
      </w:r>
      <w:r w:rsidRPr="009006D7">
        <w:rPr>
          <w:rStyle w:val="FootnoteReference"/>
        </w:rPr>
        <w:footnoteReference w:id="141"/>
      </w:r>
      <w:r w:rsidRPr="00726346">
        <w:t xml:space="preserve"> </w:t>
      </w:r>
    </w:p>
    <w:p w14:paraId="140C88C9" w14:textId="40702A24" w:rsidR="00543888" w:rsidRPr="00F543C1" w:rsidRDefault="00543888" w:rsidP="00CB4B82">
      <w:pPr>
        <w:pStyle w:val="USBodyText"/>
      </w:pPr>
      <w:r w:rsidRPr="00F543C1">
        <w:t>In</w:t>
      </w:r>
      <w:r w:rsidR="00AD08D3">
        <w:t xml:space="preserve"> </w:t>
      </w:r>
      <w:r w:rsidR="00CB4B82">
        <w:fldChar w:fldCharType="begin"/>
      </w:r>
      <w:r w:rsidR="00CB4B82">
        <w:instrText xml:space="preserve"> REF _Ref126744455 \h </w:instrText>
      </w:r>
      <w:r w:rsidR="00CB4B82">
        <w:fldChar w:fldCharType="separate"/>
      </w:r>
      <w:r w:rsidR="00E06351" w:rsidRPr="00F543C1">
        <w:t xml:space="preserve">Table </w:t>
      </w:r>
      <w:r w:rsidR="00E06351">
        <w:rPr>
          <w:noProof/>
        </w:rPr>
        <w:t>5</w:t>
      </w:r>
      <w:r w:rsidR="00CB4B82">
        <w:fldChar w:fldCharType="end"/>
      </w:r>
      <w:r w:rsidRPr="00726346">
        <w:t>, we outli</w:t>
      </w:r>
      <w:r w:rsidRPr="00F543C1">
        <w:t xml:space="preserve">ne the current accountability mechanisms that apply to government departments in New Zealand. </w:t>
      </w:r>
      <w:r w:rsidR="001A7554" w:rsidRPr="00F543C1">
        <w:t>T</w:t>
      </w:r>
      <w:r w:rsidRPr="00F543C1">
        <w:t xml:space="preserve">hese mechanisms include </w:t>
      </w:r>
      <w:r w:rsidR="008267E2" w:rsidRPr="00F543C1">
        <w:t>all</w:t>
      </w:r>
      <w:r w:rsidRPr="00F543C1">
        <w:t xml:space="preserve"> the types of accountability mechanism</w:t>
      </w:r>
      <w:r w:rsidR="001A7554" w:rsidRPr="00F543C1">
        <w:t>s</w:t>
      </w:r>
      <w:r w:rsidRPr="00F543C1">
        <w:t xml:space="preserve"> found in the literature</w:t>
      </w:r>
      <w:r w:rsidR="00D741C4" w:rsidRPr="00F543C1">
        <w:t xml:space="preserve"> (democratic, </w:t>
      </w:r>
      <w:proofErr w:type="gramStart"/>
      <w:r w:rsidR="008F488E" w:rsidRPr="00F543C1">
        <w:t>constitutional</w:t>
      </w:r>
      <w:proofErr w:type="gramEnd"/>
      <w:r w:rsidR="008F488E" w:rsidRPr="00F543C1">
        <w:t xml:space="preserve"> and learning)</w:t>
      </w:r>
      <w:r w:rsidRPr="00F543C1">
        <w:t xml:space="preserve">. In that sense, there are few gaps in the current New Zealand accountability system at the level of available mechanisms. As we discuss further below, however, it is how those mechanisms </w:t>
      </w:r>
      <w:r w:rsidR="00702E45" w:rsidRPr="00F543C1">
        <w:t>are</w:t>
      </w:r>
      <w:r w:rsidRPr="00F543C1">
        <w:t xml:space="preserve"> used that is important.</w:t>
      </w:r>
    </w:p>
    <w:p w14:paraId="170AB5FD" w14:textId="77777777" w:rsidR="00D37873" w:rsidRDefault="00D37873">
      <w:pPr>
        <w:spacing w:after="160" w:line="259" w:lineRule="auto"/>
        <w:rPr>
          <w:b/>
          <w:iCs/>
          <w:color w:val="0094C5"/>
          <w:sz w:val="24"/>
          <w:szCs w:val="18"/>
        </w:rPr>
      </w:pPr>
      <w:bookmarkStart w:id="168" w:name="_Ref124883371"/>
      <w:r>
        <w:br w:type="page"/>
      </w:r>
    </w:p>
    <w:p w14:paraId="3FE85134" w14:textId="38A32C05" w:rsidR="00543888" w:rsidRPr="00F543C1" w:rsidRDefault="00543888" w:rsidP="002A3C8A">
      <w:pPr>
        <w:pStyle w:val="TableCaption"/>
      </w:pPr>
      <w:bookmarkStart w:id="169" w:name="_Ref126744455"/>
      <w:bookmarkStart w:id="170" w:name="_Toc126841249"/>
      <w:r w:rsidRPr="00F543C1">
        <w:lastRenderedPageBreak/>
        <w:t xml:space="preserve">Table </w:t>
      </w:r>
      <w:r w:rsidRPr="00F543C1">
        <w:fldChar w:fldCharType="begin"/>
      </w:r>
      <w:r w:rsidRPr="00F543C1">
        <w:instrText>SEQ Table \* ARABIC</w:instrText>
      </w:r>
      <w:r w:rsidRPr="00F543C1">
        <w:fldChar w:fldCharType="separate"/>
      </w:r>
      <w:r w:rsidR="00E06351">
        <w:rPr>
          <w:noProof/>
        </w:rPr>
        <w:t>5</w:t>
      </w:r>
      <w:r w:rsidRPr="00F543C1">
        <w:fldChar w:fldCharType="end"/>
      </w:r>
      <w:bookmarkEnd w:id="168"/>
      <w:bookmarkEnd w:id="169"/>
      <w:r w:rsidRPr="00726346">
        <w:t xml:space="preserve"> The accountability </w:t>
      </w:r>
      <w:r w:rsidR="00D70BED">
        <w:t>of</w:t>
      </w:r>
      <w:r w:rsidR="008C323A" w:rsidRPr="00F543C1">
        <w:t xml:space="preserve"> government departments</w:t>
      </w:r>
      <w:bookmarkEnd w:id="170"/>
    </w:p>
    <w:p w14:paraId="4E7FFBA0" w14:textId="5D71996E" w:rsidR="00543888" w:rsidRPr="00F543C1" w:rsidRDefault="00543888" w:rsidP="00543888">
      <w:pPr>
        <w:keepNext/>
        <w:spacing w:line="220" w:lineRule="atLeast"/>
        <w:ind w:left="851"/>
        <w:rPr>
          <w:sz w:val="18"/>
          <w:szCs w:val="18"/>
        </w:rPr>
      </w:pPr>
    </w:p>
    <w:tbl>
      <w:tblPr>
        <w:tblStyle w:val="TableDefault"/>
        <w:tblW w:w="7229" w:type="dxa"/>
        <w:tblInd w:w="841"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460" w:firstRow="1" w:lastRow="1" w:firstColumn="0" w:lastColumn="0" w:noHBand="0" w:noVBand="1"/>
      </w:tblPr>
      <w:tblGrid>
        <w:gridCol w:w="3614"/>
        <w:gridCol w:w="3615"/>
      </w:tblGrid>
      <w:tr w:rsidR="00543888" w:rsidRPr="00F543C1" w14:paraId="00B84071" w14:textId="77777777" w:rsidTr="009C2488">
        <w:trPr>
          <w:cnfStyle w:val="100000000000" w:firstRow="1" w:lastRow="0" w:firstColumn="0" w:lastColumn="0" w:oddVBand="0" w:evenVBand="0" w:oddHBand="0" w:evenHBand="0" w:firstRowFirstColumn="0" w:firstRowLastColumn="0" w:lastRowFirstColumn="0" w:lastRowLastColumn="0"/>
        </w:trPr>
        <w:tc>
          <w:tcPr>
            <w:tcW w:w="2500" w:type="pct"/>
          </w:tcPr>
          <w:p w14:paraId="1EE50AC2" w14:textId="009B3827" w:rsidR="00543888" w:rsidRPr="00F543C1" w:rsidRDefault="008C323A" w:rsidP="00182528">
            <w:pPr>
              <w:keepNext/>
              <w:keepLines/>
              <w:spacing w:before="80" w:after="80" w:line="220" w:lineRule="atLeast"/>
              <w:rPr>
                <w:b/>
                <w:color w:val="FFFFFF"/>
                <w:sz w:val="18"/>
              </w:rPr>
            </w:pPr>
            <w:r w:rsidRPr="00F543C1">
              <w:rPr>
                <w:b/>
                <w:color w:val="FFFFFF"/>
                <w:sz w:val="18"/>
              </w:rPr>
              <w:t>Aspect</w:t>
            </w:r>
          </w:p>
        </w:tc>
        <w:tc>
          <w:tcPr>
            <w:tcW w:w="2500" w:type="pct"/>
          </w:tcPr>
          <w:p w14:paraId="53DA81F4" w14:textId="77777777" w:rsidR="00543888" w:rsidRPr="00F543C1" w:rsidRDefault="00543888" w:rsidP="00182528">
            <w:pPr>
              <w:keepNext/>
              <w:keepLines/>
              <w:spacing w:before="80" w:after="80" w:line="220" w:lineRule="atLeast"/>
              <w:rPr>
                <w:b/>
                <w:color w:val="FFFFFF"/>
                <w:sz w:val="18"/>
              </w:rPr>
            </w:pPr>
            <w:r w:rsidRPr="00F543C1">
              <w:rPr>
                <w:b/>
                <w:color w:val="FFFFFF"/>
                <w:sz w:val="18"/>
              </w:rPr>
              <w:t>Description</w:t>
            </w:r>
          </w:p>
        </w:tc>
      </w:tr>
      <w:tr w:rsidR="00543888" w:rsidRPr="00F543C1" w14:paraId="49FA5168" w14:textId="77777777" w:rsidTr="009C2488">
        <w:tc>
          <w:tcPr>
            <w:tcW w:w="2500" w:type="pct"/>
          </w:tcPr>
          <w:p w14:paraId="378CD783" w14:textId="77777777" w:rsidR="00543888" w:rsidRPr="00F543C1" w:rsidRDefault="00543888" w:rsidP="00182528">
            <w:pPr>
              <w:spacing w:before="60" w:after="60" w:line="220" w:lineRule="atLeast"/>
              <w:rPr>
                <w:sz w:val="18"/>
              </w:rPr>
            </w:pPr>
            <w:proofErr w:type="spellStart"/>
            <w:r w:rsidRPr="00F543C1">
              <w:rPr>
                <w:sz w:val="18"/>
              </w:rPr>
              <w:t>Te</w:t>
            </w:r>
            <w:proofErr w:type="spellEnd"/>
            <w:r w:rsidRPr="00F543C1">
              <w:rPr>
                <w:sz w:val="18"/>
              </w:rPr>
              <w:t xml:space="preserve"> </w:t>
            </w:r>
            <w:proofErr w:type="spellStart"/>
            <w:r w:rsidRPr="00F543C1">
              <w:rPr>
                <w:sz w:val="18"/>
              </w:rPr>
              <w:t>Tiriti</w:t>
            </w:r>
            <w:proofErr w:type="spellEnd"/>
            <w:r w:rsidRPr="00F543C1">
              <w:rPr>
                <w:sz w:val="18"/>
              </w:rPr>
              <w:t xml:space="preserve"> o Waitangi</w:t>
            </w:r>
          </w:p>
        </w:tc>
        <w:tc>
          <w:tcPr>
            <w:tcW w:w="2500" w:type="pct"/>
          </w:tcPr>
          <w:p w14:paraId="313499BA" w14:textId="207E2352" w:rsidR="00543888" w:rsidRPr="00F543C1" w:rsidRDefault="00543888" w:rsidP="00182528">
            <w:pPr>
              <w:spacing w:before="60" w:after="60" w:line="220" w:lineRule="atLeast"/>
              <w:rPr>
                <w:sz w:val="18"/>
              </w:rPr>
            </w:pPr>
            <w:r w:rsidRPr="00F543C1">
              <w:rPr>
                <w:sz w:val="18"/>
              </w:rPr>
              <w:t xml:space="preserve">Implicitly the ‘founding constitutional document’ for Aotearoa New Zealand, but application in practice </w:t>
            </w:r>
            <w:r w:rsidR="00A20D7E" w:rsidRPr="00F543C1">
              <w:rPr>
                <w:sz w:val="18"/>
              </w:rPr>
              <w:t xml:space="preserve">(at least </w:t>
            </w:r>
            <w:r w:rsidR="00B7345A" w:rsidRPr="00F543C1">
              <w:rPr>
                <w:sz w:val="18"/>
              </w:rPr>
              <w:t xml:space="preserve">by </w:t>
            </w:r>
            <w:r w:rsidR="00A20D7E" w:rsidRPr="00F543C1">
              <w:rPr>
                <w:sz w:val="18"/>
              </w:rPr>
              <w:t xml:space="preserve">the Crown) </w:t>
            </w:r>
            <w:r w:rsidRPr="00F543C1">
              <w:rPr>
                <w:sz w:val="18"/>
              </w:rPr>
              <w:t>is at best partial.</w:t>
            </w:r>
          </w:p>
        </w:tc>
      </w:tr>
      <w:tr w:rsidR="00543888" w:rsidRPr="00F543C1" w14:paraId="65CA53C2" w14:textId="77777777" w:rsidTr="009C2488">
        <w:trPr>
          <w:cnfStyle w:val="000000010000" w:firstRow="0" w:lastRow="0" w:firstColumn="0" w:lastColumn="0" w:oddVBand="0" w:evenVBand="0" w:oddHBand="0" w:evenHBand="1" w:firstRowFirstColumn="0" w:firstRowLastColumn="0" w:lastRowFirstColumn="0" w:lastRowLastColumn="0"/>
        </w:trPr>
        <w:tc>
          <w:tcPr>
            <w:tcW w:w="2500" w:type="pct"/>
          </w:tcPr>
          <w:p w14:paraId="2311DEA5" w14:textId="4BCF2BA8" w:rsidR="00543888" w:rsidRPr="00F543C1" w:rsidRDefault="005A5993" w:rsidP="00182528">
            <w:pPr>
              <w:spacing w:before="60" w:after="60" w:line="220" w:lineRule="atLeast"/>
              <w:rPr>
                <w:sz w:val="18"/>
              </w:rPr>
            </w:pPr>
            <w:r w:rsidRPr="00F543C1">
              <w:rPr>
                <w:sz w:val="18"/>
              </w:rPr>
              <w:t>Means of establishment</w:t>
            </w:r>
          </w:p>
        </w:tc>
        <w:tc>
          <w:tcPr>
            <w:tcW w:w="2500" w:type="pct"/>
          </w:tcPr>
          <w:p w14:paraId="7F972DF0" w14:textId="77777777" w:rsidR="00543888" w:rsidRPr="00726346" w:rsidRDefault="00543888" w:rsidP="00182528">
            <w:pPr>
              <w:spacing w:before="60" w:after="60" w:line="220" w:lineRule="atLeast"/>
              <w:rPr>
                <w:sz w:val="18"/>
              </w:rPr>
            </w:pPr>
            <w:r w:rsidRPr="00F543C1">
              <w:rPr>
                <w:sz w:val="18"/>
              </w:rPr>
              <w:t>Public Service Act</w:t>
            </w:r>
            <w:r w:rsidRPr="009006D7">
              <w:rPr>
                <w:rStyle w:val="FootnoteReference"/>
              </w:rPr>
              <w:footnoteReference w:id="142"/>
            </w:r>
          </w:p>
        </w:tc>
      </w:tr>
      <w:tr w:rsidR="00543888" w:rsidRPr="00F543C1" w14:paraId="6EA6743E" w14:textId="77777777" w:rsidTr="009C2488">
        <w:tc>
          <w:tcPr>
            <w:tcW w:w="2500" w:type="pct"/>
          </w:tcPr>
          <w:p w14:paraId="1DFC382F" w14:textId="77777777" w:rsidR="00543888" w:rsidRPr="00F543C1" w:rsidRDefault="00543888" w:rsidP="00182528">
            <w:pPr>
              <w:spacing w:before="60" w:after="60" w:line="220" w:lineRule="atLeast"/>
              <w:rPr>
                <w:sz w:val="18"/>
              </w:rPr>
            </w:pPr>
            <w:r w:rsidRPr="00F543C1">
              <w:rPr>
                <w:sz w:val="18"/>
              </w:rPr>
              <w:t>Basic disclosure of operations</w:t>
            </w:r>
          </w:p>
        </w:tc>
        <w:tc>
          <w:tcPr>
            <w:tcW w:w="2500" w:type="pct"/>
          </w:tcPr>
          <w:p w14:paraId="70041C77" w14:textId="77777777" w:rsidR="00543888" w:rsidRPr="00F543C1" w:rsidRDefault="00543888" w:rsidP="00182528">
            <w:pPr>
              <w:spacing w:before="60" w:after="60" w:line="220" w:lineRule="atLeast"/>
              <w:rPr>
                <w:sz w:val="18"/>
              </w:rPr>
            </w:pPr>
            <w:r w:rsidRPr="00F543C1">
              <w:rPr>
                <w:sz w:val="18"/>
              </w:rPr>
              <w:t>The Public Finance Act requires departments to prepare an annual report ‘on the operations of the department’.</w:t>
            </w:r>
          </w:p>
          <w:p w14:paraId="68C506AD" w14:textId="77777777" w:rsidR="00543888" w:rsidRPr="00726346" w:rsidRDefault="00543888" w:rsidP="00182528">
            <w:pPr>
              <w:spacing w:before="60" w:after="60" w:line="220" w:lineRule="atLeast"/>
              <w:rPr>
                <w:i/>
                <w:iCs/>
                <w:sz w:val="18"/>
              </w:rPr>
            </w:pPr>
            <w:r w:rsidRPr="00F543C1">
              <w:rPr>
                <w:i/>
                <w:iCs/>
                <w:sz w:val="18"/>
              </w:rPr>
              <w:t xml:space="preserve">The annual report of a department must provide the information that is necessary to enable an informed assessment to be made of the department’s performance during the financial year, including how well the department is managing the resources it controls. </w:t>
            </w:r>
            <w:r w:rsidRPr="00F543C1">
              <w:rPr>
                <w:sz w:val="18"/>
              </w:rPr>
              <w:t>(Public Finance Act, Section 45).</w:t>
            </w:r>
            <w:r w:rsidRPr="009006D7">
              <w:rPr>
                <w:rStyle w:val="FootnoteReference"/>
              </w:rPr>
              <w:footnoteReference w:id="143"/>
            </w:r>
          </w:p>
          <w:p w14:paraId="699E0804" w14:textId="138A7C43" w:rsidR="00543888" w:rsidRPr="00726346" w:rsidRDefault="00543888" w:rsidP="00182528">
            <w:pPr>
              <w:spacing w:before="60" w:after="60" w:line="220" w:lineRule="atLeast"/>
              <w:rPr>
                <w:sz w:val="18"/>
              </w:rPr>
            </w:pPr>
            <w:r w:rsidRPr="00F543C1">
              <w:rPr>
                <w:sz w:val="18"/>
              </w:rPr>
              <w:t>Annual reports must be presented to Parliament and made public. Departments routinely publish their annual reports and other governance documents on their websites</w:t>
            </w:r>
            <w:r w:rsidR="0067525B" w:rsidRPr="00F543C1">
              <w:rPr>
                <w:sz w:val="18"/>
              </w:rPr>
              <w:t xml:space="preserve"> and are questioned about them at Select Committee hearings</w:t>
            </w:r>
            <w:r w:rsidRPr="00F543C1">
              <w:rPr>
                <w:sz w:val="18"/>
              </w:rPr>
              <w:t>.</w:t>
            </w:r>
            <w:r w:rsidRPr="009006D7">
              <w:rPr>
                <w:rStyle w:val="FootnoteReference"/>
              </w:rPr>
              <w:footnoteReference w:id="144"/>
            </w:r>
          </w:p>
        </w:tc>
      </w:tr>
      <w:tr w:rsidR="00543888" w:rsidRPr="00F543C1" w14:paraId="093EAAB3" w14:textId="77777777" w:rsidTr="009C2488">
        <w:trPr>
          <w:cnfStyle w:val="000000010000" w:firstRow="0" w:lastRow="0" w:firstColumn="0" w:lastColumn="0" w:oddVBand="0" w:evenVBand="0" w:oddHBand="0" w:evenHBand="1" w:firstRowFirstColumn="0" w:firstRowLastColumn="0" w:lastRowFirstColumn="0" w:lastRowLastColumn="0"/>
        </w:trPr>
        <w:tc>
          <w:tcPr>
            <w:tcW w:w="2500" w:type="pct"/>
          </w:tcPr>
          <w:p w14:paraId="02C652DB" w14:textId="77777777" w:rsidR="00543888" w:rsidRPr="00F543C1" w:rsidRDefault="00543888" w:rsidP="00182528">
            <w:pPr>
              <w:spacing w:before="60" w:after="60" w:line="220" w:lineRule="atLeast"/>
              <w:rPr>
                <w:sz w:val="18"/>
              </w:rPr>
            </w:pPr>
            <w:r w:rsidRPr="00F543C1">
              <w:rPr>
                <w:sz w:val="18"/>
              </w:rPr>
              <w:t>Financial disclosure</w:t>
            </w:r>
          </w:p>
        </w:tc>
        <w:tc>
          <w:tcPr>
            <w:tcW w:w="2500" w:type="pct"/>
          </w:tcPr>
          <w:p w14:paraId="0D65576E" w14:textId="77777777" w:rsidR="00543888" w:rsidRPr="00F543C1" w:rsidRDefault="00543888" w:rsidP="00182528">
            <w:pPr>
              <w:spacing w:before="60" w:after="60" w:line="220" w:lineRule="atLeast"/>
              <w:rPr>
                <w:sz w:val="18"/>
              </w:rPr>
            </w:pPr>
            <w:r w:rsidRPr="00F543C1">
              <w:rPr>
                <w:sz w:val="18"/>
              </w:rPr>
              <w:t>Public Finance Act</w:t>
            </w:r>
          </w:p>
          <w:p w14:paraId="03D7CF77" w14:textId="77777777" w:rsidR="00543888" w:rsidRPr="00F543C1" w:rsidRDefault="00543888" w:rsidP="00182528">
            <w:pPr>
              <w:spacing w:before="60" w:after="60" w:line="220" w:lineRule="atLeast"/>
              <w:rPr>
                <w:sz w:val="18"/>
              </w:rPr>
            </w:pPr>
            <w:r w:rsidRPr="00F543C1">
              <w:rPr>
                <w:sz w:val="18"/>
              </w:rPr>
              <w:t xml:space="preserve">Departments’ annual reports must include audited financial statements. </w:t>
            </w:r>
          </w:p>
        </w:tc>
      </w:tr>
      <w:tr w:rsidR="00543888" w:rsidRPr="00F543C1" w14:paraId="529267B4" w14:textId="77777777" w:rsidTr="009C2488">
        <w:tc>
          <w:tcPr>
            <w:tcW w:w="2500" w:type="pct"/>
          </w:tcPr>
          <w:p w14:paraId="44275DC8" w14:textId="77777777" w:rsidR="00543888" w:rsidRPr="00F543C1" w:rsidRDefault="00543888" w:rsidP="00182528">
            <w:pPr>
              <w:spacing w:before="60" w:after="60" w:line="220" w:lineRule="atLeast"/>
              <w:rPr>
                <w:sz w:val="18"/>
              </w:rPr>
            </w:pPr>
            <w:r w:rsidRPr="00F543C1">
              <w:rPr>
                <w:sz w:val="18"/>
              </w:rPr>
              <w:t>External audit and review</w:t>
            </w:r>
          </w:p>
        </w:tc>
        <w:tc>
          <w:tcPr>
            <w:tcW w:w="2500" w:type="pct"/>
          </w:tcPr>
          <w:p w14:paraId="3545A9CF" w14:textId="77777777" w:rsidR="00543888" w:rsidRPr="00F543C1" w:rsidRDefault="00543888" w:rsidP="00182528">
            <w:pPr>
              <w:spacing w:before="60" w:after="60" w:line="220" w:lineRule="atLeast"/>
              <w:rPr>
                <w:sz w:val="18"/>
              </w:rPr>
            </w:pPr>
            <w:r w:rsidRPr="00F543C1">
              <w:rPr>
                <w:sz w:val="18"/>
              </w:rPr>
              <w:t>Public Finance Act</w:t>
            </w:r>
          </w:p>
          <w:p w14:paraId="4C90301B" w14:textId="77777777" w:rsidR="00543888" w:rsidRPr="00F543C1" w:rsidRDefault="00543888" w:rsidP="00182528">
            <w:pPr>
              <w:spacing w:before="60" w:after="60" w:line="220" w:lineRule="atLeast"/>
              <w:rPr>
                <w:sz w:val="18"/>
              </w:rPr>
            </w:pPr>
            <w:r w:rsidRPr="00F543C1">
              <w:rPr>
                <w:sz w:val="18"/>
              </w:rPr>
              <w:t>Public Audit Act</w:t>
            </w:r>
          </w:p>
        </w:tc>
      </w:tr>
      <w:tr w:rsidR="00543888" w:rsidRPr="00F543C1" w14:paraId="409C18B6" w14:textId="77777777" w:rsidTr="009C2488">
        <w:trPr>
          <w:cnfStyle w:val="000000010000" w:firstRow="0" w:lastRow="0" w:firstColumn="0" w:lastColumn="0" w:oddVBand="0" w:evenVBand="0" w:oddHBand="0" w:evenHBand="1" w:firstRowFirstColumn="0" w:firstRowLastColumn="0" w:lastRowFirstColumn="0" w:lastRowLastColumn="0"/>
        </w:trPr>
        <w:tc>
          <w:tcPr>
            <w:tcW w:w="2500" w:type="pct"/>
          </w:tcPr>
          <w:p w14:paraId="55A153CF" w14:textId="77777777" w:rsidR="00543888" w:rsidRPr="00F543C1" w:rsidRDefault="00543888" w:rsidP="00182528">
            <w:pPr>
              <w:spacing w:before="60" w:after="60" w:line="220" w:lineRule="atLeast"/>
              <w:rPr>
                <w:sz w:val="18"/>
              </w:rPr>
            </w:pPr>
            <w:r w:rsidRPr="00F543C1">
              <w:rPr>
                <w:sz w:val="18"/>
              </w:rPr>
              <w:t>Code of conduct</w:t>
            </w:r>
          </w:p>
        </w:tc>
        <w:tc>
          <w:tcPr>
            <w:tcW w:w="2500" w:type="pct"/>
          </w:tcPr>
          <w:p w14:paraId="291909DC" w14:textId="77777777" w:rsidR="00543888" w:rsidRPr="00F543C1" w:rsidRDefault="00543888" w:rsidP="00182528">
            <w:pPr>
              <w:spacing w:before="60" w:after="60" w:line="220" w:lineRule="atLeast"/>
              <w:rPr>
                <w:sz w:val="18"/>
              </w:rPr>
            </w:pPr>
            <w:r w:rsidRPr="00F543C1">
              <w:rPr>
                <w:sz w:val="18"/>
              </w:rPr>
              <w:t>Public Service Act</w:t>
            </w:r>
          </w:p>
        </w:tc>
      </w:tr>
      <w:tr w:rsidR="00543888" w:rsidRPr="00F543C1" w14:paraId="2481071A" w14:textId="77777777" w:rsidTr="009C2488">
        <w:tc>
          <w:tcPr>
            <w:tcW w:w="2500" w:type="pct"/>
          </w:tcPr>
          <w:p w14:paraId="3F6CC526" w14:textId="5DD0506D" w:rsidR="00543888" w:rsidRPr="00F543C1" w:rsidRDefault="00543888" w:rsidP="00182528">
            <w:pPr>
              <w:spacing w:before="60" w:after="60" w:line="220" w:lineRule="atLeast"/>
              <w:rPr>
                <w:sz w:val="18"/>
              </w:rPr>
            </w:pPr>
            <w:r w:rsidRPr="00F543C1">
              <w:rPr>
                <w:sz w:val="18"/>
              </w:rPr>
              <w:t>Professional behaviour requirements</w:t>
            </w:r>
          </w:p>
        </w:tc>
        <w:tc>
          <w:tcPr>
            <w:tcW w:w="2500" w:type="pct"/>
          </w:tcPr>
          <w:p w14:paraId="4AD42423" w14:textId="77777777" w:rsidR="00543888" w:rsidRPr="00F543C1" w:rsidRDefault="00543888" w:rsidP="00182528">
            <w:pPr>
              <w:spacing w:before="60" w:after="60" w:line="220" w:lineRule="atLeast"/>
              <w:rPr>
                <w:sz w:val="18"/>
              </w:rPr>
            </w:pPr>
            <w:r w:rsidRPr="00F543C1">
              <w:rPr>
                <w:sz w:val="18"/>
              </w:rPr>
              <w:t>Public service code of conduct.</w:t>
            </w:r>
          </w:p>
          <w:p w14:paraId="477B2AAE" w14:textId="77777777" w:rsidR="00543888" w:rsidRPr="00F543C1" w:rsidRDefault="00543888" w:rsidP="00182528">
            <w:pPr>
              <w:spacing w:before="60" w:after="60" w:line="220" w:lineRule="atLeast"/>
              <w:rPr>
                <w:sz w:val="18"/>
              </w:rPr>
            </w:pPr>
            <w:r w:rsidRPr="00F543C1">
              <w:rPr>
                <w:sz w:val="18"/>
              </w:rPr>
              <w:t>Departments’ internal operating procedures.</w:t>
            </w:r>
          </w:p>
          <w:p w14:paraId="5B21387D" w14:textId="77777777" w:rsidR="00543888" w:rsidRPr="00F543C1" w:rsidRDefault="00543888" w:rsidP="00182528">
            <w:pPr>
              <w:spacing w:before="60" w:after="60" w:line="220" w:lineRule="atLeast"/>
              <w:rPr>
                <w:sz w:val="18"/>
              </w:rPr>
            </w:pPr>
            <w:r w:rsidRPr="00F543C1">
              <w:rPr>
                <w:sz w:val="18"/>
              </w:rPr>
              <w:t>Occupational regulation, if any.</w:t>
            </w:r>
          </w:p>
        </w:tc>
      </w:tr>
      <w:tr w:rsidR="00543888" w:rsidRPr="00F543C1" w14:paraId="1E6528C9" w14:textId="77777777" w:rsidTr="009C2488">
        <w:trPr>
          <w:cnfStyle w:val="000000010000" w:firstRow="0" w:lastRow="0" w:firstColumn="0" w:lastColumn="0" w:oddVBand="0" w:evenVBand="0" w:oddHBand="0" w:evenHBand="1" w:firstRowFirstColumn="0" w:firstRowLastColumn="0" w:lastRowFirstColumn="0" w:lastRowLastColumn="0"/>
        </w:trPr>
        <w:tc>
          <w:tcPr>
            <w:tcW w:w="2500" w:type="pct"/>
          </w:tcPr>
          <w:p w14:paraId="04FA354F" w14:textId="135E57F3" w:rsidR="00543888" w:rsidRPr="00F543C1" w:rsidRDefault="00543888" w:rsidP="00182528">
            <w:pPr>
              <w:spacing w:before="60" w:after="60" w:line="220" w:lineRule="atLeast"/>
              <w:rPr>
                <w:sz w:val="18"/>
              </w:rPr>
            </w:pPr>
            <w:r w:rsidRPr="00F543C1">
              <w:rPr>
                <w:sz w:val="18"/>
              </w:rPr>
              <w:t>Probity</w:t>
            </w:r>
            <w:r w:rsidR="004B52AA" w:rsidRPr="00F543C1">
              <w:rPr>
                <w:sz w:val="18"/>
              </w:rPr>
              <w:t xml:space="preserve"> requirements</w:t>
            </w:r>
          </w:p>
        </w:tc>
        <w:tc>
          <w:tcPr>
            <w:tcW w:w="2500" w:type="pct"/>
          </w:tcPr>
          <w:p w14:paraId="0DDBC868" w14:textId="77777777" w:rsidR="00543888" w:rsidRPr="00F543C1" w:rsidRDefault="00543888" w:rsidP="00182528">
            <w:pPr>
              <w:spacing w:before="60" w:after="60" w:line="220" w:lineRule="atLeast"/>
              <w:rPr>
                <w:sz w:val="18"/>
              </w:rPr>
            </w:pPr>
            <w:r w:rsidRPr="00F543C1">
              <w:rPr>
                <w:sz w:val="18"/>
              </w:rPr>
              <w:t>Public Service Act</w:t>
            </w:r>
          </w:p>
          <w:p w14:paraId="43A3F3CE" w14:textId="77777777" w:rsidR="00543888" w:rsidRPr="00F543C1" w:rsidRDefault="00543888" w:rsidP="00182528">
            <w:pPr>
              <w:spacing w:before="60" w:after="60" w:line="220" w:lineRule="atLeast"/>
              <w:rPr>
                <w:sz w:val="18"/>
              </w:rPr>
            </w:pPr>
            <w:r w:rsidRPr="00F543C1">
              <w:rPr>
                <w:sz w:val="18"/>
              </w:rPr>
              <w:t xml:space="preserve">Public Finance Act </w:t>
            </w:r>
          </w:p>
          <w:p w14:paraId="03CCFE41" w14:textId="77777777" w:rsidR="00543888" w:rsidRPr="00F543C1" w:rsidRDefault="00543888" w:rsidP="00182528">
            <w:pPr>
              <w:spacing w:before="60" w:after="60" w:line="220" w:lineRule="atLeast"/>
              <w:rPr>
                <w:sz w:val="18"/>
              </w:rPr>
            </w:pPr>
            <w:r w:rsidRPr="00F543C1">
              <w:rPr>
                <w:sz w:val="18"/>
              </w:rPr>
              <w:t>Public Audit Act</w:t>
            </w:r>
          </w:p>
          <w:p w14:paraId="6A42C3F9" w14:textId="77777777" w:rsidR="00543888" w:rsidRPr="00F543C1" w:rsidRDefault="00543888" w:rsidP="00182528">
            <w:pPr>
              <w:spacing w:before="60" w:after="60" w:line="220" w:lineRule="atLeast"/>
              <w:rPr>
                <w:sz w:val="18"/>
              </w:rPr>
            </w:pPr>
            <w:r w:rsidRPr="00F543C1">
              <w:rPr>
                <w:sz w:val="18"/>
              </w:rPr>
              <w:t>Criminal law.</w:t>
            </w:r>
          </w:p>
        </w:tc>
      </w:tr>
      <w:tr w:rsidR="00543888" w:rsidRPr="00F543C1" w14:paraId="42E6BCF1" w14:textId="77777777" w:rsidTr="009C2488">
        <w:tc>
          <w:tcPr>
            <w:tcW w:w="2500" w:type="pct"/>
          </w:tcPr>
          <w:p w14:paraId="29DA6E21" w14:textId="77777777" w:rsidR="00543888" w:rsidRPr="00F543C1" w:rsidRDefault="00543888" w:rsidP="00182528">
            <w:pPr>
              <w:spacing w:before="60" w:after="60" w:line="220" w:lineRule="atLeast"/>
              <w:rPr>
                <w:sz w:val="18"/>
              </w:rPr>
            </w:pPr>
            <w:r w:rsidRPr="00F543C1">
              <w:rPr>
                <w:sz w:val="18"/>
              </w:rPr>
              <w:lastRenderedPageBreak/>
              <w:t>Information disclosure</w:t>
            </w:r>
          </w:p>
        </w:tc>
        <w:tc>
          <w:tcPr>
            <w:tcW w:w="2500" w:type="pct"/>
          </w:tcPr>
          <w:p w14:paraId="3BBFA9ED" w14:textId="77777777" w:rsidR="00543888" w:rsidRPr="00F543C1" w:rsidRDefault="00543888" w:rsidP="00182528">
            <w:pPr>
              <w:spacing w:before="60" w:after="60" w:line="220" w:lineRule="atLeast"/>
              <w:rPr>
                <w:sz w:val="18"/>
              </w:rPr>
            </w:pPr>
            <w:r w:rsidRPr="00F543C1">
              <w:rPr>
                <w:sz w:val="18"/>
              </w:rPr>
              <w:t>Official Information Act (disclosure to public) and Privacy Act (prevents disclosure of personal information, but allows individuals to access their records)</w:t>
            </w:r>
          </w:p>
        </w:tc>
      </w:tr>
      <w:tr w:rsidR="000715FD" w:rsidRPr="00F543C1" w14:paraId="089B3456" w14:textId="77777777" w:rsidTr="009C2488">
        <w:trPr>
          <w:cnfStyle w:val="000000010000" w:firstRow="0" w:lastRow="0" w:firstColumn="0" w:lastColumn="0" w:oddVBand="0" w:evenVBand="0" w:oddHBand="0" w:evenHBand="1" w:firstRowFirstColumn="0" w:firstRowLastColumn="0" w:lastRowFirstColumn="0" w:lastRowLastColumn="0"/>
        </w:trPr>
        <w:tc>
          <w:tcPr>
            <w:tcW w:w="2500" w:type="pct"/>
          </w:tcPr>
          <w:p w14:paraId="2AD128AA" w14:textId="3041913B" w:rsidR="000715FD" w:rsidRPr="00F543C1" w:rsidRDefault="000715FD" w:rsidP="00182528">
            <w:pPr>
              <w:spacing w:before="60" w:after="60" w:line="220" w:lineRule="atLeast"/>
              <w:rPr>
                <w:sz w:val="18"/>
              </w:rPr>
            </w:pPr>
            <w:r w:rsidRPr="00F543C1">
              <w:rPr>
                <w:sz w:val="18"/>
              </w:rPr>
              <w:t>Third-party contracting</w:t>
            </w:r>
          </w:p>
        </w:tc>
        <w:tc>
          <w:tcPr>
            <w:tcW w:w="2500" w:type="pct"/>
          </w:tcPr>
          <w:p w14:paraId="3511D814" w14:textId="03F0F247" w:rsidR="000715FD" w:rsidRPr="00726346" w:rsidRDefault="000715FD" w:rsidP="00182528">
            <w:pPr>
              <w:spacing w:before="60" w:after="60" w:line="220" w:lineRule="atLeast"/>
              <w:rPr>
                <w:sz w:val="18"/>
              </w:rPr>
            </w:pPr>
            <w:r w:rsidRPr="00F543C1">
              <w:rPr>
                <w:sz w:val="18"/>
              </w:rPr>
              <w:t xml:space="preserve">MBIE procurement </w:t>
            </w:r>
            <w:r w:rsidR="00213A8E" w:rsidRPr="00F543C1">
              <w:rPr>
                <w:sz w:val="18"/>
              </w:rPr>
              <w:t>rules</w:t>
            </w:r>
            <w:r w:rsidR="00954840" w:rsidRPr="00F543C1">
              <w:rPr>
                <w:sz w:val="18"/>
              </w:rPr>
              <w:t>.</w:t>
            </w:r>
            <w:r w:rsidR="00213A8E" w:rsidRPr="009006D7">
              <w:rPr>
                <w:rStyle w:val="FootnoteReference"/>
              </w:rPr>
              <w:footnoteReference w:id="145"/>
            </w:r>
          </w:p>
        </w:tc>
      </w:tr>
      <w:tr w:rsidR="00543888" w:rsidRPr="00F543C1" w14:paraId="50F17A11" w14:textId="77777777" w:rsidTr="009C2488">
        <w:tc>
          <w:tcPr>
            <w:tcW w:w="2500" w:type="pct"/>
          </w:tcPr>
          <w:p w14:paraId="28EB4D35" w14:textId="77777777" w:rsidR="00543888" w:rsidRPr="00F543C1" w:rsidRDefault="00543888" w:rsidP="00182528">
            <w:pPr>
              <w:spacing w:before="60" w:after="60" w:line="220" w:lineRule="atLeast"/>
              <w:rPr>
                <w:sz w:val="18"/>
              </w:rPr>
            </w:pPr>
            <w:r w:rsidRPr="00F543C1">
              <w:rPr>
                <w:sz w:val="18"/>
              </w:rPr>
              <w:t>Value-for-money review</w:t>
            </w:r>
          </w:p>
        </w:tc>
        <w:tc>
          <w:tcPr>
            <w:tcW w:w="2500" w:type="pct"/>
          </w:tcPr>
          <w:p w14:paraId="65FDB40E" w14:textId="77777777" w:rsidR="00543888" w:rsidRPr="00F543C1" w:rsidRDefault="00543888" w:rsidP="00182528">
            <w:pPr>
              <w:spacing w:before="60" w:after="60" w:line="220" w:lineRule="atLeast"/>
              <w:rPr>
                <w:sz w:val="18"/>
              </w:rPr>
            </w:pPr>
            <w:r w:rsidRPr="00F543C1">
              <w:rPr>
                <w:sz w:val="18"/>
              </w:rPr>
              <w:t>Budget process (usually only applies to new spending, not baselines).</w:t>
            </w:r>
          </w:p>
        </w:tc>
      </w:tr>
      <w:tr w:rsidR="00543888" w:rsidRPr="00F543C1" w14:paraId="6E0E0D88" w14:textId="77777777" w:rsidTr="009C2488">
        <w:trPr>
          <w:cnfStyle w:val="000000010000" w:firstRow="0" w:lastRow="0" w:firstColumn="0" w:lastColumn="0" w:oddVBand="0" w:evenVBand="0" w:oddHBand="0" w:evenHBand="1" w:firstRowFirstColumn="0" w:firstRowLastColumn="0" w:lastRowFirstColumn="0" w:lastRowLastColumn="0"/>
        </w:trPr>
        <w:tc>
          <w:tcPr>
            <w:tcW w:w="2500" w:type="pct"/>
          </w:tcPr>
          <w:p w14:paraId="5AE4B71D" w14:textId="77777777" w:rsidR="00543888" w:rsidRPr="00F543C1" w:rsidRDefault="00543888" w:rsidP="00182528">
            <w:pPr>
              <w:spacing w:before="60" w:after="60" w:line="220" w:lineRule="atLeast"/>
              <w:rPr>
                <w:sz w:val="18"/>
              </w:rPr>
            </w:pPr>
            <w:r w:rsidRPr="00F543C1">
              <w:rPr>
                <w:sz w:val="18"/>
              </w:rPr>
              <w:t>Effectiveness reviews</w:t>
            </w:r>
          </w:p>
        </w:tc>
        <w:tc>
          <w:tcPr>
            <w:tcW w:w="2500" w:type="pct"/>
          </w:tcPr>
          <w:p w14:paraId="1351C4AE" w14:textId="41280028" w:rsidR="00543888" w:rsidRPr="00F543C1" w:rsidRDefault="00543888" w:rsidP="00182528">
            <w:pPr>
              <w:spacing w:before="60" w:after="60" w:line="220" w:lineRule="atLeast"/>
              <w:rPr>
                <w:sz w:val="18"/>
              </w:rPr>
            </w:pPr>
            <w:r w:rsidRPr="00F543C1">
              <w:rPr>
                <w:sz w:val="18"/>
              </w:rPr>
              <w:t>Ex-post evaluations (discretionary and often only applies for initial years to confirm programme is m</w:t>
            </w:r>
            <w:r w:rsidR="0031214A" w:rsidRPr="00F543C1">
              <w:rPr>
                <w:sz w:val="18"/>
              </w:rPr>
              <w:t>e</w:t>
            </w:r>
            <w:r w:rsidRPr="00F543C1">
              <w:rPr>
                <w:sz w:val="18"/>
              </w:rPr>
              <w:t>eting objectives. Less common for baseline spending).</w:t>
            </w:r>
          </w:p>
          <w:p w14:paraId="42F30554" w14:textId="77777777" w:rsidR="00543888" w:rsidRPr="00F543C1" w:rsidRDefault="00543888" w:rsidP="00182528">
            <w:pPr>
              <w:spacing w:before="60" w:after="60" w:line="220" w:lineRule="atLeast"/>
              <w:rPr>
                <w:sz w:val="18"/>
              </w:rPr>
            </w:pPr>
          </w:p>
          <w:p w14:paraId="00203140" w14:textId="77777777" w:rsidR="00543888" w:rsidRPr="00F543C1" w:rsidRDefault="00543888" w:rsidP="00182528">
            <w:pPr>
              <w:spacing w:before="60" w:after="60" w:line="220" w:lineRule="atLeast"/>
              <w:rPr>
                <w:sz w:val="18"/>
              </w:rPr>
            </w:pPr>
            <w:r w:rsidRPr="00F543C1">
              <w:rPr>
                <w:sz w:val="18"/>
              </w:rPr>
              <w:t>Public Audit Act</w:t>
            </w:r>
          </w:p>
        </w:tc>
      </w:tr>
      <w:tr w:rsidR="00543888" w:rsidRPr="00F543C1" w14:paraId="77291FDA" w14:textId="77777777" w:rsidTr="009C2488">
        <w:tc>
          <w:tcPr>
            <w:tcW w:w="2500" w:type="pct"/>
          </w:tcPr>
          <w:p w14:paraId="2C2A1DD5" w14:textId="77777777" w:rsidR="00543888" w:rsidRPr="00F543C1" w:rsidRDefault="00543888" w:rsidP="00182528">
            <w:pPr>
              <w:spacing w:before="60" w:after="60" w:line="220" w:lineRule="atLeast"/>
              <w:rPr>
                <w:sz w:val="18"/>
              </w:rPr>
            </w:pPr>
            <w:r w:rsidRPr="00F543C1">
              <w:rPr>
                <w:sz w:val="18"/>
              </w:rPr>
              <w:t>Merits review of decisions (was the decision correct?)</w:t>
            </w:r>
          </w:p>
        </w:tc>
        <w:tc>
          <w:tcPr>
            <w:tcW w:w="2500" w:type="pct"/>
          </w:tcPr>
          <w:p w14:paraId="66C74D2B" w14:textId="469F8EFB" w:rsidR="00543888" w:rsidRPr="00F543C1" w:rsidRDefault="00543888" w:rsidP="00182528">
            <w:pPr>
              <w:spacing w:before="60" w:after="60" w:line="220" w:lineRule="atLeast"/>
              <w:rPr>
                <w:sz w:val="18"/>
              </w:rPr>
            </w:pPr>
            <w:r w:rsidRPr="00F543C1">
              <w:rPr>
                <w:sz w:val="18"/>
              </w:rPr>
              <w:t>Specialist tribunals (</w:t>
            </w:r>
            <w:r w:rsidR="00F750CE" w:rsidRPr="00F543C1">
              <w:rPr>
                <w:sz w:val="18"/>
              </w:rPr>
              <w:t>e.g.,</w:t>
            </w:r>
            <w:r w:rsidRPr="00F543C1">
              <w:rPr>
                <w:sz w:val="18"/>
              </w:rPr>
              <w:t xml:space="preserve"> social security appeal authority).</w:t>
            </w:r>
          </w:p>
          <w:p w14:paraId="06E84DD4" w14:textId="77777777" w:rsidR="00543888" w:rsidRPr="00F543C1" w:rsidRDefault="00543888" w:rsidP="00182528">
            <w:pPr>
              <w:spacing w:before="60" w:after="60" w:line="220" w:lineRule="atLeast"/>
              <w:rPr>
                <w:sz w:val="18"/>
              </w:rPr>
            </w:pPr>
          </w:p>
          <w:p w14:paraId="18FE8460" w14:textId="77777777" w:rsidR="00543888" w:rsidRPr="00F543C1" w:rsidRDefault="00543888" w:rsidP="00182528">
            <w:pPr>
              <w:spacing w:before="60" w:after="60" w:line="220" w:lineRule="atLeast"/>
              <w:rPr>
                <w:sz w:val="18"/>
              </w:rPr>
            </w:pPr>
            <w:r w:rsidRPr="00F543C1">
              <w:rPr>
                <w:sz w:val="18"/>
              </w:rPr>
              <w:t>Ombudsman</w:t>
            </w:r>
          </w:p>
        </w:tc>
      </w:tr>
      <w:tr w:rsidR="00543888" w:rsidRPr="00F543C1" w14:paraId="2CCF8980" w14:textId="77777777" w:rsidTr="009C2488">
        <w:trPr>
          <w:cnfStyle w:val="000000010000" w:firstRow="0" w:lastRow="0" w:firstColumn="0" w:lastColumn="0" w:oddVBand="0" w:evenVBand="0" w:oddHBand="0" w:evenHBand="1" w:firstRowFirstColumn="0" w:firstRowLastColumn="0" w:lastRowFirstColumn="0" w:lastRowLastColumn="0"/>
        </w:trPr>
        <w:tc>
          <w:tcPr>
            <w:tcW w:w="2500" w:type="pct"/>
          </w:tcPr>
          <w:p w14:paraId="7FB7EB3F" w14:textId="77777777" w:rsidR="00543888" w:rsidRPr="00F543C1" w:rsidRDefault="00543888" w:rsidP="00182528">
            <w:pPr>
              <w:spacing w:before="60" w:after="60" w:line="220" w:lineRule="atLeast"/>
              <w:rPr>
                <w:sz w:val="18"/>
              </w:rPr>
            </w:pPr>
            <w:r w:rsidRPr="00F543C1">
              <w:rPr>
                <w:sz w:val="18"/>
              </w:rPr>
              <w:t>Parliamentary scrutiny</w:t>
            </w:r>
          </w:p>
        </w:tc>
        <w:tc>
          <w:tcPr>
            <w:tcW w:w="2500" w:type="pct"/>
          </w:tcPr>
          <w:p w14:paraId="47BEF628" w14:textId="77777777" w:rsidR="00543888" w:rsidRPr="00F543C1" w:rsidRDefault="00543888" w:rsidP="00182528">
            <w:pPr>
              <w:spacing w:before="60" w:after="60" w:line="220" w:lineRule="atLeast"/>
              <w:rPr>
                <w:sz w:val="18"/>
              </w:rPr>
            </w:pPr>
            <w:r w:rsidRPr="00F543C1">
              <w:rPr>
                <w:sz w:val="18"/>
              </w:rPr>
              <w:t>Questions to ministers, Select Committees, representations by MPs on behalf of constituents, provision of material to Parliament.</w:t>
            </w:r>
          </w:p>
          <w:p w14:paraId="56EB8C06" w14:textId="77777777" w:rsidR="00D1358C" w:rsidRPr="00F543C1" w:rsidRDefault="00D1358C" w:rsidP="00182528">
            <w:pPr>
              <w:spacing w:before="60" w:after="60" w:line="220" w:lineRule="atLeast"/>
              <w:rPr>
                <w:sz w:val="18"/>
              </w:rPr>
            </w:pPr>
          </w:p>
          <w:p w14:paraId="4DC8D63C" w14:textId="2C4B3614" w:rsidR="00D1358C" w:rsidRPr="00F543C1" w:rsidRDefault="00D1358C" w:rsidP="00182528">
            <w:pPr>
              <w:spacing w:before="60" w:after="60" w:line="220" w:lineRule="atLeast"/>
              <w:rPr>
                <w:sz w:val="18"/>
              </w:rPr>
            </w:pPr>
            <w:r w:rsidRPr="00F543C1">
              <w:rPr>
                <w:sz w:val="18"/>
              </w:rPr>
              <w:t>Scrutiny by offices of Parliament</w:t>
            </w:r>
            <w:r w:rsidR="00296E09" w:rsidRPr="00F543C1">
              <w:rPr>
                <w:sz w:val="18"/>
              </w:rPr>
              <w:t>.</w:t>
            </w:r>
          </w:p>
        </w:tc>
      </w:tr>
      <w:tr w:rsidR="00543888" w:rsidRPr="00F543C1" w14:paraId="4630BEEF" w14:textId="77777777" w:rsidTr="009C2488">
        <w:trPr>
          <w:cnfStyle w:val="010000000000" w:firstRow="0" w:lastRow="1" w:firstColumn="0" w:lastColumn="0" w:oddVBand="0" w:evenVBand="0" w:oddHBand="0" w:evenHBand="0" w:firstRowFirstColumn="0" w:firstRowLastColumn="0" w:lastRowFirstColumn="0" w:lastRowLastColumn="0"/>
        </w:trPr>
        <w:tc>
          <w:tcPr>
            <w:tcW w:w="2500" w:type="pct"/>
          </w:tcPr>
          <w:p w14:paraId="30DAB4D7" w14:textId="77777777" w:rsidR="00543888" w:rsidRPr="00F543C1" w:rsidRDefault="00543888" w:rsidP="00182528">
            <w:pPr>
              <w:spacing w:before="60" w:after="60" w:line="220" w:lineRule="atLeast"/>
              <w:rPr>
                <w:sz w:val="18"/>
              </w:rPr>
            </w:pPr>
            <w:r w:rsidRPr="00F543C1">
              <w:rPr>
                <w:sz w:val="18"/>
              </w:rPr>
              <w:t>Judicial review of process</w:t>
            </w:r>
          </w:p>
        </w:tc>
        <w:tc>
          <w:tcPr>
            <w:tcW w:w="2500" w:type="pct"/>
          </w:tcPr>
          <w:p w14:paraId="51585E91" w14:textId="77777777" w:rsidR="00543888" w:rsidRPr="00F543C1" w:rsidRDefault="00543888" w:rsidP="00182528">
            <w:pPr>
              <w:spacing w:before="60" w:after="60" w:line="220" w:lineRule="atLeast"/>
              <w:rPr>
                <w:sz w:val="18"/>
              </w:rPr>
            </w:pPr>
            <w:r w:rsidRPr="00F543C1">
              <w:rPr>
                <w:sz w:val="18"/>
              </w:rPr>
              <w:t>Judicial Review Procedures Act</w:t>
            </w:r>
          </w:p>
        </w:tc>
      </w:tr>
    </w:tbl>
    <w:p w14:paraId="5719C3FE" w14:textId="77777777" w:rsidR="00543888" w:rsidRPr="00F543C1" w:rsidRDefault="00543888" w:rsidP="00543888">
      <w:pPr>
        <w:spacing w:before="120" w:after="360" w:line="220" w:lineRule="atLeast"/>
        <w:ind w:left="851"/>
        <w:rPr>
          <w:sz w:val="18"/>
        </w:rPr>
      </w:pPr>
      <w:r w:rsidRPr="00F543C1">
        <w:rPr>
          <w:sz w:val="18"/>
        </w:rPr>
        <w:t>Source: The authors</w:t>
      </w:r>
    </w:p>
    <w:p w14:paraId="0E7E08B1" w14:textId="3B09B45F" w:rsidR="00FA12B5" w:rsidRPr="00F543C1" w:rsidRDefault="00FA12B5" w:rsidP="00FA12B5">
      <w:pPr>
        <w:pStyle w:val="Heading3"/>
      </w:pPr>
      <w:bookmarkStart w:id="171" w:name="_Ref124691898"/>
      <w:bookmarkStart w:id="172" w:name="_Toc126092121"/>
      <w:r w:rsidRPr="00F543C1">
        <w:t>Parliamentary accountability</w:t>
      </w:r>
      <w:bookmarkEnd w:id="171"/>
      <w:bookmarkEnd w:id="172"/>
    </w:p>
    <w:p w14:paraId="44620A76" w14:textId="3752A81C" w:rsidR="00D31639" w:rsidRPr="00F543C1" w:rsidRDefault="00D31639" w:rsidP="00D31639">
      <w:pPr>
        <w:ind w:left="851"/>
      </w:pPr>
      <w:r w:rsidRPr="00F543C1">
        <w:t xml:space="preserve">While a core constitutional structure, </w:t>
      </w:r>
      <w:r>
        <w:t xml:space="preserve">our system of Parliamentary accountability </w:t>
      </w:r>
      <w:r w:rsidRPr="00F543C1">
        <w:t>was imported to New Zealand with the establishment of the formal institutions of British-style government, applying to Māori and Pākehā alike, following the proclamation of British sovereignty in 1840</w:t>
      </w:r>
      <w:r w:rsidRPr="00F543C1">
        <w:rPr>
          <w:sz w:val="18"/>
          <w:szCs w:val="18"/>
        </w:rPr>
        <w:t xml:space="preserve"> </w:t>
      </w:r>
      <w:r w:rsidRPr="00726346">
        <w:fldChar w:fldCharType="begin"/>
      </w:r>
      <w:r w:rsidR="009B0EC4">
        <w:instrText xml:space="preserve"> ADDIN ZOTERO_ITEM CSL_CITATION {"citationID":"W5GZJuku","properties":{"formattedCitation":"(Orange 2020b, 63)","plainCitation":"(Orange 2020b, 63)","noteIndex":0},"citationItems":[{"id":13294,"uris":["http://zotero.org/groups/4544915/items/8UW3TNTK"],"itemData":{"id":13294,"type":"book","event-place":"Wellington","ISBN":"978-1-988587-18-9","language":"English","note":"OCLC: 1162884225","publisher":"Bridget Williams Books","publisher-place":"Wellington","source":"Open WorldCat","title":"Treaty of Waitangi | te Tiriti o Waitangi: an illustrated history.","title-short":"Treaty of waitangi | te tiriti o waitangi","author":[{"family":"Orange","given":"Claudia"}],"issued":{"date-parts":[["2020"]]}},"locator":"63","label":"page"}],"schema":"https://github.com/citation-style-language/schema/raw/master/csl-citation.json"} </w:instrText>
      </w:r>
      <w:r w:rsidRPr="00726346">
        <w:fldChar w:fldCharType="separate"/>
      </w:r>
      <w:r w:rsidRPr="00F543C1">
        <w:rPr>
          <w:rFonts w:cs="Calibri"/>
        </w:rPr>
        <w:t>(Orange 2020b, 63)</w:t>
      </w:r>
      <w:r w:rsidRPr="00726346">
        <w:fldChar w:fldCharType="end"/>
      </w:r>
      <w:r w:rsidRPr="00726346">
        <w:t>.</w:t>
      </w:r>
      <w:r w:rsidRPr="009006D7">
        <w:rPr>
          <w:rStyle w:val="FootnoteReference"/>
        </w:rPr>
        <w:footnoteReference w:id="146"/>
      </w:r>
      <w:r w:rsidRPr="00726346">
        <w:t xml:space="preserve"> Distressingly, discussions on how this relates to the Crown’s obligations under </w:t>
      </w:r>
      <w:proofErr w:type="spellStart"/>
      <w:r w:rsidRPr="00726346">
        <w:t>Te</w:t>
      </w:r>
      <w:proofErr w:type="spellEnd"/>
      <w:r w:rsidRPr="00726346">
        <w:t xml:space="preserve"> </w:t>
      </w:r>
      <w:proofErr w:type="spellStart"/>
      <w:r w:rsidRPr="00726346">
        <w:t>Tiriti</w:t>
      </w:r>
      <w:proofErr w:type="spellEnd"/>
      <w:r w:rsidRPr="00726346">
        <w:t xml:space="preserve"> o Waitangi are only beginning </w:t>
      </w:r>
      <w:r w:rsidRPr="00F543C1">
        <w:fldChar w:fldCharType="begin"/>
      </w:r>
      <w:r w:rsidR="009B0EC4">
        <w:instrText xml:space="preserve"> ADDIN ZOTERO_ITEM CSL_CITATION {"citationID":"a1qv11oo0g2","properties":{"formattedCitation":"(Haemata Limited 2022b)","plainCitation":"(Haemata Limited 2022b)","noteIndex":0},"citationItems":[{"id":16275,"uris":["http://zotero.org/groups/4801058/items/W3WC23CJ"],"itemData":{"id":16275,"type":"report","event-place":"Wellington","language":"en","publisher":"Office of the Controller and Auditor-General","publisher-place":"Wellington","title":"Māori perspectives on public accountability","title-short":"Commissioned report","URL":"https://oag.parliament.nz/2022/maori-perspectives","author":[{"literal":"Haemata Limited"}],"accessed":{"date-parts":[["2022",9,28]]},"issued":{"date-parts":[["2022"]]}}}],"schema":"https://github.com/citation-style-language/schema/raw/master/csl-citation.json"} </w:instrText>
      </w:r>
      <w:r w:rsidRPr="00F543C1">
        <w:fldChar w:fldCharType="separate"/>
      </w:r>
      <w:r w:rsidRPr="00F543C1">
        <w:rPr>
          <w:rFonts w:cs="Calibri"/>
        </w:rPr>
        <w:t>(Haemata Limited 2022b)</w:t>
      </w:r>
      <w:r w:rsidRPr="00F543C1">
        <w:fldChar w:fldCharType="end"/>
      </w:r>
      <w:r w:rsidRPr="00726346">
        <w:t>.</w:t>
      </w:r>
      <w:r w:rsidRPr="009006D7">
        <w:rPr>
          <w:rStyle w:val="FootnoteReference"/>
        </w:rPr>
        <w:footnoteReference w:id="147"/>
      </w:r>
      <w:r w:rsidRPr="00726346">
        <w:t xml:space="preserve"> </w:t>
      </w:r>
    </w:p>
    <w:p w14:paraId="085EDFE6" w14:textId="392B355D" w:rsidR="00AC50E1" w:rsidRPr="00F543C1" w:rsidRDefault="00AC50E1" w:rsidP="00AC50E1">
      <w:pPr>
        <w:ind w:left="851"/>
      </w:pPr>
      <w:r w:rsidRPr="00F543C1">
        <w:lastRenderedPageBreak/>
        <w:t>Reflecting the system</w:t>
      </w:r>
      <w:r>
        <w:t>’</w:t>
      </w:r>
      <w:r w:rsidRPr="00F543C1">
        <w:t xml:space="preserve">s origins, which date back to the English Civil War (1642–1651), its focus is on regulating the respective roles of Parliament and the Executive in the raising and spending of revenue </w:t>
      </w:r>
      <w:r w:rsidRPr="00F543C1">
        <w:fldChar w:fldCharType="begin"/>
      </w:r>
      <w:r w:rsidR="009B0EC4">
        <w:instrText xml:space="preserve"> ADDIN ZOTERO_ITEM CSL_CITATION {"citationID":"xxTzwIWw","properties":{"formattedCitation":"(McGee 2005, 443)","plainCitation":"(McGee 2005, 443)","noteIndex":0},"citationItems":[{"id":14075,"uris":["http://zotero.org/groups/4623831/items/V2SPBMWX"],"itemData":{"id":14075,"type":"book","call-number":"KUQ2186 .M34 2005","edition":"3rd ed","event-place":"Wellington","ISBN":"978-1-877399-06-0","number-of-pages":"770","publisher":"Dunmore Pub","publisher-place":"Wellington","source":"Library of Congress ISBN","title":"Parliamentary practice in New Zealand","author":[{"family":"McGee","given":"David G."}],"issued":{"date-parts":[["2005"]]}},"locator":"443"}],"schema":"https://github.com/citation-style-language/schema/raw/master/csl-citation.json"} </w:instrText>
      </w:r>
      <w:r w:rsidRPr="00F543C1">
        <w:fldChar w:fldCharType="separate"/>
      </w:r>
      <w:r w:rsidRPr="00F543C1">
        <w:rPr>
          <w:rFonts w:cs="Calibri"/>
        </w:rPr>
        <w:t>(McGee 2005, 443)</w:t>
      </w:r>
      <w:r w:rsidRPr="00F543C1">
        <w:fldChar w:fldCharType="end"/>
      </w:r>
      <w:r w:rsidRPr="00726346">
        <w:t>.</w:t>
      </w:r>
      <w:r w:rsidRPr="009006D7">
        <w:rPr>
          <w:rStyle w:val="FootnoteReference"/>
        </w:rPr>
        <w:footnoteReference w:id="148"/>
      </w:r>
      <w:r w:rsidRPr="00726346">
        <w:t xml:space="preserve"> </w:t>
      </w:r>
    </w:p>
    <w:p w14:paraId="587BF0C4" w14:textId="1F86C5A7" w:rsidR="00C45BD1" w:rsidRPr="00F543C1" w:rsidRDefault="00C45BD1" w:rsidP="00FA12B5">
      <w:pPr>
        <w:ind w:left="851"/>
      </w:pPr>
      <w:r w:rsidRPr="00F543C1">
        <w:t xml:space="preserve">In New Zealand, much of our formal accountability system is centred on the role of Parliament: </w:t>
      </w:r>
      <w:r w:rsidR="005375C7" w:rsidRPr="00F543C1">
        <w:t>M</w:t>
      </w:r>
      <w:r w:rsidRPr="00F543C1">
        <w:t xml:space="preserve">inisters are held accountable to Parliament for their exercise of power and government departments and Crown entities are required to report to Parliament and appear before </w:t>
      </w:r>
      <w:r w:rsidR="00E20E4B">
        <w:t>S</w:t>
      </w:r>
      <w:r w:rsidRPr="00F543C1">
        <w:t xml:space="preserve">elect </w:t>
      </w:r>
      <w:r w:rsidR="00E20E4B">
        <w:t>C</w:t>
      </w:r>
      <w:r w:rsidRPr="00F543C1">
        <w:t>ommittees to explain their actions.</w:t>
      </w:r>
    </w:p>
    <w:p w14:paraId="0F2B8E09" w14:textId="77777777" w:rsidR="00C45BD1" w:rsidRPr="00F543C1" w:rsidRDefault="00C45BD1" w:rsidP="00FA12B5">
      <w:pPr>
        <w:ind w:left="851"/>
      </w:pPr>
      <w:r w:rsidRPr="00F543C1">
        <w:t>This system is a not very coherent blend of the three dimensions of accountability:</w:t>
      </w:r>
    </w:p>
    <w:p w14:paraId="365E9EB7" w14:textId="77777777" w:rsidR="0035235F" w:rsidRPr="00F543C1" w:rsidRDefault="00C45BD1" w:rsidP="00C45BD1">
      <w:pPr>
        <w:pStyle w:val="USBullet1"/>
      </w:pPr>
      <w:r w:rsidRPr="00F543C1">
        <w:t xml:space="preserve">The democratic accountability dimension finds expression principally in the opposition’s role of questioning </w:t>
      </w:r>
      <w:proofErr w:type="gramStart"/>
      <w:r w:rsidRPr="00F543C1">
        <w:t>Ministers</w:t>
      </w:r>
      <w:proofErr w:type="gramEnd"/>
    </w:p>
    <w:p w14:paraId="691068E6" w14:textId="2A2081E4" w:rsidR="0035235F" w:rsidRPr="00F543C1" w:rsidRDefault="0035235F" w:rsidP="00C45BD1">
      <w:pPr>
        <w:pStyle w:val="USBullet1"/>
      </w:pPr>
      <w:r w:rsidRPr="00F543C1">
        <w:t xml:space="preserve">There is a </w:t>
      </w:r>
      <w:r w:rsidR="00492074" w:rsidRPr="00F543C1">
        <w:t>substantial</w:t>
      </w:r>
      <w:r w:rsidRPr="00F543C1">
        <w:t xml:space="preserve"> weighting given to constitutional accountability in the extensive reporting requirements placed on agencies, which often focus on what they do (inputs and outputs) and less on why and how well (</w:t>
      </w:r>
      <w:r w:rsidR="00165D6B" w:rsidRPr="00F543C1">
        <w:t xml:space="preserve">reasons and </w:t>
      </w:r>
      <w:r w:rsidRPr="00F543C1">
        <w:t>outcomes)</w:t>
      </w:r>
    </w:p>
    <w:p w14:paraId="0BD12BEE" w14:textId="2A2C357D" w:rsidR="00C45BD1" w:rsidRPr="00F543C1" w:rsidRDefault="0035235F" w:rsidP="00C45BD1">
      <w:pPr>
        <w:pStyle w:val="USBullet1"/>
      </w:pPr>
      <w:r w:rsidRPr="00F543C1">
        <w:t xml:space="preserve">Accountability as learning is often relegated to being a by-product of reporting and scrutiny rather than </w:t>
      </w:r>
      <w:r w:rsidR="00492074" w:rsidRPr="00F543C1">
        <w:t>a systematic feature, where past experiences are applied blame-free</w:t>
      </w:r>
      <w:r w:rsidRPr="00F543C1">
        <w:t xml:space="preserve"> to future improvements.</w:t>
      </w:r>
    </w:p>
    <w:p w14:paraId="506AA590" w14:textId="48F1DE7E" w:rsidR="00A044F7" w:rsidRPr="00F543C1" w:rsidRDefault="00A044F7" w:rsidP="004E2C6C">
      <w:pPr>
        <w:pStyle w:val="Heading3"/>
      </w:pPr>
      <w:bookmarkStart w:id="173" w:name="_Ref125962011"/>
      <w:bookmarkStart w:id="174" w:name="_Toc126092122"/>
      <w:r w:rsidRPr="00F543C1">
        <w:lastRenderedPageBreak/>
        <w:t xml:space="preserve">A </w:t>
      </w:r>
      <w:r w:rsidR="009560DF" w:rsidRPr="00F543C1">
        <w:t>multi-layered system</w:t>
      </w:r>
      <w:bookmarkEnd w:id="173"/>
      <w:bookmarkEnd w:id="174"/>
    </w:p>
    <w:p w14:paraId="142014AB" w14:textId="4720B481" w:rsidR="00FA12B5" w:rsidRPr="00726346" w:rsidRDefault="0035235F" w:rsidP="005B2D30">
      <w:pPr>
        <w:pStyle w:val="USBodyText"/>
        <w:keepNext/>
        <w:keepLines/>
      </w:pPr>
      <w:r w:rsidRPr="00F543C1">
        <w:t xml:space="preserve">We now turn to </w:t>
      </w:r>
      <w:r w:rsidR="00515E73" w:rsidRPr="00F543C1">
        <w:t xml:space="preserve">analyse </w:t>
      </w:r>
      <w:r w:rsidRPr="00F543C1">
        <w:t>th</w:t>
      </w:r>
      <w:r w:rsidR="00BD22B5">
        <w:t>e</w:t>
      </w:r>
      <w:r w:rsidRPr="00F543C1">
        <w:t xml:space="preserve"> </w:t>
      </w:r>
      <w:r w:rsidR="00FA12B5" w:rsidRPr="00F543C1">
        <w:t>multi-layered system of parliamentary scrutiny that operates in New Zealand</w:t>
      </w:r>
      <w:r w:rsidR="00BD22B5">
        <w:t>.</w:t>
      </w:r>
    </w:p>
    <w:p w14:paraId="63FAE1B3" w14:textId="7EC5E04C" w:rsidR="009B1DA4" w:rsidRDefault="009B1DA4" w:rsidP="001A6BD8">
      <w:pPr>
        <w:pStyle w:val="FigureCaption"/>
        <w:keepLines/>
      </w:pPr>
      <w:bookmarkStart w:id="175" w:name="_Ref124877152"/>
      <w:bookmarkStart w:id="176" w:name="_Toc126841239"/>
      <w:r w:rsidRPr="00F543C1">
        <w:t>Figure </w:t>
      </w:r>
      <w:r w:rsidRPr="00F543C1">
        <w:fldChar w:fldCharType="begin"/>
      </w:r>
      <w:r w:rsidRPr="00F543C1">
        <w:instrText>SEQ Figure \* ARABIC</w:instrText>
      </w:r>
      <w:r w:rsidRPr="00F543C1">
        <w:fldChar w:fldCharType="separate"/>
      </w:r>
      <w:r w:rsidR="00E06351">
        <w:rPr>
          <w:noProof/>
        </w:rPr>
        <w:t>8</w:t>
      </w:r>
      <w:r w:rsidRPr="00F543C1">
        <w:fldChar w:fldCharType="end"/>
      </w:r>
      <w:bookmarkEnd w:id="175"/>
      <w:r w:rsidRPr="00726346">
        <w:t xml:space="preserve"> A multi-layere</w:t>
      </w:r>
      <w:r w:rsidRPr="00F543C1">
        <w:t>d system of parliamentary scrutiny</w:t>
      </w:r>
      <w:bookmarkEnd w:id="176"/>
    </w:p>
    <w:p w14:paraId="21DC342F" w14:textId="7CD21BA2" w:rsidR="00657855" w:rsidRPr="00F543C1" w:rsidRDefault="00657855" w:rsidP="001A6BD8">
      <w:pPr>
        <w:pStyle w:val="FigureCaption"/>
        <w:keepLines/>
      </w:pPr>
      <w:r>
        <w:rPr>
          <w:noProof/>
        </w:rPr>
        <w:drawing>
          <wp:inline distT="0" distB="0" distL="0" distR="0" wp14:anchorId="237B08DE" wp14:editId="5E0A2254">
            <wp:extent cx="5410200" cy="3755989"/>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6"/>
                    <a:stretch>
                      <a:fillRect/>
                    </a:stretch>
                  </pic:blipFill>
                  <pic:spPr>
                    <a:xfrm>
                      <a:off x="0" y="0"/>
                      <a:ext cx="5414626" cy="3759061"/>
                    </a:xfrm>
                    <a:prstGeom prst="rect">
                      <a:avLst/>
                    </a:prstGeom>
                  </pic:spPr>
                </pic:pic>
              </a:graphicData>
            </a:graphic>
          </wp:inline>
        </w:drawing>
      </w:r>
    </w:p>
    <w:p w14:paraId="2AB184B1" w14:textId="79613875" w:rsidR="009B1DA4" w:rsidRPr="00726346" w:rsidRDefault="009B1DA4" w:rsidP="001A6BD8">
      <w:pPr>
        <w:keepNext/>
        <w:keepLines/>
        <w:spacing w:after="0" w:line="240" w:lineRule="auto"/>
        <w:ind w:left="851"/>
      </w:pPr>
    </w:p>
    <w:p w14:paraId="10D3D7A5" w14:textId="084B05C4" w:rsidR="009B1DA4" w:rsidRPr="00726346" w:rsidRDefault="009B1DA4" w:rsidP="001A6BD8">
      <w:pPr>
        <w:keepNext/>
        <w:keepLines/>
        <w:ind w:left="851"/>
      </w:pPr>
      <w:r w:rsidRPr="00F543C1">
        <w:rPr>
          <w:sz w:val="18"/>
        </w:rPr>
        <w:t xml:space="preserve">Source: Boston et al. </w:t>
      </w:r>
      <w:r w:rsidRPr="00F543C1">
        <w:rPr>
          <w:sz w:val="18"/>
        </w:rPr>
        <w:fldChar w:fldCharType="begin"/>
      </w:r>
      <w:r w:rsidR="009B0EC4">
        <w:rPr>
          <w:sz w:val="18"/>
        </w:rPr>
        <w:instrText xml:space="preserve"> ADDIN ZOTERO_ITEM CSL_CITATION {"citationID":"ZjLFMrT0","properties":{"formattedCitation":"(2019, 63)","plainCitation":"(2019, 63)","noteIndex":0},"citationItems":[{"id":14046,"uris":["http://zotero.org/groups/4623831/items/ZIE9YQFQ"],"itemData":{"id":14046,"type":"book","event-place":"Wellington","publisher":"Institute for Governance and Policy Studies","publisher-place":"Wellington","title":"Foresight, insight and oversight: Enhancing long-term governance through better parliamentary scrutiny","author":[{"family":"Boston","given":"Jonathan"},{"family":"Bagnall","given":"David"},{"family":"Barry","given":"Anna"}],"issued":{"date-parts":[["2019"]]}},"locator":"63","label":"page","suppress-author":true}],"schema":"https://github.com/citation-style-language/schema/raw/master/csl-citation.json"} </w:instrText>
      </w:r>
      <w:r w:rsidRPr="00F543C1">
        <w:rPr>
          <w:sz w:val="18"/>
        </w:rPr>
        <w:fldChar w:fldCharType="separate"/>
      </w:r>
      <w:r w:rsidRPr="00F543C1">
        <w:rPr>
          <w:rFonts w:cs="Calibri"/>
          <w:sz w:val="18"/>
        </w:rPr>
        <w:t>(2019, 63)</w:t>
      </w:r>
      <w:r w:rsidRPr="00F543C1">
        <w:rPr>
          <w:sz w:val="18"/>
        </w:rPr>
        <w:fldChar w:fldCharType="end"/>
      </w:r>
      <w:r w:rsidR="00BD22B5" w:rsidRPr="00BD22B5">
        <w:rPr>
          <w:rStyle w:val="FootnoteReference"/>
        </w:rPr>
        <w:t xml:space="preserve"> </w:t>
      </w:r>
      <w:r w:rsidR="00BD22B5" w:rsidRPr="009006D7">
        <w:rPr>
          <w:rStyle w:val="FootnoteReference"/>
        </w:rPr>
        <w:footnoteReference w:id="149"/>
      </w:r>
    </w:p>
    <w:p w14:paraId="2DC59799" w14:textId="77777777" w:rsidR="00FA12B5" w:rsidRPr="00F543C1" w:rsidRDefault="00FA12B5" w:rsidP="00FA12B5">
      <w:pPr>
        <w:ind w:left="851"/>
      </w:pPr>
      <w:r w:rsidRPr="00F543C1">
        <w:t>At the centre of our public accountability system are fundamental principles regarding public finances:</w:t>
      </w:r>
    </w:p>
    <w:p w14:paraId="10559A42" w14:textId="3D2E9690" w:rsidR="00FA12B5" w:rsidRPr="00726346" w:rsidRDefault="00FA12B5" w:rsidP="00FA12B5">
      <w:pPr>
        <w:spacing w:before="120"/>
        <w:ind w:left="1276" w:right="425"/>
        <w:rPr>
          <w:i/>
          <w:color w:val="30353F"/>
        </w:rPr>
      </w:pPr>
      <w:r w:rsidRPr="00F543C1">
        <w:rPr>
          <w:i/>
          <w:color w:val="30353F"/>
        </w:rPr>
        <w:t xml:space="preserve">The fundamental public finance principles in New Zealand law are that taxation may be levied and public money may be expended only under parliamentary authority. The rules for the receipt and payment of and accounting for public funds derive from these principles of parliamentary authorisation. </w:t>
      </w:r>
      <w:r w:rsidRPr="00F543C1">
        <w:rPr>
          <w:iCs/>
          <w:color w:val="30353F"/>
        </w:rPr>
        <w:fldChar w:fldCharType="begin"/>
      </w:r>
      <w:r w:rsidR="009B0EC4">
        <w:rPr>
          <w:iCs/>
          <w:color w:val="30353F"/>
        </w:rPr>
        <w:instrText xml:space="preserve"> ADDIN ZOTERO_ITEM CSL_CITATION {"citationID":"bModHh5u","properties":{"formattedCitation":"(McGee 2017, 511)","plainCitation":"(McGee 2017, 511)","noteIndex":0},"citationItems":[{"id":16984,"uris":["http://zotero.org/groups/4801058/items/SM5N68W9"],"itemData":{"id":16984,"type":"book","abstract":"Parliamentary Practice in New Zealand is the definitive work on practice and procedure in the New Zealand House of Representatives. The fourth edition incorporates a decade of developments since the third edition in 2005, and reflects many significant changes in parliamentary law, practice and procedure, including: the Parliamentary Privilege Act 2014; how the House and its committees conduct legislative and financial scrutiny; the use of extended sittings by the House; the increased role of the Business Committee to manage the transaction of parliamentary business; how the work of the House and its committees is communicated to the public.This new edition features an attractive design and accessible structure, with extensive indexing and references","edition":"Fourth edition","event-place":"Auckland, New Zealand","ISBN":"978-0-947506-24-7","language":"eng","number-of-pages":"857","publisher":"Oratia Books, Oratia Media Ltd","publisher-place":"Auckland, New Zealand","source":"K10plus ISBN","title":"Parliamentary practice in New Zealand","author":[{"family":"McGee","given":"David G."}],"editor":[{"family":"Harris","given":"Mary"},{"family":"Bagnall","given":"David"},{"family":"Sharma","given":"Pavan"}],"issued":{"date-parts":[["2017"]]}},"locator":"511","label":"page"}],"schema":"https://github.com/citation-style-language/schema/raw/master/csl-citation.json"} </w:instrText>
      </w:r>
      <w:r w:rsidRPr="00F543C1">
        <w:rPr>
          <w:iCs/>
          <w:color w:val="30353F"/>
        </w:rPr>
        <w:fldChar w:fldCharType="separate"/>
      </w:r>
      <w:r w:rsidRPr="00F543C1">
        <w:rPr>
          <w:rFonts w:cs="Calibri"/>
          <w:iCs/>
          <w:color w:val="30353F"/>
        </w:rPr>
        <w:t>(McGee 2017, 511)</w:t>
      </w:r>
      <w:r w:rsidRPr="00F543C1">
        <w:rPr>
          <w:iCs/>
          <w:color w:val="30353F"/>
        </w:rPr>
        <w:fldChar w:fldCharType="end"/>
      </w:r>
    </w:p>
    <w:p w14:paraId="3F0B8901" w14:textId="699399CE" w:rsidR="00FA12B5" w:rsidRPr="00F543C1" w:rsidRDefault="00FA12B5" w:rsidP="00FA12B5">
      <w:pPr>
        <w:ind w:left="851"/>
      </w:pPr>
      <w:r w:rsidRPr="00F543C1">
        <w:t>This explains, in part, why many of the institutional and formal layers of accountability set out in</w:t>
      </w:r>
      <w:r w:rsidR="00F36F15" w:rsidRPr="00F543C1">
        <w:t xml:space="preserve"> </w:t>
      </w:r>
      <w:r w:rsidR="00152886" w:rsidRPr="00F543C1">
        <w:fldChar w:fldCharType="begin"/>
      </w:r>
      <w:r w:rsidR="00152886" w:rsidRPr="00F543C1">
        <w:instrText xml:space="preserve"> REF _Ref124877152 \h </w:instrText>
      </w:r>
      <w:r w:rsidR="00152886" w:rsidRPr="00F543C1">
        <w:fldChar w:fldCharType="separate"/>
      </w:r>
      <w:r w:rsidR="00E06351" w:rsidRPr="00F543C1">
        <w:t>Figure </w:t>
      </w:r>
      <w:r w:rsidR="00E06351">
        <w:rPr>
          <w:noProof/>
        </w:rPr>
        <w:t>8</w:t>
      </w:r>
      <w:r w:rsidR="00152886" w:rsidRPr="00F543C1">
        <w:fldChar w:fldCharType="end"/>
      </w:r>
      <w:r w:rsidR="00152886" w:rsidRPr="00726346">
        <w:t xml:space="preserve"> </w:t>
      </w:r>
      <w:r w:rsidRPr="00F543C1">
        <w:t>are contained in the Public Finance Act and come within the purview of the Minister of Finance and the Treasury.</w:t>
      </w:r>
      <w:r w:rsidRPr="009006D7">
        <w:rPr>
          <w:rStyle w:val="FootnoteReference"/>
        </w:rPr>
        <w:footnoteReference w:id="150"/>
      </w:r>
      <w:r w:rsidRPr="00726346">
        <w:t xml:space="preserve"> </w:t>
      </w:r>
    </w:p>
    <w:p w14:paraId="3893B997" w14:textId="77777777" w:rsidR="00FA12B5" w:rsidRPr="00F543C1" w:rsidRDefault="00FA12B5" w:rsidP="00FA12B5">
      <w:pPr>
        <w:ind w:left="851"/>
      </w:pPr>
      <w:r w:rsidRPr="00F543C1">
        <w:t>Each year Parliament passes laws authorising the imposing of taxes and then grants Ministers approval to spend money to carry out the functions of government.</w:t>
      </w:r>
    </w:p>
    <w:p w14:paraId="1643A19C" w14:textId="77777777" w:rsidR="00FA12B5" w:rsidRPr="00F543C1" w:rsidRDefault="00FA12B5" w:rsidP="00FA12B5">
      <w:pPr>
        <w:ind w:left="851"/>
      </w:pPr>
      <w:r w:rsidRPr="00F543C1">
        <w:lastRenderedPageBreak/>
        <w:t>The Executive is accountable to Parliament for that spending, which requires Ministers and Departments to undertake detailed reporting of their activities including:</w:t>
      </w:r>
    </w:p>
    <w:p w14:paraId="3B9BA9A6" w14:textId="240B980E" w:rsidR="00FA12B5" w:rsidRPr="00F543C1" w:rsidRDefault="00FA12B5" w:rsidP="00FA12B5">
      <w:pPr>
        <w:numPr>
          <w:ilvl w:val="0"/>
          <w:numId w:val="1"/>
        </w:numPr>
      </w:pPr>
      <w:r w:rsidRPr="00F543C1">
        <w:t xml:space="preserve">Supporting </w:t>
      </w:r>
      <w:r w:rsidR="00D6616F" w:rsidRPr="00F543C1">
        <w:t>M</w:t>
      </w:r>
      <w:r w:rsidRPr="00F543C1">
        <w:t xml:space="preserve">inisters through the budget process </w:t>
      </w:r>
      <w:r w:rsidRPr="00F543C1">
        <w:fldChar w:fldCharType="begin"/>
      </w:r>
      <w:r w:rsidR="009B0EC4">
        <w:instrText xml:space="preserve"> ADDIN ZOTERO_ITEM CSL_CITATION {"citationID":"vbtD5h2f","properties":{"formattedCitation":"(The Treasury 2022d)","plainCitation":"(The Treasury 2022d)","noteIndex":0},"citationItems":[{"id":16787,"uris":["http://zotero.org/groups/4801058/items/TMG2HJ52"],"itemData":{"id":16787,"type":"webpage","abstract":"Overview of the New Zealand government's Budget process, its key phases and the key Budget documents.","language":"en","title":"Guide to the Budget process","URL":"https://www.treasury.govt.nz/publications/guide/guide-budget-process","author":[{"family":"The Treasury","given":""}],"accessed":{"date-parts":[["2022",10,25]]},"issued":{"date-parts":[["2022",5,19]]}}}],"schema":"https://github.com/citation-style-language/schema/raw/master/csl-citation.json"} </w:instrText>
      </w:r>
      <w:r w:rsidRPr="00F543C1">
        <w:fldChar w:fldCharType="separate"/>
      </w:r>
      <w:r w:rsidR="00993C0A" w:rsidRPr="00993C0A">
        <w:rPr>
          <w:rFonts w:cs="Calibri"/>
        </w:rPr>
        <w:t>(The Treasury 2022d)</w:t>
      </w:r>
      <w:r w:rsidRPr="00F543C1">
        <w:fldChar w:fldCharType="end"/>
      </w:r>
      <w:r w:rsidRPr="00726346">
        <w:t xml:space="preserve"> </w:t>
      </w:r>
    </w:p>
    <w:p w14:paraId="5DC8262F" w14:textId="405012FA" w:rsidR="00FA12B5" w:rsidRPr="00726346" w:rsidRDefault="00FA12B5" w:rsidP="00FA12B5">
      <w:pPr>
        <w:numPr>
          <w:ilvl w:val="0"/>
          <w:numId w:val="1"/>
        </w:numPr>
      </w:pPr>
      <w:r w:rsidRPr="00F543C1">
        <w:t xml:space="preserve">Providing material to Parliament as it considers the budget. For an example of the material provided to a Select Committee as part of this process, see New Zealand Parliament </w:t>
      </w:r>
      <w:r w:rsidRPr="00F543C1">
        <w:fldChar w:fldCharType="begin"/>
      </w:r>
      <w:r w:rsidR="009B0EC4">
        <w:instrText xml:space="preserve"> ADDIN ZOTERO_ITEM CSL_CITATION {"citationID":"gbKHRcEv","properties":{"formattedCitation":"(2019a)","plainCitation":"(2019a)","noteIndex":0},"citationItems":[{"id":16789,"uris":["http://zotero.org/groups/4801058/items/CRLK6AEI"],"itemData":{"id":16789,"type":"webpage","abstract":"To help inform Parliament about a topic, select committees will  ask you to have your say (give evidence) through a public submissions. The committees will also get expert  advice.  This feedback helps Parliament fully understand the topic and how it affects New Zealanders.","language":"en","title":"2019/20 Estimates for Vote Foreign Affairs and Trade","URL":"https://www.parliament.nz/en/pb/sc/submissions-and-advice/all?custom=FINS_88150","author":[{"family":"New Zealand Parliament","given":""}],"accessed":{"date-parts":[["2022",10,25]]},"issued":{"date-parts":[["2019"]]}},"suppress-author":true}],"schema":"https://github.com/citation-style-language/schema/raw/master/csl-citation.json"} </w:instrText>
      </w:r>
      <w:r w:rsidRPr="00F543C1">
        <w:fldChar w:fldCharType="separate"/>
      </w:r>
      <w:r w:rsidRPr="00F543C1">
        <w:rPr>
          <w:rFonts w:cs="Calibri"/>
        </w:rPr>
        <w:t>(2019a)</w:t>
      </w:r>
      <w:r w:rsidRPr="00F543C1">
        <w:fldChar w:fldCharType="end"/>
      </w:r>
    </w:p>
    <w:p w14:paraId="626DD3F4" w14:textId="0C9EC0E6" w:rsidR="00FA12B5" w:rsidRPr="00726346" w:rsidRDefault="00FA12B5" w:rsidP="00FA12B5">
      <w:pPr>
        <w:numPr>
          <w:ilvl w:val="0"/>
          <w:numId w:val="1"/>
        </w:numPr>
      </w:pPr>
      <w:r w:rsidRPr="00F543C1">
        <w:t xml:space="preserve">Forward-looking material regarding </w:t>
      </w:r>
      <w:r w:rsidR="001574C1" w:rsidRPr="00F543C1">
        <w:t xml:space="preserve">medium-term </w:t>
      </w:r>
      <w:r w:rsidRPr="00F543C1">
        <w:t xml:space="preserve">strategic intentions: for an example, see Ministry of Foreign Affairs and Trade </w:t>
      </w:r>
      <w:r w:rsidRPr="00F543C1">
        <w:fldChar w:fldCharType="begin"/>
      </w:r>
      <w:r w:rsidR="009B0EC4">
        <w:instrText xml:space="preserve"> ADDIN ZOTERO_ITEM CSL_CITATION {"citationID":"wlTHnewI","properties":{"formattedCitation":"(2021)","plainCitation":"(2021)","noteIndex":0},"citationItems":[{"id":16791,"uris":["http://zotero.org/groups/4801058/items/4XRARYZU"],"itemData":{"id":16791,"type":"webpage","abstract":"MFAT is focused on delivering on the Government’s priorities. Our Strategic Intentions set out our goals.","container-title":"New Zealand Ministry of Foreign Affairs and Trade","language":"en-NZ","title":"Our strategic direction","URL":"https://www.mfat.govt.nz/en/about-us/our-strategic-direction/","author":[{"family":"Ministry for Foreign Affairs and Trade","given":""}],"accessed":{"date-parts":[["2022",10,25]]},"issued":{"date-parts":[["2021"]]}},"suppress-author":true}],"schema":"https://github.com/citation-style-language/schema/raw/master/csl-citation.json"} </w:instrText>
      </w:r>
      <w:r w:rsidRPr="00F543C1">
        <w:fldChar w:fldCharType="separate"/>
      </w:r>
      <w:r w:rsidRPr="00F543C1">
        <w:rPr>
          <w:rFonts w:cs="Calibri"/>
        </w:rPr>
        <w:t>(2021)</w:t>
      </w:r>
      <w:r w:rsidRPr="00F543C1">
        <w:fldChar w:fldCharType="end"/>
      </w:r>
    </w:p>
    <w:p w14:paraId="2A6933A6" w14:textId="6B56D4FE" w:rsidR="00FA12B5" w:rsidRPr="00F543C1" w:rsidRDefault="00FA12B5" w:rsidP="00FA12B5">
      <w:pPr>
        <w:numPr>
          <w:ilvl w:val="0"/>
          <w:numId w:val="1"/>
        </w:numPr>
      </w:pPr>
      <w:r w:rsidRPr="00F543C1">
        <w:t xml:space="preserve">Annual reporting: for an example, see Ministry of Foreign Affairs and Trade </w:t>
      </w:r>
      <w:r w:rsidRPr="00F543C1">
        <w:fldChar w:fldCharType="begin"/>
      </w:r>
      <w:r w:rsidR="009B0EC4">
        <w:instrText xml:space="preserve"> ADDIN ZOTERO_ITEM CSL_CITATION {"citationID":"zIVQE20W","properties":{"formattedCitation":"(2022)","plainCitation":"(2022)","noteIndex":0},"citationItems":[{"id":16793,"uris":["http://zotero.org/groups/4801058/items/XJWF6NRK"],"itemData":{"id":16793,"type":"webpage","abstract":"Read or download the MFAT Annual Report 2021-22.","container-title":"New Zealand Ministry of Foreign Affairs and Trade","language":"en-NZ","title":"Annual Report 2021-22","URL":"https://www.mfat.govt.nz/en/about-us/mfat-annual-reports/mfat-annual-report-2021-22/read-the-mfat-annual-report-2021-22/","author":[{"family":"Ministry of Foreign Affairs and Trade","given":""}],"accessed":{"date-parts":[["2022",10,25]]},"issued":{"date-parts":[["2022"]]}},"suppress-author":true}],"schema":"https://github.com/citation-style-language/schema/raw/master/csl-citation.json"} </w:instrText>
      </w:r>
      <w:r w:rsidRPr="00F543C1">
        <w:fldChar w:fldCharType="separate"/>
      </w:r>
      <w:r w:rsidRPr="00F543C1">
        <w:rPr>
          <w:rFonts w:cs="Calibri"/>
        </w:rPr>
        <w:t>(2022)</w:t>
      </w:r>
      <w:r w:rsidRPr="00F543C1">
        <w:fldChar w:fldCharType="end"/>
      </w:r>
      <w:r w:rsidRPr="00726346">
        <w:t>.</w:t>
      </w:r>
    </w:p>
    <w:p w14:paraId="20EF3263" w14:textId="1869F5D9" w:rsidR="00FA12B5" w:rsidRPr="00F543C1" w:rsidRDefault="00FA12B5" w:rsidP="00FA12B5">
      <w:pPr>
        <w:ind w:left="851"/>
      </w:pPr>
      <w:r w:rsidRPr="00F543C1">
        <w:t>Scrutiny is provided by the work of Select Committees, written and oral questioning of Ministers by MPs and the work of the Audit Office and the Ombudsman</w:t>
      </w:r>
      <w:r w:rsidR="00EF72F4" w:rsidRPr="00F543C1">
        <w:t>.</w:t>
      </w:r>
      <w:r w:rsidRPr="009006D7">
        <w:rPr>
          <w:rStyle w:val="FootnoteReference"/>
        </w:rPr>
        <w:footnoteReference w:id="151"/>
      </w:r>
      <w:r w:rsidRPr="00726346">
        <w:t xml:space="preserve"> </w:t>
      </w:r>
    </w:p>
    <w:p w14:paraId="147F7947" w14:textId="3CAEF0E7" w:rsidR="00550168" w:rsidRPr="00F543C1" w:rsidRDefault="009C1439" w:rsidP="00550168">
      <w:pPr>
        <w:ind w:left="851"/>
      </w:pPr>
      <w:r w:rsidRPr="00F543C1">
        <w:t>Parliament</w:t>
      </w:r>
      <w:r w:rsidR="007641C3" w:rsidRPr="00F543C1">
        <w:t xml:space="preserve"> has</w:t>
      </w:r>
      <w:r w:rsidRPr="00F543C1">
        <w:t xml:space="preserve"> a key role to play in one of New Zealand’s more </w:t>
      </w:r>
      <w:r w:rsidR="000453BF" w:rsidRPr="00F543C1">
        <w:t>effective accountability</w:t>
      </w:r>
      <w:r w:rsidRPr="00F543C1">
        <w:t xml:space="preserve"> </w:t>
      </w:r>
      <w:r w:rsidR="000453BF" w:rsidRPr="00F543C1">
        <w:t>regimes, the fiscal responsibility provisions of the Public Finance Act.</w:t>
      </w:r>
      <w:r w:rsidR="009D77FE" w:rsidRPr="009D77FE">
        <w:rPr>
          <w:rStyle w:val="FootnoteReference"/>
        </w:rPr>
        <w:t xml:space="preserve"> </w:t>
      </w:r>
      <w:r w:rsidR="009D77FE" w:rsidRPr="009006D7">
        <w:rPr>
          <w:rStyle w:val="FootnoteReference"/>
        </w:rPr>
        <w:footnoteReference w:id="152"/>
      </w:r>
      <w:r w:rsidR="00550168" w:rsidRPr="00F543C1">
        <w:rPr>
          <w:rStyle w:val="FootnoteReference"/>
          <w:iCs/>
        </w:rPr>
        <w:t xml:space="preserve"> </w:t>
      </w:r>
      <w:r w:rsidR="00550168" w:rsidRPr="00F543C1">
        <w:t>Matthew Palmer and Dean Knight</w:t>
      </w:r>
      <w:r w:rsidR="00CB1AC1" w:rsidRPr="00F543C1">
        <w:t xml:space="preserve"> </w:t>
      </w:r>
      <w:r w:rsidR="007641C3" w:rsidRPr="00F543C1">
        <w:t>regard</w:t>
      </w:r>
      <w:r w:rsidR="00CB1AC1" w:rsidRPr="00F543C1">
        <w:t xml:space="preserve"> </w:t>
      </w:r>
      <w:r w:rsidR="00B51019" w:rsidRPr="00F543C1">
        <w:t>these provisions</w:t>
      </w:r>
      <w:r w:rsidR="00CB1AC1" w:rsidRPr="00F543C1">
        <w:t xml:space="preserve"> </w:t>
      </w:r>
      <w:r w:rsidR="007641C3" w:rsidRPr="00F543C1">
        <w:t>as</w:t>
      </w:r>
      <w:r w:rsidR="00CB1AC1" w:rsidRPr="00F543C1">
        <w:t xml:space="preserve"> having </w:t>
      </w:r>
      <w:r w:rsidR="00550168" w:rsidRPr="00F543C1">
        <w:t>constitutional</w:t>
      </w:r>
      <w:r w:rsidR="00B51019" w:rsidRPr="00F543C1">
        <w:t xml:space="preserve"> status</w:t>
      </w:r>
      <w:r w:rsidR="00550168" w:rsidRPr="00F543C1">
        <w:t>:</w:t>
      </w:r>
    </w:p>
    <w:p w14:paraId="1D867826" w14:textId="77777777" w:rsidR="00550168" w:rsidRPr="00F543C1" w:rsidRDefault="00550168" w:rsidP="004004A3">
      <w:pPr>
        <w:pStyle w:val="Quotation"/>
      </w:pPr>
      <w:r w:rsidRPr="00F543C1">
        <w:t xml:space="preserve">The fiscal responsibility provisions, along with the rest of the public sector financial management effected by the [Public Finance] Act, represent a direct constitutional constraint on government. </w:t>
      </w:r>
      <w:r w:rsidRPr="00F543C1">
        <w:rPr>
          <w:i w:val="0"/>
          <w:iCs/>
        </w:rPr>
        <w:t>(Palmer and Knight 2022, 104).</w:t>
      </w:r>
    </w:p>
    <w:p w14:paraId="39D482CE" w14:textId="5CB7E2D2" w:rsidR="000453BF" w:rsidRPr="00F543C1" w:rsidRDefault="002472A4" w:rsidP="00550168">
      <w:pPr>
        <w:ind w:left="851"/>
      </w:pPr>
      <w:r w:rsidRPr="00F543C1">
        <w:t>An important aspect of th</w:t>
      </w:r>
      <w:r w:rsidR="0023731A" w:rsidRPr="00F543C1">
        <w:t xml:space="preserve">e fiscal </w:t>
      </w:r>
      <w:r w:rsidR="00096133" w:rsidRPr="00F543C1">
        <w:t>responsibility</w:t>
      </w:r>
      <w:r w:rsidRPr="00F543C1">
        <w:t xml:space="preserve"> regime is that it</w:t>
      </w:r>
      <w:r w:rsidR="000453BF" w:rsidRPr="00F543C1">
        <w:t xml:space="preserve"> does not contain prescriptive policy targets and is based on a set of principles that allow any government wide latitude regarding its fiscal policy intentions. What is required in accountability terms is that the government must state why its policies are consistent with those principles and provide independent reporting of progress towards them. As Derek Gill comments:</w:t>
      </w:r>
    </w:p>
    <w:p w14:paraId="28AADF0C" w14:textId="51169E01" w:rsidR="000453BF" w:rsidRPr="00726346" w:rsidRDefault="000453BF" w:rsidP="000453BF">
      <w:pPr>
        <w:pStyle w:val="Quotation"/>
      </w:pPr>
      <w:r w:rsidRPr="00F543C1">
        <w:t xml:space="preserve">When the Fiscal Responsibility Act (FRA) was introduced, the FRA had limited opposition but only lukewarm support because it was expected to be ineffective due to its lack of legal enforceability. Today it provides the foundation for the Treasury’s budgeting process, is embedded in the wider political discourse and is part of New Zealand’s constitutional arrangements. </w:t>
      </w:r>
      <w:r w:rsidRPr="00F543C1">
        <w:rPr>
          <w:i w:val="0"/>
          <w:iCs/>
        </w:rPr>
        <w:fldChar w:fldCharType="begin"/>
      </w:r>
      <w:r w:rsidR="009B0EC4">
        <w:rPr>
          <w:i w:val="0"/>
          <w:iCs/>
        </w:rPr>
        <w:instrText xml:space="preserve"> ADDIN ZOTERO_ITEM CSL_CITATION {"citationID":"hl6nBJz7","properties":{"formattedCitation":"(Gill 2018, i)","plainCitation":"(Gill 2018, i)","noteIndex":0},"citationItems":[{"id":16075,"uris":["http://zotero.org/groups/4801058/items/CH9FU32F"],"itemData":{"id":16075,"type":"article-journal","abstract":"This paper discusses how New Zealand already has a highly independent fiscal institution in the Treasury. A more limited case can be made for an institution to support the opposition in costing policy proposals as occurs in Australia with the Parliamentary Budget Office. The unexpected success of the FRA highlights how difficult it will be to create the conditions for another independent budget office to succeed in New Zealand.","ISSN":"1176-4384","language":"English","note":"Accepted: 2019-02-13T19:16:08Z\npublisher: New Zealand Institute of Economic Research","source":"think-asia.org","title":"The Fiscal Responsibility Act 1994: The astonishing success of a weak non-binding policy","title-short":"The Fiscal Responsibility Act 1994","URL":"https://think-asia.org/handle/11540/9522","author":[{"family":"Gill","given":"Derek"}],"accessed":{"date-parts":[["2022",9,27]]},"issued":{"date-parts":[["2018",11,30]]}},"locator":"i","label":"page"}],"schema":"https://github.com/citation-style-language/schema/raw/master/csl-citation.json"} </w:instrText>
      </w:r>
      <w:r w:rsidRPr="00F543C1">
        <w:rPr>
          <w:i w:val="0"/>
          <w:iCs/>
        </w:rPr>
        <w:fldChar w:fldCharType="separate"/>
      </w:r>
      <w:r w:rsidRPr="00F543C1">
        <w:rPr>
          <w:rFonts w:cs="Calibri"/>
          <w:i w:val="0"/>
          <w:iCs/>
        </w:rPr>
        <w:t>(Gill 2018, i)</w:t>
      </w:r>
      <w:r w:rsidRPr="00F543C1">
        <w:rPr>
          <w:i w:val="0"/>
          <w:iCs/>
        </w:rPr>
        <w:fldChar w:fldCharType="end"/>
      </w:r>
    </w:p>
    <w:p w14:paraId="0B6EE2AF" w14:textId="7F0AAB28" w:rsidR="006A4998" w:rsidRDefault="007F738A" w:rsidP="001A6BD8">
      <w:pPr>
        <w:keepNext/>
        <w:ind w:left="851"/>
      </w:pPr>
      <w:r>
        <w:lastRenderedPageBreak/>
        <w:fldChar w:fldCharType="begin"/>
      </w:r>
      <w:r>
        <w:instrText xml:space="preserve"> REF Box5 \r \h </w:instrText>
      </w:r>
      <w:r>
        <w:fldChar w:fldCharType="separate"/>
      </w:r>
      <w:r w:rsidR="00E06351">
        <w:t>Box 4</w:t>
      </w:r>
      <w:r>
        <w:fldChar w:fldCharType="end"/>
      </w:r>
      <w:r>
        <w:t xml:space="preserve"> explains the effectiveness of these provisions.</w:t>
      </w:r>
    </w:p>
    <w:tbl>
      <w:tblPr>
        <w:tblStyle w:val="TableDefault"/>
        <w:tblW w:w="0" w:type="auto"/>
        <w:tblBorders>
          <w:top w:val="none" w:sz="0" w:space="0" w:color="auto"/>
          <w:bottom w:val="none" w:sz="0" w:space="0" w:color="auto"/>
          <w:insideH w:val="none" w:sz="0" w:space="0" w:color="auto"/>
        </w:tblBorders>
        <w:shd w:val="clear" w:color="auto" w:fill="C0EFFF" w:themeFill="accent1" w:themeFillTint="33"/>
        <w:tblLook w:val="04A0" w:firstRow="1" w:lastRow="0" w:firstColumn="1" w:lastColumn="0" w:noHBand="0" w:noVBand="1"/>
      </w:tblPr>
      <w:tblGrid>
        <w:gridCol w:w="7937"/>
      </w:tblGrid>
      <w:tr w:rsidR="006A4998" w:rsidRPr="00F543C1" w14:paraId="5F46D01F" w14:textId="77777777">
        <w:trPr>
          <w:cnfStyle w:val="100000000000" w:firstRow="1" w:lastRow="0" w:firstColumn="0" w:lastColumn="0" w:oddVBand="0" w:evenVBand="0" w:oddHBand="0" w:evenHBand="0" w:firstRowFirstColumn="0" w:firstRowLastColumn="0" w:lastRowFirstColumn="0" w:lastRowLastColumn="0"/>
        </w:trPr>
        <w:tc>
          <w:tcPr>
            <w:tcW w:w="7937" w:type="dxa"/>
            <w:shd w:val="clear" w:color="auto" w:fill="C0EFFF" w:themeFill="accent1" w:themeFillTint="33"/>
          </w:tcPr>
          <w:p w14:paraId="37FB0BC5" w14:textId="38B7386F" w:rsidR="006A4998" w:rsidRPr="00852078" w:rsidRDefault="006A4998" w:rsidP="00852078">
            <w:pPr>
              <w:pStyle w:val="Box2"/>
              <w:keepNext/>
              <w:spacing w:line="240" w:lineRule="auto"/>
              <w:rPr>
                <w:sz w:val="18"/>
                <w:szCs w:val="18"/>
              </w:rPr>
            </w:pPr>
            <w:bookmarkStart w:id="177" w:name="_Toc126841255"/>
            <w:bookmarkStart w:id="178" w:name="Box5"/>
            <w:r w:rsidRPr="00852078">
              <w:rPr>
                <w:sz w:val="18"/>
                <w:szCs w:val="18"/>
              </w:rPr>
              <w:t xml:space="preserve">Why the fiscal responsibility provisions have been so </w:t>
            </w:r>
            <w:proofErr w:type="gramStart"/>
            <w:r w:rsidRPr="00852078">
              <w:rPr>
                <w:sz w:val="18"/>
                <w:szCs w:val="18"/>
              </w:rPr>
              <w:t>effective</w:t>
            </w:r>
            <w:bookmarkEnd w:id="177"/>
            <w:proofErr w:type="gramEnd"/>
          </w:p>
          <w:bookmarkEnd w:id="178"/>
          <w:p w14:paraId="34FF673F" w14:textId="77777777" w:rsidR="006A4998" w:rsidRPr="00852078" w:rsidRDefault="006A4998" w:rsidP="00852078">
            <w:pPr>
              <w:keepNext/>
              <w:spacing w:line="240" w:lineRule="auto"/>
              <w:ind w:left="120"/>
              <w:rPr>
                <w:sz w:val="18"/>
                <w:szCs w:val="18"/>
              </w:rPr>
            </w:pPr>
            <w:r w:rsidRPr="00852078">
              <w:rPr>
                <w:sz w:val="18"/>
                <w:szCs w:val="18"/>
              </w:rPr>
              <w:t>The fiscal responsibility provisions of the Public Finance Act were introduced to limit the ability of the government of the day to manipulate the presentation of the country’s economic and fiscal position and require prudent fiscal policy.</w:t>
            </w:r>
            <w:r w:rsidRPr="009006D7">
              <w:rPr>
                <w:rStyle w:val="FootnoteReference"/>
              </w:rPr>
              <w:footnoteReference w:id="153"/>
            </w:r>
            <w:r w:rsidRPr="00852078">
              <w:rPr>
                <w:sz w:val="18"/>
                <w:szCs w:val="18"/>
              </w:rPr>
              <w:t xml:space="preserve"> Before the provisions were introduced, government debt had become unsustainable, and governments had essentially lied to the public about the state of the government’s accounts.</w:t>
            </w:r>
            <w:r w:rsidRPr="009006D7">
              <w:rPr>
                <w:rStyle w:val="FootnoteReference"/>
              </w:rPr>
              <w:footnoteReference w:id="154"/>
            </w:r>
            <w:r w:rsidRPr="00852078">
              <w:rPr>
                <w:sz w:val="18"/>
                <w:szCs w:val="18"/>
              </w:rPr>
              <w:t xml:space="preserve"> </w:t>
            </w:r>
          </w:p>
          <w:p w14:paraId="4528BE31" w14:textId="77777777" w:rsidR="006A4998" w:rsidRPr="00852078" w:rsidRDefault="006A4998" w:rsidP="00852078">
            <w:pPr>
              <w:keepNext/>
              <w:spacing w:line="240" w:lineRule="auto"/>
              <w:ind w:left="120"/>
              <w:rPr>
                <w:sz w:val="18"/>
                <w:szCs w:val="18"/>
              </w:rPr>
            </w:pPr>
            <w:r w:rsidRPr="00852078">
              <w:rPr>
                <w:sz w:val="18"/>
                <w:szCs w:val="18"/>
              </w:rPr>
              <w:t>The fiscal responsibility provisions in the Public Finance Act have succeeded in radically changing the conduct of fiscal policy in New Zealand because:</w:t>
            </w:r>
          </w:p>
          <w:p w14:paraId="471543A1" w14:textId="77777777" w:rsidR="006A4998" w:rsidRPr="00852078" w:rsidRDefault="006A4998" w:rsidP="00852078">
            <w:pPr>
              <w:pStyle w:val="USBullet1"/>
              <w:keepNext/>
              <w:tabs>
                <w:tab w:val="clear" w:pos="1235"/>
              </w:tabs>
              <w:spacing w:line="240" w:lineRule="auto"/>
              <w:ind w:left="660"/>
              <w:rPr>
                <w:sz w:val="18"/>
                <w:szCs w:val="18"/>
              </w:rPr>
            </w:pPr>
            <w:r w:rsidRPr="00852078">
              <w:rPr>
                <w:sz w:val="18"/>
                <w:szCs w:val="18"/>
              </w:rPr>
              <w:t xml:space="preserve">The Fiscal Responsibility Act was championed by a government that had been poorly served by the previous accountability </w:t>
            </w:r>
            <w:proofErr w:type="gramStart"/>
            <w:r w:rsidRPr="00852078">
              <w:rPr>
                <w:sz w:val="18"/>
                <w:szCs w:val="18"/>
              </w:rPr>
              <w:t>regime</w:t>
            </w:r>
            <w:proofErr w:type="gramEnd"/>
          </w:p>
          <w:p w14:paraId="15D04B90" w14:textId="77777777" w:rsidR="006A4998" w:rsidRPr="00852078" w:rsidRDefault="006A4998" w:rsidP="00852078">
            <w:pPr>
              <w:pStyle w:val="USBullet1"/>
              <w:keepNext/>
              <w:tabs>
                <w:tab w:val="clear" w:pos="1235"/>
              </w:tabs>
              <w:spacing w:line="240" w:lineRule="auto"/>
              <w:ind w:left="660"/>
              <w:rPr>
                <w:sz w:val="18"/>
                <w:szCs w:val="18"/>
              </w:rPr>
            </w:pPr>
            <w:r w:rsidRPr="00852078">
              <w:rPr>
                <w:sz w:val="18"/>
                <w:szCs w:val="18"/>
              </w:rPr>
              <w:t>Its development and introduction were led by a senior Minister, with evident support from the Prime Minister</w:t>
            </w:r>
            <w:r w:rsidRPr="009006D7">
              <w:rPr>
                <w:rStyle w:val="FootnoteReference"/>
              </w:rPr>
              <w:footnoteReference w:id="155"/>
            </w:r>
          </w:p>
          <w:p w14:paraId="72EF7F25" w14:textId="77777777" w:rsidR="006A4998" w:rsidRPr="00852078" w:rsidRDefault="006A4998" w:rsidP="00852078">
            <w:pPr>
              <w:pStyle w:val="USBullet1"/>
              <w:keepNext/>
              <w:tabs>
                <w:tab w:val="clear" w:pos="1235"/>
              </w:tabs>
              <w:spacing w:line="240" w:lineRule="auto"/>
              <w:ind w:left="660"/>
              <w:rPr>
                <w:sz w:val="18"/>
                <w:szCs w:val="18"/>
              </w:rPr>
            </w:pPr>
            <w:r w:rsidRPr="00852078">
              <w:rPr>
                <w:sz w:val="18"/>
                <w:szCs w:val="18"/>
              </w:rPr>
              <w:t xml:space="preserve">Day-to-day operation of the Act was the responsibility of a department (the Treasury) which had the authority and the ability to ensure that all other departments were effectively brought into the ambit of the </w:t>
            </w:r>
            <w:proofErr w:type="gramStart"/>
            <w:r w:rsidRPr="00852078">
              <w:rPr>
                <w:sz w:val="18"/>
                <w:szCs w:val="18"/>
              </w:rPr>
              <w:t>Act</w:t>
            </w:r>
            <w:proofErr w:type="gramEnd"/>
          </w:p>
          <w:p w14:paraId="68ED923E" w14:textId="77777777" w:rsidR="006A4998" w:rsidRPr="00852078" w:rsidRDefault="006A4998" w:rsidP="00852078">
            <w:pPr>
              <w:pStyle w:val="USBullet1"/>
              <w:keepNext/>
              <w:tabs>
                <w:tab w:val="clear" w:pos="1235"/>
              </w:tabs>
              <w:spacing w:line="240" w:lineRule="auto"/>
              <w:ind w:left="660"/>
              <w:rPr>
                <w:sz w:val="18"/>
                <w:szCs w:val="18"/>
              </w:rPr>
            </w:pPr>
            <w:r w:rsidRPr="00852078">
              <w:rPr>
                <w:sz w:val="18"/>
                <w:szCs w:val="18"/>
              </w:rPr>
              <w:t>The provisions were principles-based and gave the government of the day significant flexibility to conduct fiscal policy, provided they were prepared to state and defend their policies.</w:t>
            </w:r>
            <w:r w:rsidRPr="009006D7">
              <w:rPr>
                <w:rStyle w:val="FootnoteReference"/>
              </w:rPr>
              <w:footnoteReference w:id="156"/>
            </w:r>
          </w:p>
          <w:p w14:paraId="7D1052A0" w14:textId="0346C3E3" w:rsidR="006A4998" w:rsidRPr="00852078" w:rsidRDefault="006A4998" w:rsidP="00852078">
            <w:pPr>
              <w:pStyle w:val="USBullet1"/>
              <w:keepNext/>
              <w:tabs>
                <w:tab w:val="clear" w:pos="1235"/>
              </w:tabs>
              <w:spacing w:line="240" w:lineRule="auto"/>
              <w:ind w:left="660"/>
              <w:rPr>
                <w:sz w:val="18"/>
                <w:szCs w:val="18"/>
              </w:rPr>
            </w:pPr>
            <w:r w:rsidRPr="00852078">
              <w:rPr>
                <w:sz w:val="18"/>
                <w:szCs w:val="18"/>
              </w:rPr>
              <w:t xml:space="preserve">The opposition soon saw that complying with the provisions was to its political advantage.  </w:t>
            </w:r>
          </w:p>
          <w:p w14:paraId="763EB8DC" w14:textId="77777777" w:rsidR="006A4998" w:rsidRPr="00F543C1" w:rsidRDefault="006A4998" w:rsidP="00852078">
            <w:pPr>
              <w:keepNext/>
              <w:spacing w:line="240" w:lineRule="auto"/>
              <w:ind w:left="120"/>
            </w:pPr>
            <w:r w:rsidRPr="00852078">
              <w:rPr>
                <w:sz w:val="18"/>
                <w:szCs w:val="18"/>
              </w:rPr>
              <w:t>The provisions have endured for almost thirty years, across multiple governments facing very different economic circumstances and with very different policy programmes.</w:t>
            </w:r>
            <w:r w:rsidRPr="009006D7">
              <w:rPr>
                <w:rStyle w:val="FootnoteReference"/>
              </w:rPr>
              <w:footnoteReference w:id="157"/>
            </w:r>
            <w:r w:rsidRPr="00852078" w:rsidDel="009628E4">
              <w:rPr>
                <w:sz w:val="18"/>
                <w:szCs w:val="18"/>
              </w:rPr>
              <w:t xml:space="preserve"> </w:t>
            </w:r>
          </w:p>
        </w:tc>
      </w:tr>
    </w:tbl>
    <w:p w14:paraId="3AAB2D5F" w14:textId="77777777" w:rsidR="006A4998" w:rsidRDefault="006A4998" w:rsidP="006A4998">
      <w:pPr>
        <w:ind w:left="851"/>
      </w:pPr>
    </w:p>
    <w:p w14:paraId="2807E570" w14:textId="7B03D2FD" w:rsidR="00EA59ED" w:rsidRPr="00F543C1" w:rsidRDefault="003B0F4B" w:rsidP="00FA12B5">
      <w:pPr>
        <w:ind w:left="851"/>
      </w:pPr>
      <w:r w:rsidRPr="00F543C1">
        <w:t xml:space="preserve">The reports and statements required to be produced under the regime are all tabled </w:t>
      </w:r>
      <w:r w:rsidR="009C2E2B" w:rsidRPr="00F543C1">
        <w:t>in</w:t>
      </w:r>
      <w:r w:rsidRPr="00F543C1">
        <w:t xml:space="preserve"> Parliament</w:t>
      </w:r>
      <w:r w:rsidR="00A33F13" w:rsidRPr="00F543C1">
        <w:t>,</w:t>
      </w:r>
      <w:r w:rsidRPr="00F543C1">
        <w:t xml:space="preserve"> and the Standing Orders </w:t>
      </w:r>
      <w:r w:rsidR="009C2E2B" w:rsidRPr="00F543C1">
        <w:t xml:space="preserve">require them to be considered by a </w:t>
      </w:r>
      <w:r w:rsidR="0078742D" w:rsidRPr="00F543C1">
        <w:t>Finance and Expenditure Committee and debated in the House.</w:t>
      </w:r>
    </w:p>
    <w:p w14:paraId="231B399D" w14:textId="10EE7B96" w:rsidR="00184E91" w:rsidRPr="00F543C1" w:rsidRDefault="00376DCC" w:rsidP="00FA12B5">
      <w:pPr>
        <w:ind w:left="851"/>
      </w:pPr>
      <w:r w:rsidRPr="00F543C1">
        <w:t xml:space="preserve">Parliamentary accountability, however, does not </w:t>
      </w:r>
      <w:r w:rsidR="00184E91" w:rsidRPr="00F543C1">
        <w:t>cover many important issues:</w:t>
      </w:r>
    </w:p>
    <w:p w14:paraId="200C8B4B" w14:textId="7F0718A8" w:rsidR="00106651" w:rsidRPr="00F543C1" w:rsidRDefault="0089033F" w:rsidP="0089033F">
      <w:pPr>
        <w:pStyle w:val="USBullet1"/>
      </w:pPr>
      <w:r w:rsidRPr="00F543C1">
        <w:t xml:space="preserve">While it focuses on the taxes New Zealanders pay and how they are spent, it does not consider other contributions people make to the state and </w:t>
      </w:r>
      <w:r w:rsidR="008B3204" w:rsidRPr="00F543C1">
        <w:t xml:space="preserve">society, </w:t>
      </w:r>
      <w:r w:rsidR="009560DF" w:rsidRPr="00F543C1">
        <w:t>such as</w:t>
      </w:r>
      <w:r w:rsidR="008B3204" w:rsidRPr="00F543C1">
        <w:t xml:space="preserve"> their time spent complying with laws, </w:t>
      </w:r>
      <w:proofErr w:type="gramStart"/>
      <w:r w:rsidR="008B3204" w:rsidRPr="00F543C1">
        <w:t>volunteering</w:t>
      </w:r>
      <w:proofErr w:type="gramEnd"/>
      <w:r w:rsidR="00D43AB2" w:rsidRPr="00F543C1">
        <w:t xml:space="preserve"> or </w:t>
      </w:r>
      <w:r w:rsidR="00FB4531" w:rsidRPr="00F543C1">
        <w:t>the very act of holding politicians to account by their participation in civil society</w:t>
      </w:r>
      <w:r w:rsidR="00E822E5" w:rsidRPr="00F543C1">
        <w:t xml:space="preserve"> and</w:t>
      </w:r>
    </w:p>
    <w:p w14:paraId="66F3B987" w14:textId="2509D99A" w:rsidR="00F03D77" w:rsidRPr="00F543C1" w:rsidRDefault="00106651" w:rsidP="00F35E30">
      <w:pPr>
        <w:pStyle w:val="USBullet1"/>
      </w:pPr>
      <w:r w:rsidRPr="00F543C1">
        <w:t xml:space="preserve">The fiscal origins of the accountability system </w:t>
      </w:r>
      <w:r w:rsidR="00013DCC" w:rsidRPr="00F543C1">
        <w:t>mean it is largely concerned with the tangible and the countable</w:t>
      </w:r>
      <w:r w:rsidR="00F35E30" w:rsidRPr="00F543C1">
        <w:t>.</w:t>
      </w:r>
    </w:p>
    <w:p w14:paraId="136CB398" w14:textId="37506ABA" w:rsidR="00FA12B5" w:rsidRPr="00F543C1" w:rsidRDefault="00FA12B5" w:rsidP="00FA12B5">
      <w:pPr>
        <w:ind w:left="851"/>
      </w:pPr>
      <w:r w:rsidRPr="00F543C1">
        <w:lastRenderedPageBreak/>
        <w:t xml:space="preserve">The New Zealand Auditor-General recently commented that: </w:t>
      </w:r>
    </w:p>
    <w:p w14:paraId="4C328777" w14:textId="77777777" w:rsidR="00FA12B5" w:rsidRPr="00F543C1" w:rsidRDefault="00FA12B5" w:rsidP="00FA12B5">
      <w:pPr>
        <w:ind w:left="1275"/>
        <w:rPr>
          <w:i/>
          <w:iCs/>
        </w:rPr>
      </w:pPr>
      <w:r w:rsidRPr="00F543C1">
        <w:rPr>
          <w:i/>
          <w:iCs/>
        </w:rPr>
        <w:t>Explaining performance includes describing:</w:t>
      </w:r>
    </w:p>
    <w:p w14:paraId="4983B161" w14:textId="77777777" w:rsidR="00FA12B5" w:rsidRPr="00F543C1" w:rsidRDefault="00FA12B5" w:rsidP="00FA12B5">
      <w:pPr>
        <w:numPr>
          <w:ilvl w:val="0"/>
          <w:numId w:val="1"/>
        </w:numPr>
        <w:tabs>
          <w:tab w:val="num" w:pos="1700"/>
        </w:tabs>
        <w:ind w:left="1700"/>
        <w:rPr>
          <w:i/>
          <w:iCs/>
        </w:rPr>
      </w:pPr>
      <w:r w:rsidRPr="00F543C1">
        <w:rPr>
          <w:i/>
          <w:iCs/>
        </w:rPr>
        <w:t>how an organisation spends money on necessary resources (such as people or equipment</w:t>
      </w:r>
      <w:proofErr w:type="gramStart"/>
      <w:r w:rsidRPr="00F543C1">
        <w:rPr>
          <w:i/>
          <w:iCs/>
        </w:rPr>
        <w:t>);</w:t>
      </w:r>
      <w:proofErr w:type="gramEnd"/>
    </w:p>
    <w:p w14:paraId="5C38A536" w14:textId="77777777" w:rsidR="00FA12B5" w:rsidRPr="00F543C1" w:rsidRDefault="00FA12B5" w:rsidP="00FA12B5">
      <w:pPr>
        <w:numPr>
          <w:ilvl w:val="0"/>
          <w:numId w:val="1"/>
        </w:numPr>
        <w:tabs>
          <w:tab w:val="num" w:pos="1700"/>
        </w:tabs>
        <w:ind w:left="1700"/>
        <w:rPr>
          <w:i/>
          <w:iCs/>
        </w:rPr>
      </w:pPr>
      <w:r w:rsidRPr="00F543C1">
        <w:rPr>
          <w:i/>
          <w:iCs/>
        </w:rPr>
        <w:t xml:space="preserve">how it uses those resources to deliver services or other outputs (such as elective surgery or improved road signs); and </w:t>
      </w:r>
    </w:p>
    <w:p w14:paraId="0426F3B2" w14:textId="088C1D5F" w:rsidR="00FA12B5" w:rsidRPr="00F543C1" w:rsidRDefault="00FA12B5" w:rsidP="00FA12B5">
      <w:pPr>
        <w:numPr>
          <w:ilvl w:val="0"/>
          <w:numId w:val="1"/>
        </w:numPr>
        <w:tabs>
          <w:tab w:val="num" w:pos="1700"/>
        </w:tabs>
        <w:ind w:left="1700"/>
        <w:rPr>
          <w:i/>
          <w:iCs/>
        </w:rPr>
      </w:pPr>
      <w:r w:rsidRPr="00F543C1">
        <w:rPr>
          <w:i/>
          <w:iCs/>
        </w:rPr>
        <w:t xml:space="preserve">how those services or outputs impact on planned outcomes (such as healthier communities or safer roads) </w:t>
      </w:r>
      <w:r w:rsidRPr="00F543C1">
        <w:rPr>
          <w:i/>
          <w:iCs/>
        </w:rPr>
        <w:fldChar w:fldCharType="begin"/>
      </w:r>
      <w:r w:rsidR="009B0EC4">
        <w:rPr>
          <w:i/>
          <w:iCs/>
        </w:rPr>
        <w:instrText xml:space="preserve"> ADDIN ZOTERO_ITEM CSL_CITATION {"citationID":"cXGjti72","properties":{"formattedCitation":"(Office of the Auditor-General 2021, 5)","plainCitation":"(Office of the Auditor-General 2021, 5)","noteIndex":0},"citationItems":[{"id":16796,"uris":["http://zotero.org/groups/4801058/items/JKDQUU9D"],"itemData":{"id":16796,"type":"report","event-place":"Wellington","language":"en","page":"48","publisher":"Office of the Auditor-General","publisher-place":"Wellington","source":"Zotero","title":"The problems, progress, and potential of performance reporting","author":[{"family":"Office of the Auditor-General","given":""}],"issued":{"date-parts":[["2021"]]}},"locator":"5","label":"page"}],"schema":"https://github.com/citation-style-language/schema/raw/master/csl-citation.json"} </w:instrText>
      </w:r>
      <w:r w:rsidRPr="00F543C1">
        <w:rPr>
          <w:i/>
          <w:iCs/>
        </w:rPr>
        <w:fldChar w:fldCharType="separate"/>
      </w:r>
      <w:r w:rsidRPr="00F543C1">
        <w:rPr>
          <w:rFonts w:cs="Calibri"/>
        </w:rPr>
        <w:t>(Office of the Auditor-General 2021, 5)</w:t>
      </w:r>
      <w:r w:rsidRPr="00F543C1">
        <w:rPr>
          <w:i/>
          <w:iCs/>
        </w:rPr>
        <w:fldChar w:fldCharType="end"/>
      </w:r>
      <w:r w:rsidRPr="00726346">
        <w:rPr>
          <w:i/>
          <w:iCs/>
        </w:rPr>
        <w:t>.</w:t>
      </w:r>
    </w:p>
    <w:p w14:paraId="655F966E" w14:textId="7C40487C" w:rsidR="00FA12B5" w:rsidRPr="00F543C1" w:rsidRDefault="00FA12B5" w:rsidP="00FA12B5">
      <w:pPr>
        <w:ind w:left="851"/>
      </w:pPr>
      <w:r w:rsidRPr="00F543C1">
        <w:t>He illustrated this model as shown in</w:t>
      </w:r>
      <w:r w:rsidR="009D44D9" w:rsidRPr="00347879">
        <w:rPr>
          <w:b/>
          <w:bCs/>
        </w:rPr>
        <w:t xml:space="preserve"> </w:t>
      </w:r>
      <w:r w:rsidR="009D44D9" w:rsidRPr="00347879">
        <w:rPr>
          <w:b/>
          <w:bCs/>
        </w:rPr>
        <w:fldChar w:fldCharType="begin"/>
      </w:r>
      <w:r w:rsidR="009D44D9" w:rsidRPr="00347879">
        <w:rPr>
          <w:b/>
          <w:bCs/>
        </w:rPr>
        <w:instrText xml:space="preserve"> REF _Ref124877225 \h </w:instrText>
      </w:r>
      <w:r w:rsidR="000177FE" w:rsidRPr="00347879">
        <w:rPr>
          <w:b/>
          <w:bCs/>
        </w:rPr>
        <w:instrText xml:space="preserve"> \* MERGEFORMAT </w:instrText>
      </w:r>
      <w:r w:rsidR="009D44D9" w:rsidRPr="00347879">
        <w:rPr>
          <w:b/>
          <w:bCs/>
        </w:rPr>
      </w:r>
      <w:r w:rsidR="009D44D9" w:rsidRPr="00347879">
        <w:rPr>
          <w:b/>
          <w:bCs/>
        </w:rPr>
        <w:fldChar w:fldCharType="separate"/>
      </w:r>
      <w:r w:rsidR="00E06351" w:rsidRPr="00F543C1">
        <w:t>Figure </w:t>
      </w:r>
      <w:r w:rsidR="00E06351">
        <w:t>9</w:t>
      </w:r>
      <w:r w:rsidR="009D44D9" w:rsidRPr="00347879">
        <w:rPr>
          <w:b/>
          <w:bCs/>
        </w:rPr>
        <w:fldChar w:fldCharType="end"/>
      </w:r>
      <w:r w:rsidRPr="00726346">
        <w:t>.</w:t>
      </w:r>
      <w:r w:rsidR="00C96526" w:rsidRPr="00F543C1">
        <w:t xml:space="preserve"> One notable feature of this </w:t>
      </w:r>
      <w:r w:rsidR="008431A2" w:rsidRPr="00F543C1">
        <w:t>diagram</w:t>
      </w:r>
      <w:r w:rsidR="008672E6" w:rsidRPr="00F543C1">
        <w:t xml:space="preserve"> is the order in which the process is presented: it starts with </w:t>
      </w:r>
      <w:r w:rsidR="00B85BB2" w:rsidRPr="00F543C1">
        <w:t>raising revenue and assessing</w:t>
      </w:r>
      <w:r w:rsidR="009B2839" w:rsidRPr="00F543C1">
        <w:t xml:space="preserve"> outcomes. While understandable from one perspective, we consider that setting outcomes should be the start of the process. </w:t>
      </w:r>
    </w:p>
    <w:p w14:paraId="64DA1E85" w14:textId="4CC88F39" w:rsidR="00FA12B5" w:rsidRPr="00F543C1" w:rsidRDefault="00FA12B5" w:rsidP="00FA12B5">
      <w:pPr>
        <w:pStyle w:val="FigureCaption"/>
      </w:pPr>
      <w:bookmarkStart w:id="179" w:name="_Ref124877225"/>
      <w:bookmarkStart w:id="180" w:name="_Toc126841240"/>
      <w:r w:rsidRPr="00F543C1">
        <w:t>Figure </w:t>
      </w:r>
      <w:r w:rsidRPr="00F543C1">
        <w:fldChar w:fldCharType="begin"/>
      </w:r>
      <w:r w:rsidRPr="00F543C1">
        <w:instrText>SEQ Figure \* ARABIC</w:instrText>
      </w:r>
      <w:r w:rsidRPr="00F543C1">
        <w:fldChar w:fldCharType="separate"/>
      </w:r>
      <w:r w:rsidR="00E06351">
        <w:rPr>
          <w:noProof/>
        </w:rPr>
        <w:t>9</w:t>
      </w:r>
      <w:r w:rsidRPr="00F543C1">
        <w:fldChar w:fldCharType="end"/>
      </w:r>
      <w:bookmarkEnd w:id="179"/>
      <w:r w:rsidRPr="00726346">
        <w:t xml:space="preserve"> The process of reporting performance</w:t>
      </w:r>
      <w:bookmarkEnd w:id="180"/>
    </w:p>
    <w:p w14:paraId="1ED1C217" w14:textId="77777777" w:rsidR="00FA12B5" w:rsidRPr="00F543C1" w:rsidRDefault="00FA12B5" w:rsidP="00FA12B5">
      <w:pPr>
        <w:keepNext/>
        <w:spacing w:after="0" w:line="240" w:lineRule="auto"/>
        <w:ind w:left="851"/>
        <w:rPr>
          <w:sz w:val="18"/>
          <w:szCs w:val="18"/>
        </w:rPr>
      </w:pPr>
    </w:p>
    <w:p w14:paraId="700FA3CD" w14:textId="5763EC7E" w:rsidR="00FA12B5" w:rsidRPr="00726346" w:rsidRDefault="00FA12B5" w:rsidP="00FA12B5">
      <w:pPr>
        <w:keepNext/>
        <w:spacing w:after="0" w:line="240" w:lineRule="auto"/>
        <w:ind w:left="851"/>
      </w:pPr>
      <w:r w:rsidRPr="002349E2">
        <w:rPr>
          <w:noProof/>
        </w:rPr>
        <w:drawing>
          <wp:inline distT="0" distB="0" distL="0" distR="0" wp14:anchorId="00FC0009" wp14:editId="27B278AA">
            <wp:extent cx="5760085" cy="310515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rotWithShape="1">
                    <a:blip r:embed="rId27"/>
                    <a:srcRect t="11709" b="8765"/>
                    <a:stretch/>
                  </pic:blipFill>
                  <pic:spPr bwMode="auto">
                    <a:xfrm>
                      <a:off x="0" y="0"/>
                      <a:ext cx="5760085" cy="3105150"/>
                    </a:xfrm>
                    <a:prstGeom prst="rect">
                      <a:avLst/>
                    </a:prstGeom>
                    <a:ln>
                      <a:noFill/>
                    </a:ln>
                    <a:extLst>
                      <a:ext uri="{53640926-AAD7-44D8-BBD7-CCE9431645EC}">
                        <a14:shadowObscured xmlns:a14="http://schemas.microsoft.com/office/drawing/2010/main"/>
                      </a:ext>
                    </a:extLst>
                  </pic:spPr>
                </pic:pic>
              </a:graphicData>
            </a:graphic>
          </wp:inline>
        </w:drawing>
      </w:r>
    </w:p>
    <w:p w14:paraId="230BD933" w14:textId="21C7D30E" w:rsidR="00FA12B5" w:rsidRPr="00726346" w:rsidRDefault="00FA12B5" w:rsidP="00FA12B5">
      <w:pPr>
        <w:spacing w:before="120" w:after="360" w:line="220" w:lineRule="atLeast"/>
        <w:ind w:left="851"/>
        <w:rPr>
          <w:sz w:val="18"/>
        </w:rPr>
      </w:pPr>
      <w:r w:rsidRPr="00F543C1">
        <w:rPr>
          <w:sz w:val="18"/>
        </w:rPr>
        <w:t xml:space="preserve">Source: Office of the Auditor-General </w:t>
      </w:r>
      <w:r w:rsidRPr="00F543C1">
        <w:rPr>
          <w:sz w:val="18"/>
        </w:rPr>
        <w:fldChar w:fldCharType="begin"/>
      </w:r>
      <w:r w:rsidR="009B0EC4">
        <w:rPr>
          <w:sz w:val="18"/>
        </w:rPr>
        <w:instrText xml:space="preserve"> ADDIN ZOTERO_ITEM CSL_CITATION {"citationID":"lWCHC1a4","properties":{"formattedCitation":"(2021, 6)","plainCitation":"(2021, 6)","noteIndex":0},"citationItems":[{"id":16796,"uris":["http://zotero.org/groups/4801058/items/JKDQUU9D"],"itemData":{"id":16796,"type":"report","event-place":"Wellington","language":"en","page":"48","publisher":"Office of the Auditor-General","publisher-place":"Wellington","source":"Zotero","title":"The problems, progress, and potential of performance reporting","author":[{"family":"Office of the Auditor-General","given":""}],"issued":{"date-parts":[["2021"]]}},"locator":"6","label":"page","suppress-author":true}],"schema":"https://github.com/citation-style-language/schema/raw/master/csl-citation.json"} </w:instrText>
      </w:r>
      <w:r w:rsidRPr="00F543C1">
        <w:rPr>
          <w:sz w:val="18"/>
        </w:rPr>
        <w:fldChar w:fldCharType="separate"/>
      </w:r>
      <w:r w:rsidRPr="00F543C1">
        <w:rPr>
          <w:rFonts w:cs="Calibri"/>
          <w:sz w:val="18"/>
        </w:rPr>
        <w:t>(2021, 6)</w:t>
      </w:r>
      <w:r w:rsidRPr="00F543C1">
        <w:rPr>
          <w:sz w:val="18"/>
        </w:rPr>
        <w:fldChar w:fldCharType="end"/>
      </w:r>
    </w:p>
    <w:p w14:paraId="18983865" w14:textId="75603A6B" w:rsidR="00FA12B5" w:rsidRPr="00F543C1" w:rsidRDefault="00FA12B5" w:rsidP="00FA12B5">
      <w:pPr>
        <w:ind w:left="851"/>
      </w:pPr>
      <w:r w:rsidRPr="00F543C1">
        <w:t xml:space="preserve">However, the Auditor-General also observed that this ‘production line’ approach </w:t>
      </w:r>
      <w:r w:rsidR="004425DE" w:rsidRPr="00F543C1">
        <w:t>does not always reve</w:t>
      </w:r>
      <w:r w:rsidR="006D6C0A" w:rsidRPr="00F543C1">
        <w:t>a</w:t>
      </w:r>
      <w:r w:rsidR="004425DE" w:rsidRPr="00F543C1">
        <w:t>l</w:t>
      </w:r>
      <w:r w:rsidRPr="00F543C1">
        <w:t xml:space="preserve"> activities or attributes that the public might consider important:</w:t>
      </w:r>
    </w:p>
    <w:p w14:paraId="22B83D61" w14:textId="77777777" w:rsidR="00FA12B5" w:rsidRPr="00F543C1" w:rsidRDefault="00FA12B5" w:rsidP="00FA12B5">
      <w:pPr>
        <w:ind w:left="1275"/>
        <w:rPr>
          <w:i/>
          <w:iCs/>
        </w:rPr>
      </w:pPr>
      <w:r w:rsidRPr="00F543C1">
        <w:rPr>
          <w:i/>
          <w:iCs/>
        </w:rPr>
        <w:t xml:space="preserve">The model also does not describe whether an organisation’s outputs, services, or outcomes: </w:t>
      </w:r>
    </w:p>
    <w:p w14:paraId="11177F0B" w14:textId="77777777" w:rsidR="00FA12B5" w:rsidRPr="00F543C1" w:rsidRDefault="00FA12B5" w:rsidP="00FA12B5">
      <w:pPr>
        <w:numPr>
          <w:ilvl w:val="0"/>
          <w:numId w:val="1"/>
        </w:numPr>
        <w:tabs>
          <w:tab w:val="num" w:pos="1700"/>
        </w:tabs>
        <w:ind w:left="1700"/>
        <w:rPr>
          <w:i/>
          <w:iCs/>
        </w:rPr>
      </w:pPr>
      <w:r w:rsidRPr="00F543C1">
        <w:rPr>
          <w:i/>
          <w:iCs/>
        </w:rPr>
        <w:t xml:space="preserve">are the right </w:t>
      </w:r>
      <w:proofErr w:type="gramStart"/>
      <w:r w:rsidRPr="00F543C1">
        <w:rPr>
          <w:i/>
          <w:iCs/>
        </w:rPr>
        <w:t>ones;</w:t>
      </w:r>
      <w:proofErr w:type="gramEnd"/>
    </w:p>
    <w:p w14:paraId="4D718371" w14:textId="77777777" w:rsidR="00FA12B5" w:rsidRPr="00F543C1" w:rsidRDefault="00FA12B5" w:rsidP="00FA12B5">
      <w:pPr>
        <w:numPr>
          <w:ilvl w:val="0"/>
          <w:numId w:val="1"/>
        </w:numPr>
        <w:tabs>
          <w:tab w:val="num" w:pos="1700"/>
        </w:tabs>
        <w:ind w:left="1700"/>
        <w:rPr>
          <w:i/>
          <w:iCs/>
        </w:rPr>
      </w:pPr>
      <w:r w:rsidRPr="00F543C1">
        <w:rPr>
          <w:i/>
          <w:iCs/>
        </w:rPr>
        <w:t xml:space="preserve">have public </w:t>
      </w:r>
      <w:proofErr w:type="gramStart"/>
      <w:r w:rsidRPr="00F543C1">
        <w:rPr>
          <w:i/>
          <w:iCs/>
        </w:rPr>
        <w:t>support;</w:t>
      </w:r>
      <w:proofErr w:type="gramEnd"/>
    </w:p>
    <w:p w14:paraId="16CC539B" w14:textId="77777777" w:rsidR="00FA12B5" w:rsidRPr="00F543C1" w:rsidRDefault="00FA12B5" w:rsidP="00FA12B5">
      <w:pPr>
        <w:numPr>
          <w:ilvl w:val="0"/>
          <w:numId w:val="1"/>
        </w:numPr>
        <w:tabs>
          <w:tab w:val="num" w:pos="1700"/>
        </w:tabs>
        <w:ind w:left="1700"/>
        <w:rPr>
          <w:i/>
          <w:iCs/>
        </w:rPr>
      </w:pPr>
      <w:r w:rsidRPr="00F543C1">
        <w:rPr>
          <w:i/>
          <w:iCs/>
        </w:rPr>
        <w:t>are resilient to shocks (such as a pandemic); or</w:t>
      </w:r>
    </w:p>
    <w:p w14:paraId="37B014B6" w14:textId="352311FE" w:rsidR="00FA12B5" w:rsidRPr="00F543C1" w:rsidRDefault="00FA12B5" w:rsidP="00FA12B5">
      <w:pPr>
        <w:numPr>
          <w:ilvl w:val="0"/>
          <w:numId w:val="1"/>
        </w:numPr>
        <w:tabs>
          <w:tab w:val="num" w:pos="1700"/>
        </w:tabs>
        <w:ind w:left="1700"/>
        <w:rPr>
          <w:i/>
          <w:iCs/>
        </w:rPr>
      </w:pPr>
      <w:r w:rsidRPr="00F543C1">
        <w:rPr>
          <w:i/>
          <w:iCs/>
        </w:rPr>
        <w:t xml:space="preserve"> are sustainable over time. </w:t>
      </w:r>
      <w:r w:rsidRPr="00F543C1">
        <w:t>(</w:t>
      </w:r>
      <w:r w:rsidR="00070CBD">
        <w:t>i</w:t>
      </w:r>
      <w:r w:rsidRPr="00F543C1">
        <w:t>bid.</w:t>
      </w:r>
      <w:r w:rsidR="001C70BF">
        <w:t>,</w:t>
      </w:r>
      <w:r w:rsidRPr="00F543C1">
        <w:t xml:space="preserve"> 7)</w:t>
      </w:r>
    </w:p>
    <w:p w14:paraId="791754D1" w14:textId="1A573B0B" w:rsidR="00FA12B5" w:rsidRPr="00F543C1" w:rsidRDefault="00096133" w:rsidP="00FA12B5">
      <w:pPr>
        <w:ind w:left="851"/>
      </w:pPr>
      <w:r w:rsidRPr="00F543C1">
        <w:lastRenderedPageBreak/>
        <w:t>While many of the process</w:t>
      </w:r>
      <w:r w:rsidR="00922AED" w:rsidRPr="00F543C1">
        <w:t>es</w:t>
      </w:r>
      <w:r w:rsidRPr="00F543C1">
        <w:t xml:space="preserve"> of parliamentary accountability</w:t>
      </w:r>
      <w:r w:rsidR="00615A32" w:rsidRPr="00F543C1">
        <w:t xml:space="preserve"> </w:t>
      </w:r>
      <w:r w:rsidR="00E64D94" w:rsidRPr="00F543C1">
        <w:t>are undertaken within government</w:t>
      </w:r>
      <w:r w:rsidR="00A56E7E" w:rsidRPr="00F543C1">
        <w:t>,</w:t>
      </w:r>
      <w:r w:rsidR="00E64D94" w:rsidRPr="00F543C1">
        <w:t xml:space="preserve"> </w:t>
      </w:r>
      <w:r w:rsidR="00615A32" w:rsidRPr="00F543C1">
        <w:t xml:space="preserve">there are important non-government users of the </w:t>
      </w:r>
      <w:r w:rsidR="00E64D94" w:rsidRPr="00F543C1">
        <w:t>information</w:t>
      </w:r>
      <w:r w:rsidR="00615A32" w:rsidRPr="00F543C1">
        <w:t xml:space="preserve"> produced. </w:t>
      </w:r>
      <w:r w:rsidR="00A56E7E" w:rsidRPr="00F543C1">
        <w:t xml:space="preserve">These users play a </w:t>
      </w:r>
      <w:r w:rsidR="00B82DB4" w:rsidRPr="00F543C1">
        <w:t xml:space="preserve">vital </w:t>
      </w:r>
      <w:r w:rsidR="00A56E7E" w:rsidRPr="00F543C1">
        <w:t xml:space="preserve">role in holding governments to account for how they use power. </w:t>
      </w:r>
      <w:r w:rsidR="00FA12B5" w:rsidRPr="00F543C1">
        <w:t xml:space="preserve">The media and civil society </w:t>
      </w:r>
      <w:r w:rsidR="005128B2" w:rsidRPr="00F543C1">
        <w:t>are such groups</w:t>
      </w:r>
      <w:r w:rsidR="00FA12B5" w:rsidRPr="00F543C1">
        <w:t xml:space="preserve">. As Peter Aucoin and Ralph </w:t>
      </w:r>
      <w:proofErr w:type="spellStart"/>
      <w:r w:rsidR="00FA12B5" w:rsidRPr="00F543C1">
        <w:t>Heinztman</w:t>
      </w:r>
      <w:proofErr w:type="spellEnd"/>
      <w:r w:rsidR="00FA12B5" w:rsidRPr="00F543C1">
        <w:t xml:space="preserve"> note:</w:t>
      </w:r>
    </w:p>
    <w:p w14:paraId="0F1DD9CE" w14:textId="696A0709" w:rsidR="00FA12B5" w:rsidRPr="00726346" w:rsidRDefault="00FA12B5" w:rsidP="00FA12B5">
      <w:pPr>
        <w:spacing w:before="120"/>
        <w:ind w:left="1276" w:right="425"/>
        <w:rPr>
          <w:color w:val="30353F"/>
        </w:rPr>
      </w:pPr>
      <w:r w:rsidRPr="00F543C1">
        <w:rPr>
          <w:i/>
          <w:color w:val="30353F"/>
        </w:rPr>
        <w:t>[All] governments must now govern in a context where there are greater demands for accountability for performance on the part of a better educated and less deferential citizenry, more assertive and well organized interest groups and social movements, and more aggressive and intrusive mass media operating in a highly competitive information-seeking and processing environment</w:t>
      </w:r>
      <w:r w:rsidRPr="00F543C1">
        <w:rPr>
          <w:color w:val="30353F"/>
        </w:rPr>
        <w:t xml:space="preserve">. </w:t>
      </w:r>
      <w:r w:rsidRPr="00F543C1">
        <w:rPr>
          <w:color w:val="30353F"/>
        </w:rPr>
        <w:fldChar w:fldCharType="begin"/>
      </w:r>
      <w:r w:rsidR="009B0EC4">
        <w:rPr>
          <w:color w:val="30353F"/>
        </w:rPr>
        <w:instrText xml:space="preserve"> ADDIN ZOTERO_ITEM CSL_CITATION {"citationID":"pUK4bx4w","properties":{"formattedCitation":"(Aucoin and Heintzman 2000, 46)","plainCitation":"(Aucoin and Heintzman 2000, 46)","noteIndex":0},"citationItems":[{"id":16683,"uris":["http://zotero.org/groups/4801058/items/4ST2HGKV"],"itemData":{"id":16683,"type":"article-journal","container-title":"International review of administrative sciences","issue":"1","note":"publisher: Sage Publications London, Thousand Oaks, CA and New Delhi","page":"45–55","source":"Google Scholar","title":"The dialectics of accountability for performance in public management reform","volume":"66","author":[{"family":"Aucoin","given":"Peter"},{"family":"Heintzman","given":"Ralph"}],"issued":{"date-parts":[["2000"]]}},"locator":"46","label":"page"}],"schema":"https://github.com/citation-style-language/schema/raw/master/csl-citation.json"} </w:instrText>
      </w:r>
      <w:r w:rsidRPr="00F543C1">
        <w:rPr>
          <w:color w:val="30353F"/>
        </w:rPr>
        <w:fldChar w:fldCharType="separate"/>
      </w:r>
      <w:r w:rsidRPr="00F543C1">
        <w:rPr>
          <w:rFonts w:cs="Calibri"/>
          <w:color w:val="30353F"/>
        </w:rPr>
        <w:t>(Aucoin and Heintzman 2000, 46)</w:t>
      </w:r>
      <w:r w:rsidRPr="00F543C1">
        <w:rPr>
          <w:color w:val="30353F"/>
        </w:rPr>
        <w:fldChar w:fldCharType="end"/>
      </w:r>
      <w:r w:rsidR="004C5722" w:rsidRPr="009006D7">
        <w:rPr>
          <w:rStyle w:val="FootnoteReference"/>
        </w:rPr>
        <w:footnoteReference w:id="158"/>
      </w:r>
    </w:p>
    <w:p w14:paraId="07395B54" w14:textId="21DAC431" w:rsidR="00FA12B5" w:rsidRPr="00F543C1" w:rsidRDefault="00FA12B5" w:rsidP="00FA12B5">
      <w:pPr>
        <w:ind w:left="851"/>
      </w:pPr>
      <w:r w:rsidRPr="00F543C1">
        <w:t>While constitutional, there is an extreme political dimension to accountability. The opposition is not just holding the government to account as a means of improving government</w:t>
      </w:r>
      <w:r w:rsidR="00922AED" w:rsidRPr="00F543C1">
        <w:t>;</w:t>
      </w:r>
      <w:r w:rsidRPr="00F543C1">
        <w:t xml:space="preserve"> it wants to replace the government </w:t>
      </w:r>
      <w:r w:rsidR="00922AED" w:rsidRPr="00F543C1">
        <w:t>(</w:t>
      </w:r>
      <w:r w:rsidRPr="00F543C1">
        <w:t xml:space="preserve">Prebble and </w:t>
      </w:r>
      <w:proofErr w:type="spellStart"/>
      <w:r w:rsidRPr="00F543C1">
        <w:t>Ladley</w:t>
      </w:r>
      <w:proofErr w:type="spellEnd"/>
      <w:r w:rsidRPr="00F543C1">
        <w:t xml:space="preserve"> </w:t>
      </w:r>
      <w:r w:rsidRPr="00F543C1">
        <w:fldChar w:fldCharType="begin"/>
      </w:r>
      <w:r w:rsidR="009B0EC4">
        <w:instrText xml:space="preserve"> ADDIN ZOTERO_ITEM CSL_CITATION {"citationID":"mGrO8x7i","properties":{"formattedCitation":"(2010, 35)","plainCitation":"(2010, 35)","dontUpdate":true,"noteIndex":0},"citationItems":[{"id":14102,"uris":["http://zotero.org/groups/4623831/items/BYQNY4EG"],"itemData":{"id":14102,"type":"chapter","container-title":"With Respect: Parliamentarians, officials, and judges too","publisher":"Institute of Policy Studies, Victoria University of Wellington","title":"The Iron Rule of Political Contest","author":[{"family":"Prebble","given":"Mark"},{"family":"Ladley","given":"Andrew"}],"issued":{"date-parts":[["2010"]]}},"locator":"35","label":"page","suppress-author":true}],"schema":"https://github.com/citation-style-language/schema/raw/master/csl-citation.json"} </w:instrText>
      </w:r>
      <w:r w:rsidRPr="00F543C1">
        <w:fldChar w:fldCharType="separate"/>
      </w:r>
      <w:r w:rsidRPr="00F543C1">
        <w:rPr>
          <w:rFonts w:cs="Calibri"/>
        </w:rPr>
        <w:t>2010, 35)</w:t>
      </w:r>
      <w:r w:rsidRPr="00F543C1">
        <w:fldChar w:fldCharType="end"/>
      </w:r>
      <w:r w:rsidRPr="00726346">
        <w:t xml:space="preserve">. </w:t>
      </w:r>
      <w:proofErr w:type="gramStart"/>
      <w:r w:rsidRPr="00726346">
        <w:t>This dynamic colours</w:t>
      </w:r>
      <w:proofErr w:type="gramEnd"/>
      <w:r w:rsidRPr="00726346">
        <w:t xml:space="preserve"> all accountability activities.</w:t>
      </w:r>
    </w:p>
    <w:p w14:paraId="3E714E6D" w14:textId="77777777" w:rsidR="00FA12B5" w:rsidRPr="00F543C1" w:rsidRDefault="00FA12B5" w:rsidP="00FA12B5">
      <w:pPr>
        <w:ind w:left="851"/>
      </w:pPr>
      <w:r w:rsidRPr="00F543C1">
        <w:t>There are also unique features of the New Zealand constitution that both contribute to the form of our public accountability system and influence its effectiveness:</w:t>
      </w:r>
    </w:p>
    <w:p w14:paraId="1BDA8C2F" w14:textId="560AD8C5" w:rsidR="00FA12B5" w:rsidRPr="00726346" w:rsidRDefault="00FA12B5" w:rsidP="00FA12B5">
      <w:pPr>
        <w:numPr>
          <w:ilvl w:val="0"/>
          <w:numId w:val="1"/>
        </w:numPr>
      </w:pPr>
      <w:r w:rsidRPr="00F543C1">
        <w:t xml:space="preserve">We have a Treaty with our indigenous people that has been repeatedly breached, and while attempts at making this right are ongoing, much more will be required before Māori can truly be said to be exercising </w:t>
      </w:r>
      <w:proofErr w:type="spellStart"/>
      <w:r w:rsidRPr="00F543C1">
        <w:t>tino</w:t>
      </w:r>
      <w:proofErr w:type="spellEnd"/>
      <w:r w:rsidRPr="00F543C1">
        <w:t xml:space="preserve"> rangatiratanga and mana </w:t>
      </w:r>
      <w:proofErr w:type="spellStart"/>
      <w:proofErr w:type="gramStart"/>
      <w:r w:rsidR="00F36F15" w:rsidRPr="00F543C1">
        <w:t>m</w:t>
      </w:r>
      <w:r w:rsidR="00EF0548" w:rsidRPr="00F543C1">
        <w:t>otuhake</w:t>
      </w:r>
      <w:proofErr w:type="spellEnd"/>
      <w:proofErr w:type="gramEnd"/>
    </w:p>
    <w:p w14:paraId="2A409FB9" w14:textId="77777777" w:rsidR="00FA12B5" w:rsidRPr="00F543C1" w:rsidRDefault="00FA12B5" w:rsidP="00FA12B5">
      <w:pPr>
        <w:numPr>
          <w:ilvl w:val="0"/>
          <w:numId w:val="1"/>
        </w:numPr>
      </w:pPr>
      <w:r w:rsidRPr="00F543C1">
        <w:t>We have a single level of sovereign government</w:t>
      </w:r>
      <w:r w:rsidRPr="009006D7">
        <w:rPr>
          <w:rStyle w:val="FootnoteReference"/>
        </w:rPr>
        <w:footnoteReference w:id="159"/>
      </w:r>
      <w:r w:rsidRPr="00726346">
        <w:t xml:space="preserve"> </w:t>
      </w:r>
    </w:p>
    <w:p w14:paraId="0C3C3BF9" w14:textId="0AD9ED48" w:rsidR="00FA12B5" w:rsidRPr="00F543C1" w:rsidRDefault="00FA12B5" w:rsidP="00FA12B5">
      <w:pPr>
        <w:numPr>
          <w:ilvl w:val="0"/>
          <w:numId w:val="1"/>
        </w:numPr>
      </w:pPr>
      <w:r w:rsidRPr="00F543C1">
        <w:t xml:space="preserve">We have a single house of </w:t>
      </w:r>
      <w:proofErr w:type="gramStart"/>
      <w:r w:rsidR="00DE0ED7">
        <w:t>P</w:t>
      </w:r>
      <w:r w:rsidRPr="00F543C1">
        <w:t>arliament</w:t>
      </w:r>
      <w:proofErr w:type="gramEnd"/>
    </w:p>
    <w:p w14:paraId="7DD58908" w14:textId="3FD7FC6B" w:rsidR="00FA12B5" w:rsidRPr="00726346" w:rsidRDefault="00FA12B5" w:rsidP="00FA12B5">
      <w:pPr>
        <w:numPr>
          <w:ilvl w:val="0"/>
          <w:numId w:val="1"/>
        </w:numPr>
      </w:pPr>
      <w:r w:rsidRPr="00F543C1">
        <w:t xml:space="preserve">Our government operates within the ‘Westminster’ tradition, where </w:t>
      </w:r>
      <w:r w:rsidR="00922AED" w:rsidRPr="00F543C1">
        <w:t>M</w:t>
      </w:r>
      <w:r w:rsidRPr="00F543C1">
        <w:t>inisters are members of parliament</w:t>
      </w:r>
      <w:r w:rsidRPr="009006D7">
        <w:rPr>
          <w:rStyle w:val="FootnoteReference"/>
        </w:rPr>
        <w:footnoteReference w:id="160"/>
      </w:r>
    </w:p>
    <w:p w14:paraId="03F70659" w14:textId="0ADCFB2C" w:rsidR="00FA12B5" w:rsidRPr="00726346" w:rsidRDefault="00FA12B5" w:rsidP="00FA12B5">
      <w:pPr>
        <w:numPr>
          <w:ilvl w:val="0"/>
          <w:numId w:val="1"/>
        </w:numPr>
      </w:pPr>
      <w:r w:rsidRPr="00F543C1">
        <w:t xml:space="preserve">We have no written constitution and thus </w:t>
      </w:r>
      <w:proofErr w:type="gramStart"/>
      <w:r w:rsidRPr="00F543C1">
        <w:t>no</w:t>
      </w:r>
      <w:proofErr w:type="gramEnd"/>
      <w:r w:rsidRPr="00F543C1">
        <w:t xml:space="preserve"> </w:t>
      </w:r>
      <w:r w:rsidR="00333F5B" w:rsidRPr="00F543C1">
        <w:t>constitutionally guaranteed</w:t>
      </w:r>
      <w:r w:rsidRPr="00F543C1">
        <w:t xml:space="preserve"> civil or political rights</w:t>
      </w:r>
      <w:r w:rsidRPr="009006D7">
        <w:rPr>
          <w:rStyle w:val="FootnoteReference"/>
        </w:rPr>
        <w:footnoteReference w:id="161"/>
      </w:r>
    </w:p>
    <w:p w14:paraId="36BB4359" w14:textId="77777777" w:rsidR="00FA12B5" w:rsidRPr="00F543C1" w:rsidRDefault="00FA12B5" w:rsidP="00FA12B5">
      <w:pPr>
        <w:numPr>
          <w:ilvl w:val="0"/>
          <w:numId w:val="1"/>
        </w:numPr>
      </w:pPr>
      <w:r w:rsidRPr="00F543C1">
        <w:t xml:space="preserve">Our small size and concentration in a few main centres mean that personal relationships are very common between different elements of society, making conflicts of interest much more </w:t>
      </w:r>
      <w:proofErr w:type="gramStart"/>
      <w:r w:rsidRPr="00F543C1">
        <w:t>common</w:t>
      </w:r>
      <w:proofErr w:type="gramEnd"/>
    </w:p>
    <w:p w14:paraId="49137DF4" w14:textId="5DAE836F" w:rsidR="00FA12B5" w:rsidRPr="00726346" w:rsidRDefault="00FA12B5" w:rsidP="00FA12B5">
      <w:pPr>
        <w:numPr>
          <w:ilvl w:val="0"/>
          <w:numId w:val="1"/>
        </w:numPr>
      </w:pPr>
      <w:r w:rsidRPr="00F543C1">
        <w:t>We have few genuinely independent institutes or think tanks</w:t>
      </w:r>
      <w:r w:rsidR="00721DE8" w:rsidRPr="009006D7">
        <w:rPr>
          <w:rStyle w:val="FootnoteReference"/>
        </w:rPr>
        <w:footnoteReference w:id="162"/>
      </w:r>
    </w:p>
    <w:p w14:paraId="0BD3E491" w14:textId="77777777" w:rsidR="00FA12B5" w:rsidRPr="00F543C1" w:rsidRDefault="00FA12B5" w:rsidP="00FA12B5">
      <w:pPr>
        <w:numPr>
          <w:ilvl w:val="0"/>
          <w:numId w:val="1"/>
        </w:numPr>
      </w:pPr>
      <w:r w:rsidRPr="00726346">
        <w:lastRenderedPageBreak/>
        <w:t>The governmen</w:t>
      </w:r>
      <w:r w:rsidRPr="00F543C1">
        <w:t>t plays multiple roles in relation to universities, which may limit their ability to hold governments to account.</w:t>
      </w:r>
      <w:r w:rsidRPr="009006D7">
        <w:rPr>
          <w:rStyle w:val="FootnoteReference"/>
        </w:rPr>
        <w:footnoteReference w:id="163"/>
      </w:r>
      <w:r w:rsidRPr="00726346">
        <w:t xml:space="preserve"> </w:t>
      </w:r>
    </w:p>
    <w:p w14:paraId="1BBC48D5" w14:textId="0AF60054" w:rsidR="0032260D" w:rsidRPr="00F543C1" w:rsidRDefault="00794AE1" w:rsidP="00FA12B5">
      <w:pPr>
        <w:ind w:left="851"/>
      </w:pPr>
      <w:r w:rsidRPr="00F543C1">
        <w:t>These features combined</w:t>
      </w:r>
      <w:r w:rsidR="00FA12B5" w:rsidRPr="00F543C1">
        <w:t xml:space="preserve"> have not surprisingly resulted in a weak accountability system.</w:t>
      </w:r>
      <w:r w:rsidR="0032260D" w:rsidRPr="00F543C1">
        <w:t xml:space="preserve"> </w:t>
      </w:r>
    </w:p>
    <w:p w14:paraId="68C2B684" w14:textId="10AD2577" w:rsidR="00FA12B5" w:rsidRPr="00F543C1" w:rsidRDefault="00BF6BA6" w:rsidP="00FA12B5">
      <w:pPr>
        <w:ind w:left="851"/>
      </w:pPr>
      <w:r w:rsidRPr="00F543C1">
        <w:t>This</w:t>
      </w:r>
      <w:r w:rsidR="00FA12B5" w:rsidRPr="00F543C1">
        <w:t xml:space="preserve"> system is simultaneously hierarchical and one where the various players are not as independent from each other as is required for the accountability system to operate effectively.</w:t>
      </w:r>
    </w:p>
    <w:p w14:paraId="10E0E33D" w14:textId="5EC9E6B6" w:rsidR="00FA12B5" w:rsidRPr="00F543C1" w:rsidRDefault="00FA12B5" w:rsidP="00FA12B5">
      <w:pPr>
        <w:ind w:left="851"/>
      </w:pPr>
      <w:r w:rsidRPr="00F543C1">
        <w:t xml:space="preserve">For example, New Zealand operates under the ‘Westminster’ or ‘responsible government’ system, where </w:t>
      </w:r>
      <w:r w:rsidR="00922AED" w:rsidRPr="00F543C1">
        <w:t>M</w:t>
      </w:r>
      <w:r w:rsidRPr="00F543C1">
        <w:t xml:space="preserve">inisters are both members of parliament and responsible to </w:t>
      </w:r>
      <w:r w:rsidR="00972A73" w:rsidRPr="00F543C1">
        <w:t>P</w:t>
      </w:r>
      <w:r w:rsidRPr="00F543C1">
        <w:t>arliament</w:t>
      </w:r>
      <w:r w:rsidR="00922AED" w:rsidRPr="00F543C1">
        <w:t>:</w:t>
      </w:r>
      <w:r w:rsidRPr="00F543C1">
        <w:t xml:space="preserve"> </w:t>
      </w:r>
    </w:p>
    <w:p w14:paraId="1E7A4340" w14:textId="09696709" w:rsidR="00FA12B5" w:rsidRPr="00726346" w:rsidRDefault="00FA12B5" w:rsidP="00FA12B5">
      <w:pPr>
        <w:spacing w:before="120"/>
        <w:ind w:left="1276" w:right="425"/>
        <w:rPr>
          <w:i/>
          <w:color w:val="30353F"/>
        </w:rPr>
      </w:pPr>
      <w:r w:rsidRPr="00F543C1">
        <w:rPr>
          <w:i/>
          <w:color w:val="30353F"/>
        </w:rPr>
        <w:t xml:space="preserve">In the Westminster model, power is placed largely in the hands of ministers individually and collectively (the cabinet). The theory is that by doing so, and by making the cabinet responsible to the legislature, the people will, in turn, be able to hold accountable at election time the men and women who effectively “run the government” in between elections. </w:t>
      </w:r>
      <w:r w:rsidRPr="00F543C1">
        <w:rPr>
          <w:iCs/>
          <w:color w:val="30353F"/>
        </w:rPr>
        <w:fldChar w:fldCharType="begin"/>
      </w:r>
      <w:r w:rsidR="009B0EC4">
        <w:rPr>
          <w:iCs/>
          <w:color w:val="30353F"/>
        </w:rPr>
        <w:instrText xml:space="preserve"> ADDIN ZOTERO_ITEM CSL_CITATION {"citationID":"a426s6d0lm","properties":{"formattedCitation":"(Stanbury 2003, 4, internal citations omitted.)","plainCitation":"(Stanbury 2003, 4, internal citations omitted.)","noteIndex":0},"citationItems":[{"id":17005,"uris":["http://zotero.org/groups/4801058/items/K78295HX"],"itemData":{"id":17005,"type":"report","event-place":"Vancouver","language":"en","publisher":"Fraser Institute","publisher-place":"Vancouver","title":"Accountability to Citizens in the Westminster Model of Government: More Myth than Reality","title-short":"Accountability to Citizens in the Westminster Model of Government","URL":"https://bit.ly/1LFs5nE","author":[{"family":"Stanbury","given":"William"}],"accessed":{"date-parts":[["2022",11,11]]},"issued":{"date-parts":[["2003",2,12]]}},"locator":"4","label":"page","suffix":", internal citations omitted."}],"schema":"https://github.com/citation-style-language/schema/raw/master/csl-citation.json"} </w:instrText>
      </w:r>
      <w:r w:rsidRPr="00F543C1">
        <w:rPr>
          <w:iCs/>
          <w:color w:val="30353F"/>
        </w:rPr>
        <w:fldChar w:fldCharType="separate"/>
      </w:r>
      <w:r w:rsidRPr="00F543C1">
        <w:rPr>
          <w:rFonts w:cs="Calibri"/>
          <w:iCs/>
          <w:color w:val="30353F"/>
          <w:szCs w:val="24"/>
        </w:rPr>
        <w:t>(Stanbury 2003, 4, internal citations omitted.)</w:t>
      </w:r>
      <w:r w:rsidRPr="00F543C1">
        <w:rPr>
          <w:iCs/>
          <w:color w:val="30353F"/>
        </w:rPr>
        <w:fldChar w:fldCharType="end"/>
      </w:r>
    </w:p>
    <w:p w14:paraId="5372A88B" w14:textId="6ECDD57D" w:rsidR="00FA12B5" w:rsidRPr="00726346" w:rsidRDefault="00FA12B5" w:rsidP="00FA12B5">
      <w:pPr>
        <w:ind w:left="851"/>
      </w:pPr>
      <w:r w:rsidRPr="00F543C1">
        <w:t xml:space="preserve">The resulting chain of accountability within the Westminster system is shown in </w:t>
      </w:r>
      <w:r w:rsidR="00C74A9C" w:rsidRPr="00F543C1">
        <w:fldChar w:fldCharType="begin"/>
      </w:r>
      <w:r w:rsidR="00C74A9C" w:rsidRPr="00F543C1">
        <w:instrText xml:space="preserve"> REF _Ref124878359 \h </w:instrText>
      </w:r>
      <w:r w:rsidR="000177FE" w:rsidRPr="00F543C1">
        <w:instrText xml:space="preserve"> \* MERGEFORMAT </w:instrText>
      </w:r>
      <w:r w:rsidR="00C74A9C" w:rsidRPr="00F543C1">
        <w:fldChar w:fldCharType="separate"/>
      </w:r>
      <w:r w:rsidR="00E06351" w:rsidRPr="00F543C1">
        <w:t>Figure </w:t>
      </w:r>
      <w:r w:rsidR="00E06351">
        <w:t>10</w:t>
      </w:r>
      <w:r w:rsidR="00C74A9C" w:rsidRPr="00F543C1">
        <w:fldChar w:fldCharType="end"/>
      </w:r>
      <w:r w:rsidR="00C74A9C" w:rsidRPr="00347879">
        <w:rPr>
          <w:b/>
          <w:bCs/>
        </w:rPr>
        <w:t>.</w:t>
      </w:r>
    </w:p>
    <w:p w14:paraId="70B8C279" w14:textId="5FAFFC99" w:rsidR="00FA12B5" w:rsidRPr="00F543C1" w:rsidRDefault="00922AED" w:rsidP="00FA12B5">
      <w:pPr>
        <w:ind w:left="851"/>
      </w:pPr>
      <w:r w:rsidRPr="00F543C1">
        <w:t>In</w:t>
      </w:r>
      <w:r w:rsidR="00FA12B5" w:rsidRPr="00F543C1">
        <w:t xml:space="preserve"> addressing persistent disadvantage, one thing stands out in particular: while ‘the public’ are at the top of this chain, the people requiring assistance do not appear, nor do their whānau, wider support groups or communities. The absence of </w:t>
      </w:r>
      <w:proofErr w:type="spellStart"/>
      <w:r w:rsidR="00FA12B5" w:rsidRPr="00F543C1">
        <w:t>Te</w:t>
      </w:r>
      <w:proofErr w:type="spellEnd"/>
      <w:r w:rsidR="00FA12B5" w:rsidRPr="00F543C1">
        <w:t xml:space="preserve"> </w:t>
      </w:r>
      <w:proofErr w:type="spellStart"/>
      <w:r w:rsidR="00FA12B5" w:rsidRPr="00F543C1">
        <w:t>Tiriti</w:t>
      </w:r>
      <w:proofErr w:type="spellEnd"/>
      <w:r w:rsidR="00FA12B5" w:rsidRPr="00F543C1">
        <w:t xml:space="preserve"> o Waitangi is also striking.</w:t>
      </w:r>
      <w:r w:rsidR="00957586" w:rsidRPr="00F543C1">
        <w:t xml:space="preserve"> Nor do the public of the future – unborn generations – or the environment feature.</w:t>
      </w:r>
    </w:p>
    <w:p w14:paraId="7B097DF6" w14:textId="2CA6AF50" w:rsidR="00FA12B5" w:rsidRPr="00F543C1" w:rsidRDefault="00FA12B5" w:rsidP="00FA12B5">
      <w:pPr>
        <w:pStyle w:val="FigureCaption"/>
      </w:pPr>
      <w:bookmarkStart w:id="181" w:name="_Ref124878359"/>
      <w:bookmarkStart w:id="182" w:name="_Ref125486413"/>
      <w:bookmarkStart w:id="183" w:name="_Toc126841241"/>
      <w:r w:rsidRPr="00F543C1">
        <w:lastRenderedPageBreak/>
        <w:t>Figure </w:t>
      </w:r>
      <w:r w:rsidRPr="00F543C1">
        <w:fldChar w:fldCharType="begin"/>
      </w:r>
      <w:r w:rsidRPr="00F543C1">
        <w:instrText>SEQ Figure \* ARABIC</w:instrText>
      </w:r>
      <w:r w:rsidRPr="00F543C1">
        <w:fldChar w:fldCharType="separate"/>
      </w:r>
      <w:r w:rsidR="00E06351">
        <w:rPr>
          <w:noProof/>
        </w:rPr>
        <w:t>10</w:t>
      </w:r>
      <w:r w:rsidRPr="00F543C1">
        <w:fldChar w:fldCharType="end"/>
      </w:r>
      <w:bookmarkEnd w:id="181"/>
      <w:r w:rsidRPr="00726346">
        <w:t xml:space="preserve"> The Westminster chain of accountability</w:t>
      </w:r>
      <w:bookmarkEnd w:id="182"/>
      <w:bookmarkEnd w:id="183"/>
      <w:r w:rsidR="00A12462">
        <w:t xml:space="preserve"> </w:t>
      </w:r>
    </w:p>
    <w:p w14:paraId="363236B0" w14:textId="330EE9CB" w:rsidR="00FA12B5" w:rsidRPr="00726346" w:rsidRDefault="00FA12B5" w:rsidP="00FA12B5">
      <w:pPr>
        <w:keepNext/>
        <w:spacing w:after="0" w:line="240" w:lineRule="auto"/>
        <w:ind w:left="851"/>
      </w:pPr>
      <w:r w:rsidRPr="002349E2">
        <w:rPr>
          <w:noProof/>
        </w:rPr>
        <w:drawing>
          <wp:inline distT="0" distB="0" distL="0" distR="0" wp14:anchorId="594EF162" wp14:editId="448F21E8">
            <wp:extent cx="5143500" cy="2990850"/>
            <wp:effectExtent l="0" t="0" r="0" b="0"/>
            <wp:docPr id="24" name="Picture 24" descr="Public officials are held accountable to the public through chief executives, Ministers, and ultimately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 officials are held accountable to the public through chief executives, Ministers, and ultimately Parlia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0" cy="2990850"/>
                    </a:xfrm>
                    <a:prstGeom prst="rect">
                      <a:avLst/>
                    </a:prstGeom>
                    <a:noFill/>
                    <a:ln>
                      <a:noFill/>
                    </a:ln>
                  </pic:spPr>
                </pic:pic>
              </a:graphicData>
            </a:graphic>
          </wp:inline>
        </w:drawing>
      </w:r>
    </w:p>
    <w:p w14:paraId="3F68BC34" w14:textId="375C916D" w:rsidR="00FA12B5" w:rsidRPr="00726346" w:rsidRDefault="00FA12B5" w:rsidP="00FA12B5">
      <w:pPr>
        <w:spacing w:before="120" w:after="360" w:line="220" w:lineRule="atLeast"/>
        <w:ind w:left="851"/>
        <w:rPr>
          <w:sz w:val="18"/>
        </w:rPr>
      </w:pPr>
      <w:r w:rsidRPr="00F543C1">
        <w:rPr>
          <w:sz w:val="18"/>
        </w:rPr>
        <w:t xml:space="preserve">Source: Office of the Auditor General </w:t>
      </w:r>
      <w:r w:rsidRPr="00F543C1">
        <w:rPr>
          <w:sz w:val="18"/>
        </w:rPr>
        <w:fldChar w:fldCharType="begin"/>
      </w:r>
      <w:r w:rsidR="009B0EC4">
        <w:rPr>
          <w:sz w:val="18"/>
        </w:rPr>
        <w:instrText xml:space="preserve"> ADDIN ZOTERO_ITEM CSL_CITATION {"citationID":"68de8VUX","properties":{"formattedCitation":"(2022a, 21)","plainCitation":"(2022a, 21)","noteIndex":0},"citationItems":[{"id":16271,"uris":["http://zotero.org/groups/4801058/items/XJ5GMC7D"],"itemData":{"id":16271,"type":"webpage","container-title":"Office of the Auditor-General New Zealand","language":"en","title":"Building a stronger public accountability system for New Zealanders","URL":"https://oag.parliament.nz/2021/public-accountability","author":[{"family":"Office of the Auditor-General","given":""}],"accessed":{"date-parts":[["2022",9,15]]},"issued":{"date-parts":[["2022",9,14]]}},"locator":"21","label":"page","suppress-author":true}],"schema":"https://github.com/citation-style-language/schema/raw/master/csl-citation.json"} </w:instrText>
      </w:r>
      <w:r w:rsidRPr="00F543C1">
        <w:rPr>
          <w:sz w:val="18"/>
        </w:rPr>
        <w:fldChar w:fldCharType="separate"/>
      </w:r>
      <w:r w:rsidR="00F06BC3" w:rsidRPr="00F06BC3">
        <w:rPr>
          <w:rFonts w:cs="Calibri"/>
          <w:sz w:val="18"/>
        </w:rPr>
        <w:t>(2022a, 21)</w:t>
      </w:r>
      <w:r w:rsidRPr="00F543C1">
        <w:rPr>
          <w:sz w:val="18"/>
        </w:rPr>
        <w:fldChar w:fldCharType="end"/>
      </w:r>
    </w:p>
    <w:p w14:paraId="3008EE8F" w14:textId="5B04C151" w:rsidR="00FA12B5" w:rsidRPr="00F543C1" w:rsidRDefault="00FA12B5" w:rsidP="00FA12B5">
      <w:pPr>
        <w:ind w:left="851"/>
      </w:pPr>
      <w:r w:rsidRPr="00F543C1">
        <w:t xml:space="preserve">At a more general level, the gap between Parliament and Ministers in </w:t>
      </w:r>
      <w:r w:rsidR="002D2599" w:rsidRPr="00347879">
        <w:rPr>
          <w:b/>
          <w:bCs/>
        </w:rPr>
        <w:fldChar w:fldCharType="begin"/>
      </w:r>
      <w:r w:rsidR="002D2599" w:rsidRPr="00F543C1">
        <w:instrText xml:space="preserve"> REF _Ref124878359 \h </w:instrText>
      </w:r>
      <w:r w:rsidR="000177FE" w:rsidRPr="00347879">
        <w:rPr>
          <w:b/>
          <w:bCs/>
        </w:rPr>
        <w:instrText xml:space="preserve"> \* MERGEFORMAT </w:instrText>
      </w:r>
      <w:r w:rsidR="002D2599" w:rsidRPr="00347879">
        <w:rPr>
          <w:b/>
          <w:bCs/>
        </w:rPr>
      </w:r>
      <w:r w:rsidR="002D2599" w:rsidRPr="00347879">
        <w:rPr>
          <w:b/>
          <w:bCs/>
        </w:rPr>
        <w:fldChar w:fldCharType="separate"/>
      </w:r>
      <w:r w:rsidR="00E06351" w:rsidRPr="00F543C1">
        <w:t>Figure </w:t>
      </w:r>
      <w:r w:rsidR="00E06351">
        <w:t>10</w:t>
      </w:r>
      <w:r w:rsidR="002D2599" w:rsidRPr="00347879">
        <w:rPr>
          <w:b/>
          <w:bCs/>
        </w:rPr>
        <w:fldChar w:fldCharType="end"/>
      </w:r>
      <w:r w:rsidR="004B287F" w:rsidRPr="00347879">
        <w:rPr>
          <w:b/>
          <w:bCs/>
        </w:rPr>
        <w:t xml:space="preserve"> </w:t>
      </w:r>
      <w:r w:rsidRPr="00726346">
        <w:t xml:space="preserve">is more apparent than real. One important element of the Westminster system is the idea that the government must, </w:t>
      </w:r>
      <w:proofErr w:type="gramStart"/>
      <w:r w:rsidRPr="00726346">
        <w:t>at all times</w:t>
      </w:r>
      <w:proofErr w:type="gramEnd"/>
      <w:r w:rsidRPr="00726346">
        <w:t>, have the ‘confidence’ of the lower (and in New Zealand, only) h</w:t>
      </w:r>
      <w:r w:rsidRPr="00F543C1">
        <w:t>ouse of Parliament.</w:t>
      </w:r>
    </w:p>
    <w:p w14:paraId="61B4AB5B" w14:textId="77777777" w:rsidR="00FA12B5" w:rsidRPr="00F543C1" w:rsidRDefault="00FA12B5" w:rsidP="00FA12B5">
      <w:pPr>
        <w:spacing w:before="120"/>
        <w:ind w:left="1276" w:right="425"/>
        <w:rPr>
          <w:i/>
          <w:color w:val="30353F"/>
        </w:rPr>
      </w:pPr>
      <w:r w:rsidRPr="00F543C1">
        <w:rPr>
          <w:i/>
          <w:color w:val="30353F"/>
        </w:rPr>
        <w:t>A Government subsists in office because it possesses the “confidence” of the House. This is the continuing basis of responsible government. The confidence of the House underpins any Government’s right to hold office; constitutionally, except in a caretaker capacity, it cannot do so without that confidence.</w:t>
      </w:r>
    </w:p>
    <w:p w14:paraId="6B1E9FDE" w14:textId="77777777" w:rsidR="00FA12B5" w:rsidRPr="00F543C1" w:rsidRDefault="00FA12B5" w:rsidP="00FA12B5">
      <w:pPr>
        <w:spacing w:before="120"/>
        <w:ind w:left="1276" w:right="425"/>
        <w:rPr>
          <w:i/>
          <w:color w:val="30353F"/>
        </w:rPr>
      </w:pPr>
      <w:r w:rsidRPr="00F543C1">
        <w:rPr>
          <w:i/>
          <w:color w:val="30353F"/>
        </w:rPr>
        <w:t>…</w:t>
      </w:r>
    </w:p>
    <w:p w14:paraId="10E7F160" w14:textId="3F436B20" w:rsidR="00FA12B5" w:rsidRPr="00726346" w:rsidRDefault="00FA12B5" w:rsidP="00FA12B5">
      <w:pPr>
        <w:spacing w:before="120"/>
        <w:ind w:left="1276" w:right="425"/>
        <w:rPr>
          <w:i/>
          <w:color w:val="30353F"/>
        </w:rPr>
      </w:pPr>
      <w:r w:rsidRPr="00F543C1">
        <w:rPr>
          <w:i/>
          <w:color w:val="30353F"/>
        </w:rPr>
        <w:t>Strictly speaking, confidence is a negative (and somewhat circular) concept. A Government retains the confidence of the House for so long as it can avoid defeat on important parliamentary votes—those that involve a question of confidence.</w:t>
      </w:r>
      <w:r w:rsidR="00753800">
        <w:rPr>
          <w:i/>
          <w:color w:val="30353F"/>
        </w:rPr>
        <w:t xml:space="preserve"> </w:t>
      </w:r>
      <w:r w:rsidRPr="00F543C1">
        <w:rPr>
          <w:iCs/>
          <w:color w:val="30353F"/>
        </w:rPr>
        <w:fldChar w:fldCharType="begin"/>
      </w:r>
      <w:r w:rsidR="009B0EC4">
        <w:rPr>
          <w:iCs/>
          <w:color w:val="30353F"/>
        </w:rPr>
        <w:instrText xml:space="preserve"> ADDIN ZOTERO_ITEM CSL_CITATION {"citationID":"ab9hk4pjf8","properties":{"formattedCitation":"(McGee 2017, 127)","plainCitation":"(McGee 2017, 127)","noteIndex":0},"citationItems":[{"id":16984,"uris":["http://zotero.org/groups/4801058/items/SM5N68W9"],"itemData":{"id":16984,"type":"book","abstract":"Parliamentary Practice in New Zealand is the definitive work on practice and procedure in the New Zealand House of Representatives. The fourth edition incorporates a decade of developments since the third edition in 2005, and reflects many significant changes in parliamentary law, practice and procedure, including: the Parliamentary Privilege Act 2014; how the House and its committees conduct legislative and financial scrutiny; the use of extended sittings by the House; the increased role of the Business Committee to manage the transaction of parliamentary business; how the work of the House and its committees is communicated to the public.This new edition features an attractive design and accessible structure, with extensive indexing and references","edition":"Fourth edition","event-place":"Auckland, New Zealand","ISBN":"978-0-947506-24-7","language":"eng","number-of-pages":"857","publisher":"Oratia Books, Oratia Media Ltd","publisher-place":"Auckland, New Zealand","source":"K10plus ISBN","title":"Parliamentary practice in New Zealand","author":[{"family":"McGee","given":"David G."}],"editor":[{"family":"Harris","given":"Mary"},{"family":"Bagnall","given":"David"},{"family":"Sharma","given":"Pavan"}],"issued":{"date-parts":[["2017"]]}},"locator":"127","label":"page"}],"schema":"https://github.com/citation-style-language/schema/raw/master/csl-citation.json"} </w:instrText>
      </w:r>
      <w:r w:rsidRPr="00F543C1">
        <w:rPr>
          <w:iCs/>
          <w:color w:val="30353F"/>
        </w:rPr>
        <w:fldChar w:fldCharType="separate"/>
      </w:r>
      <w:r w:rsidRPr="00F543C1">
        <w:rPr>
          <w:rFonts w:cs="Calibri"/>
          <w:iCs/>
          <w:color w:val="30353F"/>
          <w:szCs w:val="24"/>
        </w:rPr>
        <w:t>(McGee 2017, 127)</w:t>
      </w:r>
      <w:r w:rsidRPr="00F543C1">
        <w:rPr>
          <w:iCs/>
          <w:color w:val="30353F"/>
        </w:rPr>
        <w:fldChar w:fldCharType="end"/>
      </w:r>
    </w:p>
    <w:p w14:paraId="2D23AEBE" w14:textId="00BC8434" w:rsidR="00FA12B5" w:rsidRPr="00F543C1" w:rsidRDefault="00FA12B5" w:rsidP="00FA12B5">
      <w:pPr>
        <w:ind w:left="851"/>
      </w:pPr>
      <w:r w:rsidRPr="00F543C1">
        <w:t>In effect, to be in Government requires a Prime Minister to be able to control the House: to win all</w:t>
      </w:r>
      <w:r w:rsidR="00972A73" w:rsidRPr="00F543C1">
        <w:t>-</w:t>
      </w:r>
      <w:r w:rsidRPr="00F543C1">
        <w:t xml:space="preserve">important votes. This substantially weakens the power of the Parliament to hold any government to account. While the Opposition – members of Parliament who do not support the government – have institutional power to hold the government to account, that power is always limited because the Opposition, by definition, can rarely control what ministers or the </w:t>
      </w:r>
      <w:r w:rsidR="00716158" w:rsidRPr="00F543C1">
        <w:t>P</w:t>
      </w:r>
      <w:r w:rsidRPr="00F543C1">
        <w:t>arliament does.</w:t>
      </w:r>
      <w:r w:rsidRPr="009006D7">
        <w:rPr>
          <w:rStyle w:val="FootnoteReference"/>
        </w:rPr>
        <w:footnoteReference w:id="164"/>
      </w:r>
      <w:r w:rsidRPr="00726346">
        <w:t xml:space="preserve"> </w:t>
      </w:r>
    </w:p>
    <w:p w14:paraId="4CF371B6" w14:textId="299920B9" w:rsidR="00FA12B5" w:rsidRPr="00726346" w:rsidRDefault="00FA12B5" w:rsidP="00FA12B5">
      <w:pPr>
        <w:spacing w:before="120"/>
        <w:ind w:left="1276" w:right="425"/>
        <w:rPr>
          <w:i/>
          <w:color w:val="30353F"/>
        </w:rPr>
      </w:pPr>
      <w:r w:rsidRPr="00F543C1">
        <w:rPr>
          <w:i/>
          <w:color w:val="30353F"/>
        </w:rPr>
        <w:t xml:space="preserve">Opposition MPs can hurl endless invective at the government. They may even provide very well documented criticisms of its </w:t>
      </w:r>
      <w:proofErr w:type="spellStart"/>
      <w:r w:rsidRPr="00F543C1">
        <w:rPr>
          <w:i/>
          <w:color w:val="30353F"/>
        </w:rPr>
        <w:t>behavior</w:t>
      </w:r>
      <w:proofErr w:type="spellEnd"/>
      <w:r w:rsidRPr="00F543C1">
        <w:rPr>
          <w:i/>
          <w:color w:val="30353F"/>
        </w:rPr>
        <w:t xml:space="preserve">. The harsh reality, however, is that there is almost no chance of defeating a majority government </w:t>
      </w:r>
      <w:r w:rsidRPr="00F543C1">
        <w:rPr>
          <w:i/>
          <w:color w:val="30353F"/>
        </w:rPr>
        <w:lastRenderedPageBreak/>
        <w:t>on a non-confidence motion. With the Whips on, the party in power can ensure that it will stay in power.</w:t>
      </w:r>
      <w:r w:rsidRPr="00F543C1">
        <w:rPr>
          <w:iCs/>
          <w:color w:val="30353F"/>
        </w:rPr>
        <w:t xml:space="preserve"> </w:t>
      </w:r>
      <w:r w:rsidRPr="00F543C1">
        <w:rPr>
          <w:iCs/>
          <w:color w:val="30353F"/>
        </w:rPr>
        <w:fldChar w:fldCharType="begin"/>
      </w:r>
      <w:r w:rsidR="009B0EC4">
        <w:rPr>
          <w:iCs/>
          <w:color w:val="30353F"/>
        </w:rPr>
        <w:instrText xml:space="preserve"> ADDIN ZOTERO_ITEM CSL_CITATION {"citationID":"ap7tcbkgcc","properties":{"formattedCitation":"(Stanbury 2003, 32)","plainCitation":"(Stanbury 2003, 32)","noteIndex":0},"citationItems":[{"id":17005,"uris":["http://zotero.org/groups/4801058/items/K78295HX"],"itemData":{"id":17005,"type":"report","event-place":"Vancouver","language":"en","publisher":"Fraser Institute","publisher-place":"Vancouver","title":"Accountability to Citizens in the Westminster Model of Government: More Myth than Reality","title-short":"Accountability to Citizens in the Westminster Model of Government","URL":"https://bit.ly/1LFs5nE","author":[{"family":"Stanbury","given":"William"}],"accessed":{"date-parts":[["2022",11,11]]},"issued":{"date-parts":[["2003",2,12]]}},"locator":"32","label":"page"}],"schema":"https://github.com/citation-style-language/schema/raw/master/csl-citation.json"} </w:instrText>
      </w:r>
      <w:r w:rsidRPr="00F543C1">
        <w:rPr>
          <w:iCs/>
          <w:color w:val="30353F"/>
        </w:rPr>
        <w:fldChar w:fldCharType="separate"/>
      </w:r>
      <w:r w:rsidRPr="00F543C1">
        <w:rPr>
          <w:rFonts w:cs="Calibri"/>
          <w:iCs/>
          <w:color w:val="30353F"/>
          <w:szCs w:val="24"/>
        </w:rPr>
        <w:t>(Stanbury 2003, 32)</w:t>
      </w:r>
      <w:r w:rsidRPr="00F543C1">
        <w:rPr>
          <w:iCs/>
          <w:color w:val="30353F"/>
        </w:rPr>
        <w:fldChar w:fldCharType="end"/>
      </w:r>
      <w:r w:rsidRPr="00726346">
        <w:rPr>
          <w:iCs/>
          <w:color w:val="30353F"/>
        </w:rPr>
        <w:t>.</w:t>
      </w:r>
      <w:r w:rsidRPr="009006D7">
        <w:rPr>
          <w:rStyle w:val="FootnoteReference"/>
        </w:rPr>
        <w:footnoteReference w:id="165"/>
      </w:r>
    </w:p>
    <w:p w14:paraId="325E1FEB" w14:textId="371C92F7" w:rsidR="00FA12B5" w:rsidRPr="00F543C1" w:rsidRDefault="009F49F3" w:rsidP="00FA12B5">
      <w:pPr>
        <w:ind w:left="851"/>
      </w:pPr>
      <w:r w:rsidRPr="00F543C1">
        <w:t xml:space="preserve">The New Zealand parliamentary accountability system is certainly complex and comprehensive. But </w:t>
      </w:r>
      <w:r w:rsidR="00F4662D" w:rsidRPr="00F543C1">
        <w:t>is i</w:t>
      </w:r>
      <w:r w:rsidR="003C4498" w:rsidRPr="00F543C1">
        <w:t>t</w:t>
      </w:r>
      <w:r w:rsidR="00F4662D" w:rsidRPr="00F543C1">
        <w:t xml:space="preserve"> effective in achieving the three purposes of accountability we have identified</w:t>
      </w:r>
      <w:r w:rsidR="003C4498" w:rsidRPr="00F543C1">
        <w:t>?</w:t>
      </w:r>
      <w:r w:rsidRPr="00F543C1">
        <w:t xml:space="preserve"> </w:t>
      </w:r>
      <w:r w:rsidR="00FA12B5" w:rsidRPr="00F543C1">
        <w:t>Jonathan Boston and his colleagues report that:</w:t>
      </w:r>
    </w:p>
    <w:p w14:paraId="5FFB5B2D" w14:textId="1B196761" w:rsidR="00FA12B5" w:rsidRPr="00726346" w:rsidRDefault="00FA12B5" w:rsidP="00FA12B5">
      <w:pPr>
        <w:spacing w:before="120"/>
        <w:ind w:left="1276" w:right="425"/>
        <w:rPr>
          <w:iCs/>
          <w:color w:val="30353F"/>
        </w:rPr>
      </w:pPr>
      <w:r w:rsidRPr="00F543C1">
        <w:rPr>
          <w:i/>
          <w:color w:val="30353F"/>
        </w:rPr>
        <w:t xml:space="preserve">Interviewees, including parliamentarians and those who advise and serve them, generally considered that the current framework for, and quality of, parliamentary scrutiny in New Zealand is unsatisfactory. This assessment applies both to the scrutiny of governance in general and long-term </w:t>
      </w:r>
      <w:proofErr w:type="gramStart"/>
      <w:r w:rsidRPr="00F543C1">
        <w:rPr>
          <w:i/>
          <w:color w:val="30353F"/>
        </w:rPr>
        <w:t>governance in particular</w:t>
      </w:r>
      <w:proofErr w:type="gramEnd"/>
      <w:r w:rsidRPr="00F543C1">
        <w:rPr>
          <w:i/>
          <w:color w:val="30353F"/>
        </w:rPr>
        <w:t xml:space="preserve">. Overall, parliamentary scrutiny was regarded as ad hoc, </w:t>
      </w:r>
      <w:proofErr w:type="gramStart"/>
      <w:r w:rsidRPr="00F543C1">
        <w:rPr>
          <w:i/>
          <w:color w:val="30353F"/>
        </w:rPr>
        <w:t>reactive</w:t>
      </w:r>
      <w:proofErr w:type="gramEnd"/>
      <w:r w:rsidRPr="00F543C1">
        <w:rPr>
          <w:i/>
          <w:color w:val="30353F"/>
        </w:rPr>
        <w:t xml:space="preserve"> and backward-looking. Ideally, it should be more systematic, proactive and forward-looking</w:t>
      </w:r>
      <w:r w:rsidRPr="00F543C1">
        <w:rPr>
          <w:iCs/>
          <w:color w:val="30353F"/>
        </w:rPr>
        <w:t xml:space="preserve">. </w:t>
      </w:r>
      <w:r w:rsidRPr="00F543C1">
        <w:rPr>
          <w:iCs/>
          <w:color w:val="30353F"/>
        </w:rPr>
        <w:fldChar w:fldCharType="begin"/>
      </w:r>
      <w:r w:rsidR="009B0EC4">
        <w:rPr>
          <w:iCs/>
          <w:color w:val="30353F"/>
        </w:rPr>
        <w:instrText xml:space="preserve"> ADDIN ZOTERO_ITEM CSL_CITATION {"citationID":"GWjGRrjH","properties":{"formattedCitation":"(Boston, Bagnall, and Barry 2019, 187)","plainCitation":"(Boston, Bagnall, and Barry 2019, 187)","noteIndex":0},"citationItems":[{"id":14046,"uris":["http://zotero.org/groups/4623831/items/ZIE9YQFQ"],"itemData":{"id":14046,"type":"book","event-place":"Wellington","publisher":"Institute for Governance and Policy Studies","publisher-place":"Wellington","title":"Foresight, insight and oversight: Enhancing long-term governance through better parliamentary scrutiny","author":[{"family":"Boston","given":"Jonathan"},{"family":"Bagnall","given":"David"},{"family":"Barry","given":"Anna"}],"issued":{"date-parts":[["2019"]]}},"locator":"187","label":"page"}],"schema":"https://github.com/citation-style-language/schema/raw/master/csl-citation.json"} </w:instrText>
      </w:r>
      <w:r w:rsidRPr="00F543C1">
        <w:rPr>
          <w:iCs/>
          <w:color w:val="30353F"/>
        </w:rPr>
        <w:fldChar w:fldCharType="separate"/>
      </w:r>
      <w:r w:rsidRPr="00F543C1">
        <w:rPr>
          <w:rFonts w:cs="Calibri"/>
          <w:iCs/>
          <w:color w:val="30353F"/>
        </w:rPr>
        <w:t>(Boston, Bagnall, and Barry 2019, 187)</w:t>
      </w:r>
      <w:r w:rsidRPr="00F543C1">
        <w:rPr>
          <w:iCs/>
          <w:color w:val="30353F"/>
        </w:rPr>
        <w:fldChar w:fldCharType="end"/>
      </w:r>
    </w:p>
    <w:p w14:paraId="3CD6FED7" w14:textId="0FEEEC2A" w:rsidR="003C4498" w:rsidRPr="00F543C1" w:rsidRDefault="003C4498" w:rsidP="00F32381">
      <w:pPr>
        <w:pStyle w:val="USBodyText"/>
      </w:pPr>
      <w:r w:rsidRPr="00F543C1">
        <w:t xml:space="preserve">We agree. </w:t>
      </w:r>
      <w:r w:rsidR="00F32381" w:rsidRPr="00F543C1">
        <w:t xml:space="preserve">In </w:t>
      </w:r>
      <w:r w:rsidR="003D70D9" w:rsidRPr="00F543C1">
        <w:t>s</w:t>
      </w:r>
      <w:r w:rsidR="00F32381" w:rsidRPr="00F543C1">
        <w:t>ection</w:t>
      </w:r>
      <w:r w:rsidR="00AD1913">
        <w:t xml:space="preserve"> 4</w:t>
      </w:r>
      <w:r w:rsidR="00F32381" w:rsidRPr="00726346">
        <w:t xml:space="preserve">, we outline our proposals to improve this system. </w:t>
      </w:r>
    </w:p>
    <w:p w14:paraId="1EF3D691" w14:textId="77777777" w:rsidR="00F35E30" w:rsidRPr="00F543C1" w:rsidRDefault="00F35E30" w:rsidP="00F35E30">
      <w:pPr>
        <w:pStyle w:val="Heading3"/>
      </w:pPr>
      <w:bookmarkStart w:id="184" w:name="_Ref124882853"/>
      <w:bookmarkStart w:id="185" w:name="_Toc126092123"/>
      <w:bookmarkStart w:id="186" w:name="_Toc122443628"/>
      <w:r w:rsidRPr="00F543C1">
        <w:t>Accountability outside government</w:t>
      </w:r>
      <w:bookmarkEnd w:id="184"/>
      <w:bookmarkEnd w:id="185"/>
    </w:p>
    <w:p w14:paraId="0B7B3A17" w14:textId="048E5060" w:rsidR="00F35E30" w:rsidRPr="00F543C1" w:rsidRDefault="00E07C23" w:rsidP="00F35E30">
      <w:pPr>
        <w:ind w:left="851"/>
      </w:pPr>
      <w:r>
        <w:t>When it comes to</w:t>
      </w:r>
      <w:r w:rsidR="00F35E30" w:rsidRPr="00F543C1">
        <w:t xml:space="preserve"> assisting people experiencing persistent disadvantage to change their lives, there are currently two main providers of services:</w:t>
      </w:r>
      <w:r w:rsidR="00F35E30" w:rsidRPr="009006D7">
        <w:rPr>
          <w:rStyle w:val="FootnoteReference"/>
        </w:rPr>
        <w:footnoteReference w:id="166"/>
      </w:r>
      <w:r w:rsidR="00F35E30" w:rsidRPr="00726346">
        <w:t xml:space="preserve"> government </w:t>
      </w:r>
      <w:r w:rsidR="009023B0">
        <w:t>agencies</w:t>
      </w:r>
      <w:r w:rsidR="009023B0" w:rsidRPr="00726346">
        <w:t xml:space="preserve"> </w:t>
      </w:r>
      <w:r w:rsidR="00F35E30" w:rsidRPr="00726346">
        <w:t xml:space="preserve">and NGOs. Here we are using NGO in its literal sense – any entity that </w:t>
      </w:r>
      <w:r w:rsidR="00716158" w:rsidRPr="00F543C1">
        <w:t xml:space="preserve">is </w:t>
      </w:r>
      <w:r w:rsidR="00F35E30" w:rsidRPr="00F543C1">
        <w:t xml:space="preserve">not a department or Crown entity is an NGO – because of the extremely wide range of providers. </w:t>
      </w:r>
    </w:p>
    <w:p w14:paraId="20AED3AA" w14:textId="7DEAE64E" w:rsidR="004D0871" w:rsidRPr="00F543C1" w:rsidRDefault="004D0871" w:rsidP="00F35E30">
      <w:pPr>
        <w:ind w:left="851"/>
      </w:pPr>
      <w:r w:rsidRPr="00F543C1">
        <w:t>The extent of using NGOs to provide services is still</w:t>
      </w:r>
      <w:r w:rsidR="00263D2A" w:rsidRPr="00F543C1">
        <w:t xml:space="preserve"> relatively modest in New Zealand.</w:t>
      </w:r>
      <w:r w:rsidR="00263D2A" w:rsidRPr="009006D7">
        <w:rPr>
          <w:rStyle w:val="FootnoteReference"/>
        </w:rPr>
        <w:footnoteReference w:id="167"/>
      </w:r>
      <w:r w:rsidRPr="00726346">
        <w:t xml:space="preserve"> </w:t>
      </w:r>
    </w:p>
    <w:p w14:paraId="1C7A3585" w14:textId="2EC3930E" w:rsidR="00A604EE" w:rsidRPr="00F543C1" w:rsidRDefault="00A604EE" w:rsidP="00F35E30">
      <w:pPr>
        <w:ind w:left="851"/>
      </w:pPr>
      <w:r w:rsidRPr="00F543C1">
        <w:t>Robert Buchanan and Colleen Pilgr</w:t>
      </w:r>
      <w:r w:rsidR="0002106B">
        <w:t>i</w:t>
      </w:r>
      <w:r w:rsidRPr="00F543C1">
        <w:t>m outli</w:t>
      </w:r>
      <w:r w:rsidR="00CC0F9B" w:rsidRPr="00F543C1">
        <w:t>n</w:t>
      </w:r>
      <w:r w:rsidRPr="00F543C1">
        <w:t>e the history</w:t>
      </w:r>
      <w:r w:rsidR="003032A7" w:rsidRPr="00F543C1">
        <w:t xml:space="preserve"> of this development and note that it has proceeded across different governments:</w:t>
      </w:r>
    </w:p>
    <w:p w14:paraId="3CA70B32" w14:textId="226BF696" w:rsidR="003032A7" w:rsidRPr="00726346" w:rsidRDefault="003032A7" w:rsidP="007E2DC7">
      <w:pPr>
        <w:pStyle w:val="Quotation"/>
        <w:rPr>
          <w:iCs/>
        </w:rPr>
      </w:pPr>
      <w:r w:rsidRPr="00F543C1">
        <w:t xml:space="preserve">Governments in the 1990s were quite deliberate in their moves to involve the private and voluntary sectors in service delivery. From 1999, the Labour Alliance government conspicuously abandoned the agency theory underpinning the contractual approach – in part, to dissociate itself from the politics and rhetoric of the previous model. But there was no retreat from contracting itself: quite the reverse. The change ran much more deeply, steered by the emergence of social development as a key strategy in social service delivery. The range of services placed with NGOs continued to expand. </w:t>
      </w:r>
      <w:r w:rsidRPr="00F543C1">
        <w:rPr>
          <w:i w:val="0"/>
          <w:iCs/>
        </w:rPr>
        <w:fldChar w:fldCharType="begin"/>
      </w:r>
      <w:r w:rsidR="009B0EC4">
        <w:rPr>
          <w:i w:val="0"/>
          <w:iCs/>
        </w:rPr>
        <w:instrText xml:space="preserve"> ADDIN ZOTERO_ITEM CSL_CITATION {"citationID":"ol2qN69j","properties":{"formattedCitation":"(Buchanan and Pilgrim 2004, 5)","plainCitation":"(Buchanan and Pilgrim 2004, 5)","noteIndex":0},"citationItems":[{"id":16156,"uris":["http://zotero.org/groups/4801058/items/3YN2Y9F2"],"itemData":{"id":16156,"type":"report","abstract":"May 2004, paper prepared for the Conferenz 6th Annual Public Law Forum.","event-place":"Wellington","language":"en","publisher":"Office of the Controller and Auditor-General","publisher-place":"Wellington","title":"Transparency and accountability in Government decision-making: devolved service delivery","title-short":"Transparency and accountability in Government decision-making","URL":"https://oag.parliament.nz/2004/devolved-service-delivery","author":[{"family":"Buchanan","given":"Robert"},{"family":"Pilgrim","given":"Colleen"}],"accessed":{"date-parts":[["2022",4,4]]},"issued":{"date-parts":[["2004"]]}},"locator":"5","label":"page"}],"schema":"https://github.com/citation-style-language/schema/raw/master/csl-citation.json"} </w:instrText>
      </w:r>
      <w:r w:rsidRPr="00F543C1">
        <w:rPr>
          <w:i w:val="0"/>
          <w:iCs/>
        </w:rPr>
        <w:fldChar w:fldCharType="separate"/>
      </w:r>
      <w:r w:rsidRPr="00F543C1">
        <w:rPr>
          <w:rFonts w:cs="Calibri"/>
          <w:i w:val="0"/>
          <w:iCs/>
        </w:rPr>
        <w:t>(Buchanan and Pilgrim 2004, 5)</w:t>
      </w:r>
      <w:r w:rsidRPr="00F543C1">
        <w:rPr>
          <w:i w:val="0"/>
          <w:iCs/>
        </w:rPr>
        <w:fldChar w:fldCharType="end"/>
      </w:r>
    </w:p>
    <w:p w14:paraId="450B954F" w14:textId="46AB9EE7" w:rsidR="00807439" w:rsidRPr="00F543C1" w:rsidRDefault="00263D2A" w:rsidP="00F35E30">
      <w:pPr>
        <w:ind w:left="851"/>
      </w:pPr>
      <w:r w:rsidRPr="00F543C1">
        <w:t xml:space="preserve">The </w:t>
      </w:r>
      <w:r w:rsidR="005C653C" w:rsidRPr="00F543C1">
        <w:t xml:space="preserve">accountability </w:t>
      </w:r>
      <w:r w:rsidR="00124534" w:rsidRPr="00F543C1">
        <w:t>implication</w:t>
      </w:r>
      <w:r w:rsidR="009B1A8A" w:rsidRPr="00F543C1">
        <w:t>s</w:t>
      </w:r>
      <w:r w:rsidR="00124534" w:rsidRPr="00F543C1">
        <w:t xml:space="preserve"> for using third</w:t>
      </w:r>
      <w:r w:rsidR="00330D5A" w:rsidRPr="00F543C1">
        <w:t>-</w:t>
      </w:r>
      <w:r w:rsidR="00124534" w:rsidRPr="00F543C1">
        <w:t xml:space="preserve">party providers of social services </w:t>
      </w:r>
      <w:r w:rsidR="009B1A8A" w:rsidRPr="00F543C1">
        <w:t>are</w:t>
      </w:r>
      <w:r w:rsidR="00124534" w:rsidRPr="00F543C1">
        <w:t xml:space="preserve"> much studied</w:t>
      </w:r>
      <w:r w:rsidR="005C653C" w:rsidRPr="00F543C1">
        <w:t xml:space="preserve"> </w:t>
      </w:r>
      <w:r w:rsidR="00124534" w:rsidRPr="00F543C1">
        <w:fldChar w:fldCharType="begin"/>
      </w:r>
      <w:r w:rsidR="009B0EC4">
        <w:instrText xml:space="preserve"> ADDIN ZOTERO_ITEM CSL_CITATION {"citationID":"tdG1KGHs","properties":{"formattedCitation":"(Johnston and Romzek 1999; Buchanan and Pilgrim 2004; Mulgan 2006; B. S. Romzek, LeRoux, and Blackmar 2012; LeRoux et al. 2019)","plainCitation":"(Johnston and Romzek 1999; Buchanan and Pilgrim 2004; Mulgan 2006; B. S. Romzek, LeRoux, and Blackmar 2012; LeRoux et al. 2019)","noteIndex":0},"citationItems":[{"id":15976,"uris":["http://zotero.org/groups/4623831/items/22CQGYFM"],"itemData":{"id":15976,"type":"article-journal","abstract":"Medicaid reform, which has been central to state government reform throughout the United States, represents conceptual and implementation challenges for practitioners and scholars. This article investigates one such reform, in Kansas, where the state contracted with nonprofit agencies for Medicaid case management services. We examine policy rationales for this social service reform in light of the actual economic and management environments. We offer a typology of contract management complexity which articulates how structural factors affect contract management challenges; it indicates that this social service reform presents substantially greater complexity than more traditional service contracting. Our analysis shows that key aspects of the market model of contracting are absent in this reform, reflecting a gap between the political rhetoric which surrounds the reform and the reality of the contracting experience. The lack of market conditions to impose discipline on contractors raises questions about contract management capacity and administrative accountability. The level of management complexity suggests the need for well trained contract management staff and especially sensitive accountability structures to facilitate contract monitoring and minimize principal-agent complications.","container-title":"Public Administration Review","DOI":"10.2307/977422","ISSN":"0033-3352","issue":"5","note":"publisher: [American Society for Public Administration, Wiley]","page":"383-399","source":"JSTOR","title":"Contracting and Accountability in State Medicaid Reform: Rhetoric, Theories, and Reality","title-short":"Contracting and Accountability in State Medicaid Reform","volume":"59","author":[{"family":"Johnston","given":"Jocelyn M."},{"family":"Romzek","given":"Barbara S."}],"issued":{"date-parts":[["1999"]]}},"label":"page"},{"id":16156,"uris":["http://zotero.org/groups/4801058/items/3YN2Y9F2"],"itemData":{"id":16156,"type":"report","abstract":"May 2004, paper prepared for the Conferenz 6th Annual Public Law Forum.","event-place":"Wellington","language":"en","publisher":"Office of the Controller and Auditor-General","publisher-place":"Wellington","title":"Transparency and accountability in Government decision-making: devolved service delivery","title-short":"Transparency and accountability in Government decision-making","URL":"https://oag.parliament.nz/2004/devolved-service-delivery","author":[{"family":"Buchanan","given":"Robert"},{"family":"Pilgrim","given":"Colleen"}],"accessed":{"date-parts":[["2022",4,4]]},"issued":{"date-parts":[["2004"]]}},"label":"page"},{"id":15870,"uris":["http://zotero.org/groups/4623831/items/QJC258QL"],"itemData":{"id":15870,"type":"article-journal","abstract":"The effect of outsourcing on government accountability for public services continues to be contested. Analysts point to an accountability deficit while governments insist that accountability is retained (and indeed improved). The existence of an accountability deficit is confirmed, using examples from the Commonwealth Job Network. The government claim, that accountability remains, is best interpreted as rhetorical, as a refusal to shift blame to private contractors, even though some channels of accountability may be weakened. The claim can be seen as evidence of an increasing incorporation of private contractors into the overall structure of government.","container-title":"Australian Journal of Public Administration","DOI":"10.1111/j.1467-8500.2006.00481.x","ISSN":"1467-8500","issue":"2","language":"en","note":"_eprint: https://onlinelibrary.wiley.com/doi/pdf/10.1111/j.1467-8500.2006.00481.x","page":"48-58","source":"Wiley Online Library","title":"Government Accountability For Outsourced Services*","volume":"65","author":[{"family":"Mulgan","given":"Richard"}],"issued":{"date-parts":[["2006"]]}},"label":"page"},{"id":15886,"uris":["http://zotero.org/groups/4623831/items/P2WY87YM"],"itemData":{"id":15886,"type":"article-journal","abstract":"Widespread government contracting for nonprofit social service delivery has resulted in extensive reliance on networks of service providers, which involve complicated accountability dynamics. The literature has tended to emphasize formal aspects of accountability in contract relationships, focusing on the specification of contract terms, performance measures, reporting relationships, and stipulated consequences. Far less attention has been focused on the interorganizational and interpersonal behaviors that reflect informal accountability. This article examines the informal norms, expectations, and behaviors that facilitate collective action and promote informal accountability among nonprofit network actors. The data are based on in-depth interviews with nonprofit senior administrators in four major metropolitan areas. Based on this research, the authors propose a preliminary theory of informal accountability that links (1) the shared norms and facilitative behaviors that foster informal accountability for collective outcomes, (2) the informal system of rewards and sanctions used to promote and reinforce behavioral expectations, and (3) the challenges that may undermine informal accountability.","container-title":"Public Administration Review","DOI":"10.1111/j.1540-6210.2011.02547.x","ISSN":"1540-6210","issue":"3","language":"en","note":"_eprint: https://onlinelibrary.wiley.com/doi/pdf/10.1111/j.1540-6210.2011.02547.x","page":"442-453","source":"Wiley Online Library","title":"A Preliminary Theory of Informal Accountability among Network Organizational Actors","volume":"72","author":[{"family":"Romzek","given":"Barbara S."},{"family":"LeRoux","given":"Kelly"},{"family":"Blackmar","given":"Jeannette M."}],"issued":{"date-parts":[["2012"]]}},"label":"page"},{"id":14012,"uris":["http://zotero.org/groups/4623831/items/IIKAQIEQ"],"itemData":{"id":14012,"type":"article-journal","abstract":"A central concern in networked service delivery is the potential loss of accountability as network actors may pursue singular organizational goals over collective network goals. Despite the critical role-played by frontline workers in implementing network policy goals, previous research has overlooked their influence on network accountability. How do frontline workers impact accountability in networked service delivery? Drawing on theories of informal accountability and street-level bureaucracy, we address this question through an empirical study of children’s service networks. We find professional norms and discretionary behavior exercised by frontline workers help to contribute to provider network’s informal accountability structure in important ways.","container-title":"Human Service Organizations: Management, Leadership &amp; Governance","DOI":"10.1080/23303131.2019.1637804","ISSN":"2330-3131","issue":"3","note":"publisher: Routledge\n_eprint: https://doi.org/10.1080/23303131.2019.1637804","page":"188-204","source":"Taylor and Francis+NEJM","title":"Informal Accountability in Children’s Service Networks: The Role of Frontline Workers","title-short":"Informal Accountability in Children’s Service Networks","volume":"43","author":[{"family":"LeRoux","given":"Kelly"},{"family":"Piatak","given":"Jaclyn"},{"family":"Romzek","given":"Barbara"},{"family":"Johnston","given":"Jocelyn"}],"issued":{"date-parts":[["2019",5,27]]}},"label":"page"}],"schema":"https://github.com/citation-style-language/schema/raw/master/csl-citation.json"} </w:instrText>
      </w:r>
      <w:r w:rsidR="00124534" w:rsidRPr="00F543C1">
        <w:fldChar w:fldCharType="separate"/>
      </w:r>
      <w:r w:rsidR="009B1070" w:rsidRPr="00F543C1">
        <w:rPr>
          <w:rFonts w:cs="Calibri"/>
        </w:rPr>
        <w:t>(Johnston and Romzek 1999; Buchanan and Pilgrim 2004; Mulgan 2006; B. S. Romzek, LeRoux, and Blackmar 2012; LeRoux et al. 2019)</w:t>
      </w:r>
      <w:r w:rsidR="00124534" w:rsidRPr="00F543C1">
        <w:fldChar w:fldCharType="end"/>
      </w:r>
      <w:r w:rsidR="009B1A8A" w:rsidRPr="00726346">
        <w:t>. Both</w:t>
      </w:r>
      <w:r w:rsidR="006F1A12" w:rsidRPr="00F543C1">
        <w:t xml:space="preserve"> concerns about accountability deficits (using third</w:t>
      </w:r>
      <w:r w:rsidR="00330D5A" w:rsidRPr="00F543C1">
        <w:t>-</w:t>
      </w:r>
      <w:r w:rsidR="006F1A12" w:rsidRPr="00F543C1">
        <w:t xml:space="preserve">party providers moves important functions outside </w:t>
      </w:r>
      <w:r w:rsidR="00F14966" w:rsidRPr="00F543C1">
        <w:lastRenderedPageBreak/>
        <w:t>public accountability systems) a</w:t>
      </w:r>
      <w:r w:rsidR="00D458F1" w:rsidRPr="00F543C1">
        <w:t>n</w:t>
      </w:r>
      <w:r w:rsidR="00F14966" w:rsidRPr="00F543C1">
        <w:t>d accountability overload (third</w:t>
      </w:r>
      <w:r w:rsidR="00330D5A" w:rsidRPr="00F543C1">
        <w:t>-</w:t>
      </w:r>
      <w:r w:rsidR="00F14966" w:rsidRPr="00F543C1">
        <w:t xml:space="preserve">party providers </w:t>
      </w:r>
      <w:r w:rsidR="0084000A" w:rsidRPr="00F543C1">
        <w:t>are subject to excessive reporting requirements)</w:t>
      </w:r>
      <w:r w:rsidR="00D458F1" w:rsidRPr="00F543C1">
        <w:t xml:space="preserve"> feature in the literature</w:t>
      </w:r>
      <w:r w:rsidR="0084000A" w:rsidRPr="00F543C1">
        <w:t>.</w:t>
      </w:r>
      <w:r w:rsidR="00807439" w:rsidRPr="00F543C1">
        <w:t xml:space="preserve">  </w:t>
      </w:r>
    </w:p>
    <w:p w14:paraId="11704DCA" w14:textId="7317D0CA" w:rsidR="00F35E30" w:rsidRPr="00F543C1" w:rsidRDefault="00F35E30" w:rsidP="00F35E30">
      <w:pPr>
        <w:ind w:left="851"/>
      </w:pPr>
      <w:r w:rsidRPr="00F543C1">
        <w:t xml:space="preserve">All NGOs are subject to their own accountability system. This is a combination of private requirements of founders and benefactors (often in the form of trust deeds establishing charities and constitutions of incorporated societies, but also derived from the </w:t>
      </w:r>
      <w:proofErr w:type="gramStart"/>
      <w:r w:rsidRPr="00F543C1">
        <w:t>particular practices</w:t>
      </w:r>
      <w:proofErr w:type="gramEnd"/>
      <w:r w:rsidRPr="00F543C1">
        <w:t xml:space="preserve"> of the founders, like churches and iwi); general laws (like the Companies Act and the Incorporated Societies Act); more specific laws (like the Charities Act);</w:t>
      </w:r>
      <w:r w:rsidR="009552FC" w:rsidRPr="00F543C1">
        <w:t xml:space="preserve"> and</w:t>
      </w:r>
      <w:r w:rsidRPr="00F543C1">
        <w:t xml:space="preserve"> occupational regulation of staff of NGOs (especially professions like medicine).</w:t>
      </w:r>
    </w:p>
    <w:p w14:paraId="1C64F229" w14:textId="22269842" w:rsidR="00F35E30" w:rsidRPr="00F543C1" w:rsidRDefault="00F35E30" w:rsidP="00F35E30">
      <w:pPr>
        <w:ind w:left="851"/>
      </w:pPr>
      <w:r w:rsidRPr="00F543C1">
        <w:t>Many NGOs are at least part-funded by central government, again th</w:t>
      </w:r>
      <w:r w:rsidR="00330D5A" w:rsidRPr="00F543C1">
        <w:t>r</w:t>
      </w:r>
      <w:r w:rsidRPr="00F543C1">
        <w:t xml:space="preserve">ough a multiplicity of arrangements. </w:t>
      </w:r>
    </w:p>
    <w:p w14:paraId="67AAD613" w14:textId="1893FFC9" w:rsidR="00F35E30" w:rsidRPr="00F543C1" w:rsidRDefault="00F35E30" w:rsidP="00BF6CA2">
      <w:pPr>
        <w:ind w:left="851"/>
      </w:pPr>
      <w:r w:rsidRPr="00F543C1">
        <w:t>In</w:t>
      </w:r>
      <w:r w:rsidR="00BF6CA2">
        <w:t xml:space="preserve"> </w:t>
      </w:r>
      <w:r w:rsidR="00BF6CA2">
        <w:fldChar w:fldCharType="begin"/>
      </w:r>
      <w:r w:rsidR="00BF6CA2">
        <w:instrText xml:space="preserve"> REF _Ref126744505 \h </w:instrText>
      </w:r>
      <w:r w:rsidR="00BF6CA2">
        <w:fldChar w:fldCharType="separate"/>
      </w:r>
      <w:r w:rsidR="00E06351" w:rsidRPr="00F543C1">
        <w:t xml:space="preserve">Table </w:t>
      </w:r>
      <w:r w:rsidR="00E06351">
        <w:rPr>
          <w:noProof/>
        </w:rPr>
        <w:t>6</w:t>
      </w:r>
      <w:r w:rsidR="00BF6CA2">
        <w:fldChar w:fldCharType="end"/>
      </w:r>
      <w:r w:rsidRPr="00726346">
        <w:t>, we describe the accountability arrangements applied to NGOs, using</w:t>
      </w:r>
      <w:r w:rsidRPr="00F543C1">
        <w:t xml:space="preserve"> the same taxonomy we used to discuss public sector accountability in </w:t>
      </w:r>
      <w:r w:rsidR="003D70D9" w:rsidRPr="00F543C1">
        <w:t>s</w:t>
      </w:r>
      <w:r w:rsidRPr="00F543C1">
        <w:t xml:space="preserve">ection </w:t>
      </w:r>
      <w:r w:rsidRPr="00F543C1">
        <w:fldChar w:fldCharType="begin"/>
      </w:r>
      <w:r w:rsidRPr="00F543C1">
        <w:instrText xml:space="preserve"> REF _Ref124883680 \r \h </w:instrText>
      </w:r>
      <w:r w:rsidR="000177FE" w:rsidRPr="00F543C1">
        <w:instrText xml:space="preserve"> \* MERGEFORMAT </w:instrText>
      </w:r>
      <w:r w:rsidRPr="00F543C1">
        <w:fldChar w:fldCharType="separate"/>
      </w:r>
      <w:r w:rsidR="00E06351">
        <w:t>3.6</w:t>
      </w:r>
      <w:r w:rsidRPr="00F543C1">
        <w:fldChar w:fldCharType="end"/>
      </w:r>
      <w:r w:rsidRPr="00726346">
        <w:t xml:space="preserve">. </w:t>
      </w:r>
    </w:p>
    <w:p w14:paraId="0CD72616" w14:textId="77777777" w:rsidR="001C481D" w:rsidRDefault="001C481D">
      <w:pPr>
        <w:spacing w:after="160" w:line="259" w:lineRule="auto"/>
        <w:rPr>
          <w:b/>
          <w:iCs/>
          <w:color w:val="0094C5"/>
          <w:sz w:val="24"/>
          <w:szCs w:val="18"/>
        </w:rPr>
      </w:pPr>
      <w:bookmarkStart w:id="187" w:name="_Ref124883101"/>
      <w:r>
        <w:br w:type="page"/>
      </w:r>
    </w:p>
    <w:p w14:paraId="1FE3862C" w14:textId="1FA00D2E" w:rsidR="00F35E30" w:rsidRPr="00F543C1" w:rsidRDefault="00F35E30" w:rsidP="00F35E30">
      <w:pPr>
        <w:pStyle w:val="TableCaption"/>
      </w:pPr>
      <w:bookmarkStart w:id="188" w:name="_Ref126744505"/>
      <w:bookmarkStart w:id="189" w:name="_Toc126841250"/>
      <w:r w:rsidRPr="00F543C1">
        <w:lastRenderedPageBreak/>
        <w:t xml:space="preserve">Table </w:t>
      </w:r>
      <w:r w:rsidRPr="00F543C1">
        <w:fldChar w:fldCharType="begin"/>
      </w:r>
      <w:r w:rsidRPr="00F543C1">
        <w:instrText>SEQ Table \* ARABIC</w:instrText>
      </w:r>
      <w:r w:rsidRPr="00F543C1">
        <w:fldChar w:fldCharType="separate"/>
      </w:r>
      <w:r w:rsidR="00E06351">
        <w:rPr>
          <w:noProof/>
        </w:rPr>
        <w:t>6</w:t>
      </w:r>
      <w:r w:rsidRPr="00F543C1">
        <w:fldChar w:fldCharType="end"/>
      </w:r>
      <w:bookmarkEnd w:id="187"/>
      <w:bookmarkEnd w:id="188"/>
      <w:r w:rsidRPr="00726346">
        <w:t xml:space="preserve"> The current accountability system</w:t>
      </w:r>
      <w:bookmarkEnd w:id="189"/>
    </w:p>
    <w:p w14:paraId="769F15B4" w14:textId="139D8422" w:rsidR="00F35E30" w:rsidRPr="00F543C1" w:rsidRDefault="00F35E30" w:rsidP="00F35E30">
      <w:pPr>
        <w:keepNext/>
        <w:spacing w:line="220" w:lineRule="atLeast"/>
        <w:ind w:left="851"/>
        <w:rPr>
          <w:sz w:val="18"/>
          <w:szCs w:val="18"/>
        </w:rPr>
      </w:pPr>
      <w:r w:rsidRPr="00F543C1">
        <w:rPr>
          <w:sz w:val="18"/>
          <w:szCs w:val="18"/>
        </w:rPr>
        <w:t>As applied to NGOs</w:t>
      </w:r>
    </w:p>
    <w:tbl>
      <w:tblPr>
        <w:tblStyle w:val="TableDefault"/>
        <w:tblW w:w="6946" w:type="dxa"/>
        <w:tblInd w:w="841"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none" w:sz="0" w:space="0" w:color="auto"/>
        </w:tblBorders>
        <w:tblLayout w:type="fixed"/>
        <w:tblLook w:val="0460" w:firstRow="1" w:lastRow="1" w:firstColumn="0" w:lastColumn="0" w:noHBand="0" w:noVBand="1"/>
      </w:tblPr>
      <w:tblGrid>
        <w:gridCol w:w="3473"/>
        <w:gridCol w:w="3473"/>
      </w:tblGrid>
      <w:tr w:rsidR="00F35E30" w:rsidRPr="00F543C1" w14:paraId="59D34738" w14:textId="77777777" w:rsidTr="00956083">
        <w:trPr>
          <w:cnfStyle w:val="100000000000" w:firstRow="1" w:lastRow="0" w:firstColumn="0" w:lastColumn="0" w:oddVBand="0" w:evenVBand="0" w:oddHBand="0" w:evenHBand="0" w:firstRowFirstColumn="0" w:firstRowLastColumn="0" w:lastRowFirstColumn="0" w:lastRowLastColumn="0"/>
        </w:trPr>
        <w:tc>
          <w:tcPr>
            <w:tcW w:w="0" w:type="pct"/>
          </w:tcPr>
          <w:p w14:paraId="5010A4C8" w14:textId="77777777" w:rsidR="00F35E30" w:rsidRPr="00F543C1" w:rsidRDefault="00F35E30" w:rsidP="00182528">
            <w:pPr>
              <w:keepNext/>
              <w:keepLines/>
              <w:spacing w:before="80" w:after="80" w:line="220" w:lineRule="atLeast"/>
              <w:rPr>
                <w:b/>
                <w:color w:val="FFFFFF"/>
                <w:sz w:val="18"/>
              </w:rPr>
            </w:pPr>
            <w:r w:rsidRPr="00F543C1">
              <w:rPr>
                <w:b/>
                <w:color w:val="FFFFFF"/>
                <w:sz w:val="18"/>
              </w:rPr>
              <w:t>Mechanism</w:t>
            </w:r>
          </w:p>
        </w:tc>
        <w:tc>
          <w:tcPr>
            <w:tcW w:w="0" w:type="pct"/>
          </w:tcPr>
          <w:p w14:paraId="298E7961" w14:textId="77777777" w:rsidR="00F35E30" w:rsidRPr="00F543C1" w:rsidRDefault="00F35E30" w:rsidP="00182528">
            <w:pPr>
              <w:keepNext/>
              <w:keepLines/>
              <w:spacing w:before="80" w:after="80" w:line="220" w:lineRule="atLeast"/>
              <w:rPr>
                <w:b/>
                <w:color w:val="FFFFFF"/>
                <w:sz w:val="18"/>
              </w:rPr>
            </w:pPr>
            <w:r w:rsidRPr="00F543C1">
              <w:rPr>
                <w:b/>
                <w:color w:val="FFFFFF"/>
                <w:sz w:val="18"/>
              </w:rPr>
              <w:t>Description</w:t>
            </w:r>
          </w:p>
        </w:tc>
      </w:tr>
      <w:tr w:rsidR="00F35E30" w:rsidRPr="00F543C1" w14:paraId="5687165E" w14:textId="77777777" w:rsidTr="00956083">
        <w:tc>
          <w:tcPr>
            <w:tcW w:w="0" w:type="pct"/>
          </w:tcPr>
          <w:p w14:paraId="1960060A" w14:textId="77777777" w:rsidR="00F35E30" w:rsidRPr="00F543C1" w:rsidRDefault="00F35E30" w:rsidP="00182528">
            <w:pPr>
              <w:spacing w:before="60" w:after="60" w:line="220" w:lineRule="atLeast"/>
              <w:rPr>
                <w:sz w:val="18"/>
              </w:rPr>
            </w:pPr>
            <w:proofErr w:type="spellStart"/>
            <w:r w:rsidRPr="00F543C1">
              <w:rPr>
                <w:sz w:val="18"/>
              </w:rPr>
              <w:t>Te</w:t>
            </w:r>
            <w:proofErr w:type="spellEnd"/>
            <w:r w:rsidRPr="00F543C1">
              <w:rPr>
                <w:sz w:val="18"/>
              </w:rPr>
              <w:t xml:space="preserve"> </w:t>
            </w:r>
            <w:proofErr w:type="spellStart"/>
            <w:r w:rsidRPr="00F543C1">
              <w:rPr>
                <w:sz w:val="18"/>
              </w:rPr>
              <w:t>Tiriti</w:t>
            </w:r>
            <w:proofErr w:type="spellEnd"/>
            <w:r w:rsidRPr="00F543C1">
              <w:rPr>
                <w:sz w:val="18"/>
              </w:rPr>
              <w:t xml:space="preserve"> o Waitangi</w:t>
            </w:r>
          </w:p>
        </w:tc>
        <w:tc>
          <w:tcPr>
            <w:tcW w:w="0" w:type="pct"/>
          </w:tcPr>
          <w:p w14:paraId="13D4672E" w14:textId="6E42642B" w:rsidR="00F35E30" w:rsidRPr="00726346" w:rsidRDefault="00F35E30" w:rsidP="00182528">
            <w:pPr>
              <w:spacing w:before="60" w:after="60" w:line="220" w:lineRule="atLeast"/>
              <w:rPr>
                <w:sz w:val="18"/>
              </w:rPr>
            </w:pPr>
            <w:r w:rsidRPr="00F543C1">
              <w:rPr>
                <w:sz w:val="18"/>
              </w:rPr>
              <w:t xml:space="preserve">At one level, </w:t>
            </w:r>
            <w:proofErr w:type="spellStart"/>
            <w:r w:rsidRPr="00F543C1">
              <w:rPr>
                <w:sz w:val="18"/>
              </w:rPr>
              <w:t>Te</w:t>
            </w:r>
            <w:proofErr w:type="spellEnd"/>
            <w:r w:rsidRPr="00F543C1">
              <w:rPr>
                <w:sz w:val="18"/>
              </w:rPr>
              <w:t xml:space="preserve"> </w:t>
            </w:r>
            <w:proofErr w:type="spellStart"/>
            <w:r w:rsidRPr="00F543C1">
              <w:rPr>
                <w:sz w:val="18"/>
              </w:rPr>
              <w:t>Tiriti</w:t>
            </w:r>
            <w:proofErr w:type="spellEnd"/>
            <w:r w:rsidRPr="00F543C1">
              <w:rPr>
                <w:sz w:val="18"/>
              </w:rPr>
              <w:t xml:space="preserve"> o Waitangi is an agreement between only the Crown and the </w:t>
            </w:r>
            <w:r w:rsidR="001875A6">
              <w:rPr>
                <w:sz w:val="18"/>
              </w:rPr>
              <w:t>h</w:t>
            </w:r>
            <w:r w:rsidRPr="00F543C1">
              <w:rPr>
                <w:sz w:val="18"/>
              </w:rPr>
              <w:t xml:space="preserve">apū on whose behalf it was signed. </w:t>
            </w:r>
            <w:r w:rsidR="0060012C" w:rsidRPr="00F543C1">
              <w:rPr>
                <w:sz w:val="18"/>
              </w:rPr>
              <w:t xml:space="preserve">Unless they are iwi or </w:t>
            </w:r>
            <w:r w:rsidR="00430EF5" w:rsidRPr="00F543C1">
              <w:rPr>
                <w:sz w:val="18"/>
              </w:rPr>
              <w:t xml:space="preserve">hapū </w:t>
            </w:r>
            <w:r w:rsidR="0060012C" w:rsidRPr="00F543C1">
              <w:rPr>
                <w:sz w:val="18"/>
              </w:rPr>
              <w:t>organis</w:t>
            </w:r>
            <w:r w:rsidR="005463AD" w:rsidRPr="00F543C1">
              <w:rPr>
                <w:sz w:val="18"/>
              </w:rPr>
              <w:t xml:space="preserve">ations, </w:t>
            </w:r>
            <w:r w:rsidRPr="00F543C1">
              <w:rPr>
                <w:sz w:val="18"/>
              </w:rPr>
              <w:t xml:space="preserve">NGOs are not strictly legal parties to </w:t>
            </w:r>
            <w:proofErr w:type="spellStart"/>
            <w:r w:rsidRPr="00F543C1">
              <w:rPr>
                <w:sz w:val="18"/>
              </w:rPr>
              <w:t>Te</w:t>
            </w:r>
            <w:proofErr w:type="spellEnd"/>
            <w:r w:rsidRPr="00F543C1">
              <w:rPr>
                <w:sz w:val="18"/>
              </w:rPr>
              <w:t xml:space="preserve"> </w:t>
            </w:r>
            <w:proofErr w:type="spellStart"/>
            <w:r w:rsidRPr="00F543C1">
              <w:rPr>
                <w:sz w:val="18"/>
              </w:rPr>
              <w:t>Tiriti</w:t>
            </w:r>
            <w:proofErr w:type="spellEnd"/>
            <w:r w:rsidR="00B02DFB">
              <w:rPr>
                <w:sz w:val="18"/>
              </w:rPr>
              <w:t xml:space="preserve"> o Waitangi</w:t>
            </w:r>
            <w:r w:rsidRPr="00F543C1">
              <w:rPr>
                <w:sz w:val="18"/>
              </w:rPr>
              <w:t xml:space="preserve">. However, many </w:t>
            </w:r>
            <w:r w:rsidR="00494022" w:rsidRPr="00F543C1">
              <w:rPr>
                <w:sz w:val="18"/>
              </w:rPr>
              <w:t xml:space="preserve">non-iwi NGOs </w:t>
            </w:r>
            <w:r w:rsidRPr="00F543C1">
              <w:rPr>
                <w:sz w:val="18"/>
              </w:rPr>
              <w:t xml:space="preserve">do </w:t>
            </w:r>
            <w:r w:rsidR="00D458F1" w:rsidRPr="00F543C1">
              <w:rPr>
                <w:sz w:val="18"/>
              </w:rPr>
              <w:t xml:space="preserve">view </w:t>
            </w:r>
            <w:proofErr w:type="spellStart"/>
            <w:r w:rsidR="00D458F1" w:rsidRPr="00F543C1">
              <w:rPr>
                <w:sz w:val="18"/>
              </w:rPr>
              <w:t>Te</w:t>
            </w:r>
            <w:proofErr w:type="spellEnd"/>
            <w:r w:rsidR="00D458F1" w:rsidRPr="00F543C1">
              <w:rPr>
                <w:sz w:val="18"/>
              </w:rPr>
              <w:t xml:space="preserve"> </w:t>
            </w:r>
            <w:proofErr w:type="spellStart"/>
            <w:r w:rsidR="00041E30" w:rsidRPr="00F543C1">
              <w:rPr>
                <w:sz w:val="18"/>
              </w:rPr>
              <w:t>Tiriti</w:t>
            </w:r>
            <w:proofErr w:type="spellEnd"/>
            <w:r w:rsidRPr="00F543C1">
              <w:rPr>
                <w:sz w:val="18"/>
              </w:rPr>
              <w:t xml:space="preserve"> as important to what they do and how, perhaps even more so than some government bodies.</w:t>
            </w:r>
            <w:r w:rsidR="00602A62" w:rsidRPr="009006D7">
              <w:rPr>
                <w:rStyle w:val="FootnoteReference"/>
              </w:rPr>
              <w:footnoteReference w:id="168"/>
            </w:r>
          </w:p>
        </w:tc>
      </w:tr>
      <w:tr w:rsidR="00F35E30" w:rsidRPr="00F543C1" w14:paraId="35AD9759" w14:textId="77777777" w:rsidTr="00956083">
        <w:trPr>
          <w:cnfStyle w:val="000000010000" w:firstRow="0" w:lastRow="0" w:firstColumn="0" w:lastColumn="0" w:oddVBand="0" w:evenVBand="0" w:oddHBand="0" w:evenHBand="1" w:firstRowFirstColumn="0" w:firstRowLastColumn="0" w:lastRowFirstColumn="0" w:lastRowLastColumn="0"/>
        </w:trPr>
        <w:tc>
          <w:tcPr>
            <w:tcW w:w="0" w:type="pct"/>
          </w:tcPr>
          <w:p w14:paraId="1771F901" w14:textId="0AFF80DE" w:rsidR="00F35E30" w:rsidRPr="00F543C1" w:rsidRDefault="000B2644" w:rsidP="00182528">
            <w:pPr>
              <w:spacing w:before="60" w:after="60" w:line="220" w:lineRule="atLeast"/>
              <w:rPr>
                <w:sz w:val="18"/>
              </w:rPr>
            </w:pPr>
            <w:r>
              <w:rPr>
                <w:sz w:val="18"/>
              </w:rPr>
              <w:t>Way in which NGOs are established</w:t>
            </w:r>
          </w:p>
        </w:tc>
        <w:tc>
          <w:tcPr>
            <w:tcW w:w="0" w:type="pct"/>
          </w:tcPr>
          <w:p w14:paraId="0A6A6193" w14:textId="77777777" w:rsidR="00F35E30" w:rsidRPr="00726346" w:rsidRDefault="00F35E30" w:rsidP="00182528">
            <w:pPr>
              <w:spacing w:before="60" w:after="60" w:line="220" w:lineRule="atLeast"/>
              <w:rPr>
                <w:sz w:val="18"/>
              </w:rPr>
            </w:pPr>
            <w:r w:rsidRPr="00F543C1">
              <w:rPr>
                <w:sz w:val="18"/>
              </w:rPr>
              <w:t xml:space="preserve">No specific requirement that providers have any </w:t>
            </w:r>
            <w:proofErr w:type="gramStart"/>
            <w:r w:rsidRPr="00F543C1">
              <w:rPr>
                <w:sz w:val="18"/>
              </w:rPr>
              <w:t>particular form</w:t>
            </w:r>
            <w:proofErr w:type="gramEnd"/>
            <w:r w:rsidRPr="00F543C1">
              <w:rPr>
                <w:sz w:val="18"/>
              </w:rPr>
              <w:t xml:space="preserve"> and thus practice varies.</w:t>
            </w:r>
            <w:r w:rsidRPr="009006D7">
              <w:rPr>
                <w:rStyle w:val="FootnoteReference"/>
              </w:rPr>
              <w:footnoteReference w:id="169"/>
            </w:r>
          </w:p>
          <w:p w14:paraId="2E2DFF72" w14:textId="77777777" w:rsidR="00F35E30" w:rsidRPr="00726346" w:rsidRDefault="00F35E30" w:rsidP="00182528">
            <w:pPr>
              <w:spacing w:before="60" w:after="60" w:line="220" w:lineRule="atLeast"/>
              <w:rPr>
                <w:sz w:val="18"/>
              </w:rPr>
            </w:pPr>
            <w:r w:rsidRPr="00F543C1">
              <w:rPr>
                <w:sz w:val="18"/>
              </w:rPr>
              <w:t>Common examples</w:t>
            </w:r>
            <w:r w:rsidRPr="009006D7">
              <w:rPr>
                <w:rStyle w:val="FootnoteReference"/>
              </w:rPr>
              <w:footnoteReference w:id="170"/>
            </w:r>
            <w:r w:rsidRPr="00726346">
              <w:rPr>
                <w:sz w:val="18"/>
              </w:rPr>
              <w:t xml:space="preserve"> are incorporated societies, companies, Māori incorporations and trusts.</w:t>
            </w:r>
            <w:r w:rsidRPr="009006D7">
              <w:rPr>
                <w:rStyle w:val="FootnoteReference"/>
              </w:rPr>
              <w:footnoteReference w:id="171"/>
            </w:r>
          </w:p>
        </w:tc>
      </w:tr>
      <w:tr w:rsidR="00F35E30" w:rsidRPr="00F543C1" w14:paraId="2ACBDCE5" w14:textId="77777777" w:rsidTr="00956083">
        <w:trPr>
          <w:cantSplit/>
        </w:trPr>
        <w:tc>
          <w:tcPr>
            <w:tcW w:w="0" w:type="pct"/>
          </w:tcPr>
          <w:p w14:paraId="5F94107D" w14:textId="77777777" w:rsidR="00F35E30" w:rsidRPr="00F543C1" w:rsidRDefault="00F35E30" w:rsidP="00182528">
            <w:pPr>
              <w:spacing w:before="60" w:after="60" w:line="220" w:lineRule="atLeast"/>
              <w:rPr>
                <w:sz w:val="18"/>
              </w:rPr>
            </w:pPr>
            <w:r w:rsidRPr="00F543C1">
              <w:rPr>
                <w:sz w:val="18"/>
              </w:rPr>
              <w:t>Basic disclosure of operations</w:t>
            </w:r>
          </w:p>
        </w:tc>
        <w:tc>
          <w:tcPr>
            <w:tcW w:w="0" w:type="pct"/>
          </w:tcPr>
          <w:p w14:paraId="4E497F79" w14:textId="77777777" w:rsidR="00F35E30" w:rsidRPr="00F543C1" w:rsidRDefault="00F35E30" w:rsidP="00182528">
            <w:pPr>
              <w:spacing w:before="60" w:after="60" w:line="220" w:lineRule="atLeast"/>
              <w:rPr>
                <w:sz w:val="18"/>
              </w:rPr>
            </w:pPr>
            <w:r w:rsidRPr="00F543C1">
              <w:rPr>
                <w:sz w:val="18"/>
              </w:rPr>
              <w:t>Registered charities are required to disclose operations in an annual return that is published on the Charities Registrar’s website. The return must include financial statements. There are tiers of reporting requirements, depending on the size and nature of the entity.</w:t>
            </w:r>
            <w:r w:rsidRPr="009006D7">
              <w:rPr>
                <w:rStyle w:val="FootnoteReference"/>
              </w:rPr>
              <w:footnoteReference w:id="172"/>
            </w:r>
            <w:r w:rsidRPr="00726346">
              <w:rPr>
                <w:sz w:val="18"/>
              </w:rPr>
              <w:t xml:space="preserve"> Reporting requirements a</w:t>
            </w:r>
            <w:r w:rsidRPr="00F543C1">
              <w:rPr>
                <w:sz w:val="18"/>
              </w:rPr>
              <w:t>re specified by the External Reporting Board.</w:t>
            </w:r>
          </w:p>
          <w:p w14:paraId="0C3A11DC" w14:textId="34C67BCD" w:rsidR="00F35E30" w:rsidRPr="00F543C1" w:rsidRDefault="00F35E30" w:rsidP="00182528">
            <w:pPr>
              <w:spacing w:before="60" w:after="60" w:line="220" w:lineRule="atLeast"/>
              <w:rPr>
                <w:sz w:val="18"/>
              </w:rPr>
            </w:pPr>
            <w:r w:rsidRPr="00F543C1">
              <w:rPr>
                <w:sz w:val="18"/>
              </w:rPr>
              <w:t xml:space="preserve">Incorporated societies that are not also charities are required to prepare annual reports and financial statements for their members, which must also be given to the Registrar of Incorporated Societies. </w:t>
            </w:r>
          </w:p>
        </w:tc>
      </w:tr>
      <w:tr w:rsidR="00F35E30" w:rsidRPr="00F543C1" w14:paraId="572CF1C2" w14:textId="77777777" w:rsidTr="00956083">
        <w:trPr>
          <w:cnfStyle w:val="000000010000" w:firstRow="0" w:lastRow="0" w:firstColumn="0" w:lastColumn="0" w:oddVBand="0" w:evenVBand="0" w:oddHBand="0" w:evenHBand="1" w:firstRowFirstColumn="0" w:firstRowLastColumn="0" w:lastRowFirstColumn="0" w:lastRowLastColumn="0"/>
        </w:trPr>
        <w:tc>
          <w:tcPr>
            <w:tcW w:w="0" w:type="pct"/>
          </w:tcPr>
          <w:p w14:paraId="69E60AF7" w14:textId="77777777" w:rsidR="00F35E30" w:rsidRPr="00F543C1" w:rsidRDefault="00F35E30" w:rsidP="00182528">
            <w:pPr>
              <w:spacing w:before="60" w:after="60" w:line="220" w:lineRule="atLeast"/>
              <w:rPr>
                <w:sz w:val="18"/>
              </w:rPr>
            </w:pPr>
            <w:r w:rsidRPr="00F543C1">
              <w:rPr>
                <w:sz w:val="18"/>
              </w:rPr>
              <w:t>Financial disclosure</w:t>
            </w:r>
          </w:p>
        </w:tc>
        <w:tc>
          <w:tcPr>
            <w:tcW w:w="0" w:type="pct"/>
          </w:tcPr>
          <w:p w14:paraId="393F9466" w14:textId="77777777" w:rsidR="00F35E30" w:rsidRPr="00F543C1" w:rsidRDefault="00F35E30" w:rsidP="00182528">
            <w:pPr>
              <w:spacing w:before="60" w:after="60" w:line="220" w:lineRule="atLeast"/>
              <w:rPr>
                <w:sz w:val="18"/>
              </w:rPr>
            </w:pPr>
            <w:r w:rsidRPr="00F543C1">
              <w:rPr>
                <w:sz w:val="18"/>
              </w:rPr>
              <w:t>Varies. Could be: Incorporated Societies Act, Charities Act, Companies Act.</w:t>
            </w:r>
          </w:p>
        </w:tc>
      </w:tr>
      <w:tr w:rsidR="00F35E30" w:rsidRPr="00F543C1" w14:paraId="076913A1" w14:textId="77777777" w:rsidTr="00956083">
        <w:tc>
          <w:tcPr>
            <w:tcW w:w="0" w:type="pct"/>
          </w:tcPr>
          <w:p w14:paraId="72437E1C" w14:textId="77777777" w:rsidR="00F35E30" w:rsidRPr="00F543C1" w:rsidRDefault="00F35E30" w:rsidP="00182528">
            <w:pPr>
              <w:spacing w:before="60" w:after="60" w:line="220" w:lineRule="atLeast"/>
              <w:rPr>
                <w:sz w:val="18"/>
              </w:rPr>
            </w:pPr>
            <w:r w:rsidRPr="00F543C1">
              <w:rPr>
                <w:sz w:val="18"/>
              </w:rPr>
              <w:lastRenderedPageBreak/>
              <w:t>External audit and review</w:t>
            </w:r>
          </w:p>
        </w:tc>
        <w:tc>
          <w:tcPr>
            <w:tcW w:w="0" w:type="pct"/>
          </w:tcPr>
          <w:p w14:paraId="2249E1D3" w14:textId="77777777" w:rsidR="00F35E30" w:rsidRPr="00F543C1" w:rsidRDefault="00F35E30" w:rsidP="00182528">
            <w:pPr>
              <w:spacing w:before="60" w:after="60" w:line="220" w:lineRule="atLeast"/>
              <w:rPr>
                <w:sz w:val="18"/>
              </w:rPr>
            </w:pPr>
            <w:r w:rsidRPr="00F543C1">
              <w:rPr>
                <w:sz w:val="18"/>
              </w:rPr>
              <w:t>Varies by size and status. Incorporated Societies Act, Charities Act, and Companies Act all have different requirements, some of which overlap.</w:t>
            </w:r>
          </w:p>
        </w:tc>
      </w:tr>
      <w:tr w:rsidR="00F35E30" w:rsidRPr="00F543C1" w14:paraId="0C8269C8" w14:textId="77777777" w:rsidTr="00956083">
        <w:trPr>
          <w:cnfStyle w:val="000000010000" w:firstRow="0" w:lastRow="0" w:firstColumn="0" w:lastColumn="0" w:oddVBand="0" w:evenVBand="0" w:oddHBand="0" w:evenHBand="1" w:firstRowFirstColumn="0" w:firstRowLastColumn="0" w:lastRowFirstColumn="0" w:lastRowLastColumn="0"/>
        </w:trPr>
        <w:tc>
          <w:tcPr>
            <w:tcW w:w="0" w:type="pct"/>
          </w:tcPr>
          <w:p w14:paraId="6522AEE6" w14:textId="77777777" w:rsidR="00F35E30" w:rsidRPr="00F543C1" w:rsidRDefault="00F35E30" w:rsidP="00182528">
            <w:pPr>
              <w:spacing w:before="60" w:after="60" w:line="220" w:lineRule="atLeast"/>
              <w:rPr>
                <w:sz w:val="18"/>
              </w:rPr>
            </w:pPr>
            <w:r w:rsidRPr="00F543C1">
              <w:rPr>
                <w:sz w:val="18"/>
              </w:rPr>
              <w:t>Basis of assistance</w:t>
            </w:r>
          </w:p>
        </w:tc>
        <w:tc>
          <w:tcPr>
            <w:tcW w:w="0" w:type="pct"/>
          </w:tcPr>
          <w:p w14:paraId="7E9C9C38" w14:textId="77777777" w:rsidR="00F35E30" w:rsidRPr="00F543C1" w:rsidRDefault="00F35E30" w:rsidP="00182528">
            <w:pPr>
              <w:spacing w:before="60" w:after="60" w:line="220" w:lineRule="atLeast"/>
              <w:rPr>
                <w:sz w:val="18"/>
              </w:rPr>
            </w:pPr>
            <w:r w:rsidRPr="00F543C1">
              <w:rPr>
                <w:sz w:val="18"/>
              </w:rPr>
              <w:t>Contract with sponsoring department, implementing Cabinet decision.</w:t>
            </w:r>
          </w:p>
          <w:p w14:paraId="59221B69" w14:textId="77777777" w:rsidR="00F35E30" w:rsidRPr="00F543C1" w:rsidRDefault="00F35E30" w:rsidP="00182528">
            <w:pPr>
              <w:spacing w:before="60" w:after="60" w:line="220" w:lineRule="atLeast"/>
              <w:rPr>
                <w:sz w:val="18"/>
              </w:rPr>
            </w:pPr>
            <w:r w:rsidRPr="00F543C1">
              <w:rPr>
                <w:sz w:val="18"/>
              </w:rPr>
              <w:t>Internal policies.</w:t>
            </w:r>
          </w:p>
        </w:tc>
      </w:tr>
      <w:tr w:rsidR="00F35E30" w:rsidRPr="00F543C1" w14:paraId="52662180" w14:textId="77777777" w:rsidTr="00956083">
        <w:tc>
          <w:tcPr>
            <w:tcW w:w="0" w:type="pct"/>
          </w:tcPr>
          <w:p w14:paraId="0220E0F2" w14:textId="77777777" w:rsidR="00F35E30" w:rsidRPr="00F543C1" w:rsidRDefault="00F35E30" w:rsidP="00182528">
            <w:pPr>
              <w:spacing w:before="60" w:after="60" w:line="220" w:lineRule="atLeast"/>
              <w:rPr>
                <w:sz w:val="18"/>
              </w:rPr>
            </w:pPr>
            <w:r w:rsidRPr="00F543C1">
              <w:rPr>
                <w:sz w:val="18"/>
              </w:rPr>
              <w:t>Code of conduct</w:t>
            </w:r>
          </w:p>
        </w:tc>
        <w:tc>
          <w:tcPr>
            <w:tcW w:w="0" w:type="pct"/>
          </w:tcPr>
          <w:p w14:paraId="42625BBC" w14:textId="77777777" w:rsidR="00F35E30" w:rsidRPr="00F543C1" w:rsidRDefault="00F35E30" w:rsidP="00182528">
            <w:pPr>
              <w:spacing w:before="60" w:after="60" w:line="220" w:lineRule="atLeast"/>
              <w:rPr>
                <w:sz w:val="18"/>
              </w:rPr>
            </w:pPr>
            <w:r w:rsidRPr="00F543C1">
              <w:rPr>
                <w:sz w:val="18"/>
              </w:rPr>
              <w:t>Internal.</w:t>
            </w:r>
          </w:p>
        </w:tc>
      </w:tr>
      <w:tr w:rsidR="00F35E30" w:rsidRPr="00F543C1" w14:paraId="7AF8A040" w14:textId="77777777" w:rsidTr="00956083">
        <w:trPr>
          <w:cnfStyle w:val="000000010000" w:firstRow="0" w:lastRow="0" w:firstColumn="0" w:lastColumn="0" w:oddVBand="0" w:evenVBand="0" w:oddHBand="0" w:evenHBand="1" w:firstRowFirstColumn="0" w:firstRowLastColumn="0" w:lastRowFirstColumn="0" w:lastRowLastColumn="0"/>
        </w:trPr>
        <w:tc>
          <w:tcPr>
            <w:tcW w:w="0" w:type="pct"/>
          </w:tcPr>
          <w:p w14:paraId="3320130D" w14:textId="783A97CA" w:rsidR="00F35E30" w:rsidRPr="00F543C1" w:rsidRDefault="00F35E30" w:rsidP="00182528">
            <w:pPr>
              <w:spacing w:before="60" w:after="60" w:line="220" w:lineRule="atLeast"/>
              <w:rPr>
                <w:sz w:val="18"/>
              </w:rPr>
            </w:pPr>
            <w:r w:rsidRPr="00F543C1">
              <w:rPr>
                <w:sz w:val="18"/>
              </w:rPr>
              <w:t>Professional behaviour requirements</w:t>
            </w:r>
          </w:p>
        </w:tc>
        <w:tc>
          <w:tcPr>
            <w:tcW w:w="0" w:type="pct"/>
          </w:tcPr>
          <w:p w14:paraId="7087B49C" w14:textId="77777777" w:rsidR="00F35E30" w:rsidRPr="00F543C1" w:rsidRDefault="00F35E30" w:rsidP="00182528">
            <w:pPr>
              <w:spacing w:before="60" w:after="60" w:line="220" w:lineRule="atLeast"/>
              <w:rPr>
                <w:sz w:val="18"/>
              </w:rPr>
            </w:pPr>
            <w:r w:rsidRPr="00F543C1">
              <w:rPr>
                <w:sz w:val="18"/>
              </w:rPr>
              <w:t>Employer’s code of conduct and other policies.</w:t>
            </w:r>
          </w:p>
          <w:p w14:paraId="2128AB2D" w14:textId="77777777" w:rsidR="00F35E30" w:rsidRPr="00F543C1" w:rsidRDefault="00F35E30" w:rsidP="00182528">
            <w:pPr>
              <w:spacing w:before="60" w:after="60" w:line="220" w:lineRule="atLeast"/>
              <w:rPr>
                <w:sz w:val="18"/>
              </w:rPr>
            </w:pPr>
            <w:r w:rsidRPr="00F543C1">
              <w:rPr>
                <w:sz w:val="18"/>
              </w:rPr>
              <w:t>Employer’s internal operating procedures.</w:t>
            </w:r>
          </w:p>
          <w:p w14:paraId="303BA368" w14:textId="77777777" w:rsidR="00F35E30" w:rsidRPr="00F543C1" w:rsidRDefault="00F35E30" w:rsidP="00182528">
            <w:pPr>
              <w:spacing w:before="60" w:after="60" w:line="220" w:lineRule="atLeast"/>
              <w:rPr>
                <w:sz w:val="18"/>
              </w:rPr>
            </w:pPr>
            <w:r w:rsidRPr="00F543C1">
              <w:rPr>
                <w:sz w:val="18"/>
              </w:rPr>
              <w:t>Occupational regulation, if any.</w:t>
            </w:r>
          </w:p>
        </w:tc>
      </w:tr>
      <w:tr w:rsidR="00F35E30" w:rsidRPr="00F543C1" w14:paraId="569D3708" w14:textId="77777777" w:rsidTr="00956083">
        <w:tc>
          <w:tcPr>
            <w:tcW w:w="0" w:type="pct"/>
          </w:tcPr>
          <w:p w14:paraId="2F289E6D" w14:textId="77777777" w:rsidR="00F35E30" w:rsidRPr="00F543C1" w:rsidRDefault="00F35E30" w:rsidP="00182528">
            <w:pPr>
              <w:spacing w:before="60" w:after="60" w:line="220" w:lineRule="atLeast"/>
              <w:rPr>
                <w:sz w:val="18"/>
              </w:rPr>
            </w:pPr>
            <w:r w:rsidRPr="00F543C1">
              <w:rPr>
                <w:sz w:val="18"/>
              </w:rPr>
              <w:t>Probity</w:t>
            </w:r>
          </w:p>
        </w:tc>
        <w:tc>
          <w:tcPr>
            <w:tcW w:w="0" w:type="pct"/>
          </w:tcPr>
          <w:p w14:paraId="44529A15" w14:textId="77777777" w:rsidR="00F35E30" w:rsidRPr="00F543C1" w:rsidRDefault="00F35E30" w:rsidP="00182528">
            <w:pPr>
              <w:spacing w:before="60" w:after="60" w:line="220" w:lineRule="atLeast"/>
              <w:rPr>
                <w:sz w:val="18"/>
              </w:rPr>
            </w:pPr>
            <w:r w:rsidRPr="00F543C1">
              <w:rPr>
                <w:sz w:val="18"/>
              </w:rPr>
              <w:t>Varies. Could be: Incorporated Societies Act, Charities Act, Companies Act, criminal law.</w:t>
            </w:r>
          </w:p>
          <w:p w14:paraId="2FEDF358" w14:textId="2ADBC05D" w:rsidR="00F35E30" w:rsidRPr="00F543C1" w:rsidRDefault="00F750CE" w:rsidP="00182528">
            <w:pPr>
              <w:spacing w:before="60" w:after="60" w:line="220" w:lineRule="atLeast"/>
              <w:rPr>
                <w:sz w:val="18"/>
              </w:rPr>
            </w:pPr>
            <w:r w:rsidRPr="00F543C1">
              <w:rPr>
                <w:sz w:val="18"/>
              </w:rPr>
              <w:t>Also,</w:t>
            </w:r>
            <w:r w:rsidR="00F35E30" w:rsidRPr="00F543C1">
              <w:rPr>
                <w:sz w:val="18"/>
              </w:rPr>
              <w:t xml:space="preserve"> internal codes of practice and policies (</w:t>
            </w:r>
            <w:proofErr w:type="gramStart"/>
            <w:r w:rsidR="00F35E30" w:rsidRPr="00F543C1">
              <w:rPr>
                <w:sz w:val="18"/>
              </w:rPr>
              <w:t>e.g.</w:t>
            </w:r>
            <w:proofErr w:type="gramEnd"/>
            <w:r w:rsidR="00F35E30" w:rsidRPr="00F543C1">
              <w:rPr>
                <w:sz w:val="18"/>
              </w:rPr>
              <w:t xml:space="preserve"> delegations).</w:t>
            </w:r>
          </w:p>
        </w:tc>
      </w:tr>
      <w:tr w:rsidR="00F35E30" w:rsidRPr="00F543C1" w14:paraId="4E72C1E4" w14:textId="77777777" w:rsidTr="00956083">
        <w:trPr>
          <w:cnfStyle w:val="000000010000" w:firstRow="0" w:lastRow="0" w:firstColumn="0" w:lastColumn="0" w:oddVBand="0" w:evenVBand="0" w:oddHBand="0" w:evenHBand="1" w:firstRowFirstColumn="0" w:firstRowLastColumn="0" w:lastRowFirstColumn="0" w:lastRowLastColumn="0"/>
        </w:trPr>
        <w:tc>
          <w:tcPr>
            <w:tcW w:w="0" w:type="pct"/>
          </w:tcPr>
          <w:p w14:paraId="6855135B" w14:textId="77777777" w:rsidR="00F35E30" w:rsidRPr="00F543C1" w:rsidRDefault="00F35E30" w:rsidP="00182528">
            <w:pPr>
              <w:spacing w:before="60" w:after="60" w:line="220" w:lineRule="atLeast"/>
              <w:rPr>
                <w:sz w:val="18"/>
              </w:rPr>
            </w:pPr>
            <w:r w:rsidRPr="00F543C1">
              <w:rPr>
                <w:sz w:val="18"/>
              </w:rPr>
              <w:t>Information disclosure</w:t>
            </w:r>
          </w:p>
        </w:tc>
        <w:tc>
          <w:tcPr>
            <w:tcW w:w="0" w:type="pct"/>
          </w:tcPr>
          <w:p w14:paraId="22D48804" w14:textId="143EFE14" w:rsidR="00F35E30" w:rsidRPr="00F543C1" w:rsidRDefault="00F35E30" w:rsidP="00182528">
            <w:pPr>
              <w:spacing w:before="60" w:after="60" w:line="220" w:lineRule="atLeast"/>
              <w:rPr>
                <w:sz w:val="18"/>
              </w:rPr>
            </w:pPr>
            <w:r w:rsidRPr="00F543C1">
              <w:rPr>
                <w:sz w:val="18"/>
              </w:rPr>
              <w:t xml:space="preserve">Privacy Act (prevents disclosure of personal </w:t>
            </w:r>
            <w:r w:rsidR="008B2E9E" w:rsidRPr="00F543C1">
              <w:rPr>
                <w:sz w:val="18"/>
              </w:rPr>
              <w:t>information but</w:t>
            </w:r>
            <w:r w:rsidRPr="00F543C1">
              <w:rPr>
                <w:sz w:val="18"/>
              </w:rPr>
              <w:t xml:space="preserve"> allows individuals to access their records)</w:t>
            </w:r>
            <w:r w:rsidR="00B645D0">
              <w:rPr>
                <w:sz w:val="18"/>
              </w:rPr>
              <w:t>.</w:t>
            </w:r>
          </w:p>
        </w:tc>
      </w:tr>
      <w:tr w:rsidR="00F35E30" w:rsidRPr="00F543C1" w14:paraId="7E80E753" w14:textId="77777777" w:rsidTr="00956083">
        <w:tc>
          <w:tcPr>
            <w:tcW w:w="0" w:type="pct"/>
          </w:tcPr>
          <w:p w14:paraId="238529C3" w14:textId="77777777" w:rsidR="00F35E30" w:rsidRPr="00F543C1" w:rsidRDefault="00F35E30" w:rsidP="00182528">
            <w:pPr>
              <w:spacing w:before="60" w:after="60" w:line="220" w:lineRule="atLeast"/>
              <w:rPr>
                <w:sz w:val="18"/>
              </w:rPr>
            </w:pPr>
            <w:r w:rsidRPr="00F543C1">
              <w:rPr>
                <w:sz w:val="18"/>
              </w:rPr>
              <w:t>Value-for-money review</w:t>
            </w:r>
          </w:p>
        </w:tc>
        <w:tc>
          <w:tcPr>
            <w:tcW w:w="0" w:type="pct"/>
          </w:tcPr>
          <w:p w14:paraId="469FE0D3" w14:textId="77777777" w:rsidR="00F35E30" w:rsidRPr="00F543C1" w:rsidRDefault="00F35E30" w:rsidP="00182528">
            <w:pPr>
              <w:spacing w:before="60" w:after="60" w:line="220" w:lineRule="atLeast"/>
              <w:rPr>
                <w:sz w:val="18"/>
              </w:rPr>
            </w:pPr>
            <w:r w:rsidRPr="00F543C1">
              <w:rPr>
                <w:sz w:val="18"/>
              </w:rPr>
              <w:t>Contestable contracting (MBIE procurement requirements).</w:t>
            </w:r>
          </w:p>
        </w:tc>
      </w:tr>
      <w:tr w:rsidR="00F35E30" w:rsidRPr="00F543C1" w14:paraId="5CB3EE35" w14:textId="77777777" w:rsidTr="00956083">
        <w:trPr>
          <w:cnfStyle w:val="000000010000" w:firstRow="0" w:lastRow="0" w:firstColumn="0" w:lastColumn="0" w:oddVBand="0" w:evenVBand="0" w:oddHBand="0" w:evenHBand="1" w:firstRowFirstColumn="0" w:firstRowLastColumn="0" w:lastRowFirstColumn="0" w:lastRowLastColumn="0"/>
        </w:trPr>
        <w:tc>
          <w:tcPr>
            <w:tcW w:w="0" w:type="pct"/>
          </w:tcPr>
          <w:p w14:paraId="323751D7" w14:textId="77777777" w:rsidR="00F35E30" w:rsidRPr="00F543C1" w:rsidRDefault="00F35E30" w:rsidP="00182528">
            <w:pPr>
              <w:spacing w:before="60" w:after="60" w:line="220" w:lineRule="atLeast"/>
              <w:rPr>
                <w:sz w:val="18"/>
              </w:rPr>
            </w:pPr>
            <w:r w:rsidRPr="00F543C1">
              <w:rPr>
                <w:sz w:val="18"/>
              </w:rPr>
              <w:t>Effectiveness reviews</w:t>
            </w:r>
          </w:p>
        </w:tc>
        <w:tc>
          <w:tcPr>
            <w:tcW w:w="0" w:type="pct"/>
          </w:tcPr>
          <w:p w14:paraId="0F4B7428" w14:textId="77777777" w:rsidR="00F35E30" w:rsidRPr="00F543C1" w:rsidRDefault="00F35E30" w:rsidP="00182528">
            <w:pPr>
              <w:spacing w:before="60" w:after="60" w:line="220" w:lineRule="atLeast"/>
              <w:rPr>
                <w:sz w:val="18"/>
              </w:rPr>
            </w:pPr>
            <w:r w:rsidRPr="00F543C1">
              <w:rPr>
                <w:sz w:val="18"/>
              </w:rPr>
              <w:t>Ex-post evaluations, sometimes as a condition of funding.</w:t>
            </w:r>
          </w:p>
        </w:tc>
      </w:tr>
      <w:tr w:rsidR="00F35E30" w:rsidRPr="00F543C1" w14:paraId="49D12B22" w14:textId="77777777" w:rsidTr="00956083">
        <w:tc>
          <w:tcPr>
            <w:tcW w:w="0" w:type="pct"/>
          </w:tcPr>
          <w:p w14:paraId="7DC6529F" w14:textId="4EEFE0C7" w:rsidR="00F35E30" w:rsidRPr="00F543C1" w:rsidRDefault="00F35E30" w:rsidP="00182528">
            <w:pPr>
              <w:spacing w:before="60" w:after="60" w:line="220" w:lineRule="atLeast"/>
              <w:rPr>
                <w:sz w:val="18"/>
              </w:rPr>
            </w:pPr>
            <w:r w:rsidRPr="00F543C1">
              <w:rPr>
                <w:sz w:val="18"/>
              </w:rPr>
              <w:t>Merits review of decisions (was the decision correct</w:t>
            </w:r>
            <w:r w:rsidR="00B645D0">
              <w:rPr>
                <w:sz w:val="18"/>
              </w:rPr>
              <w:t>?</w:t>
            </w:r>
            <w:r w:rsidRPr="00F543C1">
              <w:rPr>
                <w:sz w:val="18"/>
              </w:rPr>
              <w:t>)</w:t>
            </w:r>
          </w:p>
        </w:tc>
        <w:tc>
          <w:tcPr>
            <w:tcW w:w="0" w:type="pct"/>
          </w:tcPr>
          <w:p w14:paraId="3C5CA921" w14:textId="77777777" w:rsidR="00F35E30" w:rsidRPr="00F543C1" w:rsidRDefault="00F35E30" w:rsidP="00182528">
            <w:pPr>
              <w:spacing w:before="60" w:after="60" w:line="220" w:lineRule="atLeast"/>
              <w:rPr>
                <w:sz w:val="18"/>
              </w:rPr>
            </w:pPr>
            <w:r w:rsidRPr="00F543C1">
              <w:rPr>
                <w:sz w:val="18"/>
              </w:rPr>
              <w:t>Not applicable.</w:t>
            </w:r>
          </w:p>
        </w:tc>
      </w:tr>
      <w:tr w:rsidR="00F35E30" w:rsidRPr="00F543C1" w14:paraId="697D0067" w14:textId="77777777" w:rsidTr="00956083">
        <w:trPr>
          <w:cnfStyle w:val="000000010000" w:firstRow="0" w:lastRow="0" w:firstColumn="0" w:lastColumn="0" w:oddVBand="0" w:evenVBand="0" w:oddHBand="0" w:evenHBand="1" w:firstRowFirstColumn="0" w:firstRowLastColumn="0" w:lastRowFirstColumn="0" w:lastRowLastColumn="0"/>
        </w:trPr>
        <w:tc>
          <w:tcPr>
            <w:tcW w:w="0" w:type="pct"/>
          </w:tcPr>
          <w:p w14:paraId="78709083" w14:textId="77777777" w:rsidR="00F35E30" w:rsidRPr="00F543C1" w:rsidRDefault="00F35E30" w:rsidP="00182528">
            <w:pPr>
              <w:spacing w:before="60" w:after="60" w:line="220" w:lineRule="atLeast"/>
              <w:rPr>
                <w:sz w:val="18"/>
              </w:rPr>
            </w:pPr>
            <w:r w:rsidRPr="00F543C1">
              <w:rPr>
                <w:sz w:val="18"/>
              </w:rPr>
              <w:t>Parliamentary scrutiny</w:t>
            </w:r>
          </w:p>
        </w:tc>
        <w:tc>
          <w:tcPr>
            <w:tcW w:w="0" w:type="pct"/>
          </w:tcPr>
          <w:p w14:paraId="1164F7A4" w14:textId="7FF69DBE" w:rsidR="00F35E30" w:rsidRPr="00F543C1" w:rsidRDefault="00F35E30" w:rsidP="00182528">
            <w:pPr>
              <w:spacing w:before="60" w:after="60" w:line="220" w:lineRule="atLeast"/>
              <w:rPr>
                <w:sz w:val="18"/>
              </w:rPr>
            </w:pPr>
            <w:r w:rsidRPr="00F543C1">
              <w:rPr>
                <w:sz w:val="18"/>
              </w:rPr>
              <w:t>Not applicable.</w:t>
            </w:r>
            <w:r w:rsidR="00630CC4" w:rsidRPr="00F543C1">
              <w:rPr>
                <w:sz w:val="18"/>
              </w:rPr>
              <w:t xml:space="preserve"> But see text below)</w:t>
            </w:r>
          </w:p>
        </w:tc>
      </w:tr>
      <w:tr w:rsidR="00F35E30" w:rsidRPr="00F543C1" w14:paraId="2034517D" w14:textId="77777777" w:rsidTr="00956083">
        <w:trPr>
          <w:cnfStyle w:val="010000000000" w:firstRow="0" w:lastRow="1" w:firstColumn="0" w:lastColumn="0" w:oddVBand="0" w:evenVBand="0" w:oddHBand="0" w:evenHBand="0" w:firstRowFirstColumn="0" w:firstRowLastColumn="0" w:lastRowFirstColumn="0" w:lastRowLastColumn="0"/>
        </w:trPr>
        <w:tc>
          <w:tcPr>
            <w:tcW w:w="0" w:type="pct"/>
          </w:tcPr>
          <w:p w14:paraId="7B85679A" w14:textId="77777777" w:rsidR="00F35E30" w:rsidRPr="00F543C1" w:rsidRDefault="00F35E30" w:rsidP="00182528">
            <w:pPr>
              <w:spacing w:before="60" w:after="60" w:line="220" w:lineRule="atLeast"/>
              <w:rPr>
                <w:sz w:val="18"/>
              </w:rPr>
            </w:pPr>
            <w:r w:rsidRPr="00F543C1">
              <w:rPr>
                <w:sz w:val="18"/>
              </w:rPr>
              <w:t>Judicial review of process</w:t>
            </w:r>
          </w:p>
        </w:tc>
        <w:tc>
          <w:tcPr>
            <w:tcW w:w="0" w:type="pct"/>
          </w:tcPr>
          <w:p w14:paraId="47E46645" w14:textId="77777777" w:rsidR="00F35E30" w:rsidRPr="00F543C1" w:rsidRDefault="00F35E30" w:rsidP="00182528">
            <w:pPr>
              <w:spacing w:before="60" w:after="60" w:line="220" w:lineRule="atLeast"/>
              <w:rPr>
                <w:sz w:val="18"/>
              </w:rPr>
            </w:pPr>
            <w:r w:rsidRPr="00F543C1">
              <w:rPr>
                <w:sz w:val="18"/>
              </w:rPr>
              <w:t>Generally, not applicable</w:t>
            </w:r>
          </w:p>
        </w:tc>
      </w:tr>
    </w:tbl>
    <w:p w14:paraId="7C99CDE9" w14:textId="275F3E06" w:rsidR="00F35E30" w:rsidRPr="00F543C1" w:rsidRDefault="00F35E30" w:rsidP="00320BD4">
      <w:pPr>
        <w:spacing w:before="120" w:after="360" w:line="220" w:lineRule="atLeast"/>
        <w:ind w:left="851"/>
        <w:rPr>
          <w:sz w:val="18"/>
        </w:rPr>
      </w:pPr>
      <w:r w:rsidRPr="00F543C1">
        <w:rPr>
          <w:sz w:val="18"/>
        </w:rPr>
        <w:t>Source: The authors</w:t>
      </w:r>
    </w:p>
    <w:p w14:paraId="46423B40" w14:textId="5E118580" w:rsidR="004A67F3" w:rsidRPr="00F543C1" w:rsidRDefault="00630CC4" w:rsidP="00630CC4">
      <w:pPr>
        <w:pStyle w:val="USBodyText"/>
      </w:pPr>
      <w:r w:rsidRPr="00F543C1">
        <w:t>While NGOs, by definition, are not directly su</w:t>
      </w:r>
      <w:r w:rsidR="00B153E8" w:rsidRPr="00F543C1">
        <w:t xml:space="preserve">bject to the public accountability system, they are often drawn into the system </w:t>
      </w:r>
      <w:r w:rsidR="0079624F" w:rsidRPr="00F543C1">
        <w:t xml:space="preserve">by </w:t>
      </w:r>
      <w:r w:rsidR="00B153E8" w:rsidRPr="00F543C1">
        <w:t xml:space="preserve">being contracted to government </w:t>
      </w:r>
      <w:r w:rsidR="00C2137F">
        <w:t>agencies</w:t>
      </w:r>
      <w:r w:rsidR="00C2137F" w:rsidRPr="00F543C1">
        <w:t xml:space="preserve"> </w:t>
      </w:r>
      <w:r w:rsidR="00B153E8" w:rsidRPr="00F543C1">
        <w:t xml:space="preserve">to provide services to people experiencing persistent disadvantage. </w:t>
      </w:r>
      <w:r w:rsidR="003D252E" w:rsidRPr="00F543C1">
        <w:t>In a 2019 report to</w:t>
      </w:r>
      <w:r w:rsidR="00A1265A" w:rsidRPr="00F543C1">
        <w:t xml:space="preserve"> Social Service Providers Aote</w:t>
      </w:r>
      <w:r w:rsidR="004A67F3" w:rsidRPr="00F543C1">
        <w:t>aroa, Martin Jenkins concluded that:</w:t>
      </w:r>
    </w:p>
    <w:p w14:paraId="7EC37C17" w14:textId="29E96FE0" w:rsidR="00630CC4" w:rsidRPr="00726346" w:rsidRDefault="00A1265A" w:rsidP="00AB43DB">
      <w:pPr>
        <w:pStyle w:val="Quotation"/>
      </w:pPr>
      <w:r w:rsidRPr="00F543C1">
        <w:t>At present, providers are held to the same level of accountability as government, but without the same level of resources.</w:t>
      </w:r>
      <w:r w:rsidR="008A4DAB" w:rsidRPr="00F543C1">
        <w:fldChar w:fldCharType="begin"/>
      </w:r>
      <w:r w:rsidR="009B0EC4">
        <w:instrText xml:space="preserve"> ADDIN ZOTERO_ITEM CSL_CITATION {"citationID":"8MjmDAy7","properties":{"formattedCitation":"(Martin Jenkins 2019, 88)","plainCitation":"(Martin Jenkins 2019, 88)","dontUpdate":true,"noteIndex":0},"citationItems":[{"id":18578,"uris":["http://zotero.org/groups/4801058/items/RKRW3ADG"],"itemData":{"id":18578,"type":"report","event-place":"Wellington","publisher":"Social Service Providers Aotearoa","publisher-place":"Wellington","title":"Social service system: the funding gap and how to bridge it","author":[{"family":"Martin Jenkins","given":""}],"issued":{"date-parts":[["2019"]]}},"locator":"88","label":"page"}],"schema":"https://github.com/citation-style-language/schema/raw/master/csl-citation.json"} </w:instrText>
      </w:r>
      <w:r w:rsidR="008A4DAB" w:rsidRPr="00F543C1">
        <w:fldChar w:fldCharType="separate"/>
      </w:r>
      <w:r w:rsidR="00C5556B" w:rsidRPr="00F543C1">
        <w:t xml:space="preserve"> </w:t>
      </w:r>
      <w:r w:rsidR="002A2D66" w:rsidRPr="00F543C1">
        <w:rPr>
          <w:rFonts w:cs="Calibri"/>
          <w:i w:val="0"/>
          <w:iCs/>
        </w:rPr>
        <w:t>(Martin Jenkins 2019, 88)</w:t>
      </w:r>
      <w:r w:rsidR="008A4DAB" w:rsidRPr="00F543C1">
        <w:fldChar w:fldCharType="end"/>
      </w:r>
    </w:p>
    <w:p w14:paraId="62D61371" w14:textId="6A3A9CF4" w:rsidR="00312958" w:rsidRPr="00F543C1" w:rsidRDefault="00C5556B" w:rsidP="00AB43DB">
      <w:pPr>
        <w:pStyle w:val="USBodyText"/>
      </w:pPr>
      <w:r w:rsidRPr="00F543C1">
        <w:t>Commenting on proposals to reform the commission</w:t>
      </w:r>
      <w:r w:rsidR="00820D79" w:rsidRPr="00F543C1">
        <w:t>ing</w:t>
      </w:r>
      <w:r w:rsidRPr="00F543C1">
        <w:t xml:space="preserve"> of social services from NGOs in</w:t>
      </w:r>
      <w:r w:rsidR="00EE3C54" w:rsidRPr="00F543C1">
        <w:t xml:space="preserve"> 2020, The Treasury identified </w:t>
      </w:r>
      <w:r w:rsidR="00657944" w:rsidRPr="00F543C1">
        <w:t xml:space="preserve">heavy </w:t>
      </w:r>
      <w:r w:rsidR="00312958" w:rsidRPr="00F543C1">
        <w:t xml:space="preserve">reporting requirements </w:t>
      </w:r>
      <w:r w:rsidR="00657944" w:rsidRPr="00F543C1">
        <w:t xml:space="preserve">on NGOs as an issue to be </w:t>
      </w:r>
      <w:r w:rsidR="002672E7" w:rsidRPr="00F543C1">
        <w:t xml:space="preserve">addressed </w:t>
      </w:r>
      <w:r w:rsidR="00205D01" w:rsidRPr="00F543C1">
        <w:fldChar w:fldCharType="begin"/>
      </w:r>
      <w:r w:rsidR="009B0EC4">
        <w:instrText xml:space="preserve"> ADDIN ZOTERO_ITEM CSL_CITATION {"citationID":"78cRoy2Q","properties":{"formattedCitation":"(The Treasury 2020)","plainCitation":"(The Treasury 2020)","noteIndex":0},"citationItems":[{"id":18577,"uris":["http://zotero.org/groups/4801058/items/3FWED4J2"],"itemData":{"id":18577,"type":"report","event-place":"Wellingon","language":"en","publisher":"The Treasury","publisher-place":"Wellingon","title":"The Future of Social Sector Commissioning","URL":"https://www.treasury.govt.nz/publications/oia-response/copy-aide-memoire-future-social-sector-commissioning-oia-20200402","author":[{"family":"The Treasury","given":""}],"accessed":{"date-parts":[["2023",1,23]]},"issued":{"date-parts":[["2020"]]}}}],"schema":"https://github.com/citation-style-language/schema/raw/master/csl-citation.json"} </w:instrText>
      </w:r>
      <w:r w:rsidR="00205D01" w:rsidRPr="00F543C1">
        <w:fldChar w:fldCharType="separate"/>
      </w:r>
      <w:r w:rsidR="00205D01" w:rsidRPr="00F543C1">
        <w:rPr>
          <w:rFonts w:cs="Calibri"/>
        </w:rPr>
        <w:t>(The Treasury 2020)</w:t>
      </w:r>
      <w:r w:rsidR="00205D01" w:rsidRPr="00F543C1">
        <w:fldChar w:fldCharType="end"/>
      </w:r>
      <w:r w:rsidR="00903675" w:rsidRPr="00726346">
        <w:t>.</w:t>
      </w:r>
    </w:p>
    <w:p w14:paraId="7DEDC72B" w14:textId="063B5A98" w:rsidR="00903675" w:rsidRDefault="002672E7" w:rsidP="00820D79">
      <w:pPr>
        <w:pStyle w:val="USBodyText"/>
      </w:pPr>
      <w:r w:rsidRPr="00F543C1">
        <w:t xml:space="preserve">Our view is that, despite intentions for reform, Government </w:t>
      </w:r>
      <w:r w:rsidR="00C2137F">
        <w:t>agencies</w:t>
      </w:r>
      <w:r w:rsidR="00C2137F" w:rsidRPr="00F543C1">
        <w:t xml:space="preserve"> </w:t>
      </w:r>
      <w:r w:rsidRPr="00F543C1">
        <w:t xml:space="preserve">have a strong incentive under the current accountability system to attempt to shift their accountability obligations onto </w:t>
      </w:r>
      <w:r w:rsidR="008553CB" w:rsidRPr="00F543C1">
        <w:t>contacted providers. However, because contacts are often difficult to specify and enforce, the result has been a tendency to over-burden NGOs with excessive constitutional accountability obligations.</w:t>
      </w:r>
    </w:p>
    <w:p w14:paraId="05F20DA6" w14:textId="3F3BE14F" w:rsidR="007851B8" w:rsidRDefault="007851B8" w:rsidP="007851B8">
      <w:pPr>
        <w:pStyle w:val="Heading2"/>
      </w:pPr>
      <w:bookmarkStart w:id="190" w:name="_Ref125961925"/>
      <w:bookmarkStart w:id="191" w:name="_Toc126092124"/>
      <w:bookmarkStart w:id="192" w:name="_Toc126841217"/>
      <w:r>
        <w:lastRenderedPageBreak/>
        <w:t>Accountability as learning</w:t>
      </w:r>
      <w:bookmarkEnd w:id="190"/>
      <w:bookmarkEnd w:id="191"/>
      <w:bookmarkEnd w:id="192"/>
    </w:p>
    <w:p w14:paraId="444FCFC3" w14:textId="77777777" w:rsidR="007851B8" w:rsidRPr="00F543C1" w:rsidRDefault="007851B8" w:rsidP="007851B8">
      <w:pPr>
        <w:ind w:left="851"/>
      </w:pPr>
      <w:r w:rsidRPr="00F543C1">
        <w:t>Accountability as learning is sometimes seen as a ‘positive’ purpose of accountability, focusing on improvement, while the other perspectives are seen as negative, focussing on assigning blame and extracting retribution.</w:t>
      </w:r>
    </w:p>
    <w:p w14:paraId="44E255B7" w14:textId="77D9F0C8" w:rsidR="007851B8" w:rsidRPr="00F543C1" w:rsidRDefault="007851B8" w:rsidP="007851B8">
      <w:pPr>
        <w:spacing w:before="120"/>
        <w:ind w:left="1276" w:right="425"/>
        <w:rPr>
          <w:i/>
          <w:color w:val="30353F"/>
        </w:rPr>
      </w:pPr>
      <w:r w:rsidRPr="00F543C1">
        <w:rPr>
          <w:i/>
          <w:color w:val="30353F"/>
        </w:rPr>
        <w:t xml:space="preserve">It is now fashionable to depict [accountability as continuous improvement] as the most important, in large part because control and assurance are regarded as excessively preoccupied with the negative or inhibiting functions of ‘blaming’. </w:t>
      </w:r>
      <w:r w:rsidRPr="00F543C1">
        <w:rPr>
          <w:iCs/>
          <w:color w:val="30353F"/>
        </w:rPr>
        <w:fldChar w:fldCharType="begin"/>
      </w:r>
      <w:r w:rsidR="009B0EC4">
        <w:rPr>
          <w:iCs/>
          <w:color w:val="30353F"/>
        </w:rPr>
        <w:instrText xml:space="preserve"> ADDIN ZOTERO_ITEM CSL_CITATION {"citationID":"QNV6ua2v","properties":{"formattedCitation":"(Aucoin and Heintzman 2000, 52)","plainCitation":"(Aucoin and Heintzman 2000, 52)","noteIndex":0},"citationItems":[{"id":16683,"uris":["http://zotero.org/groups/4801058/items/4ST2HGKV"],"itemData":{"id":16683,"type":"article-journal","container-title":"International review of administrative sciences","issue":"1","note":"publisher: Sage Publications London, Thousand Oaks, CA and New Delhi","page":"45–55","source":"Google Scholar","title":"The dialectics of accountability for performance in public management reform","volume":"66","author":[{"family":"Aucoin","given":"Peter"},{"family":"Heintzman","given":"Ralph"}],"issued":{"date-parts":[["2000"]]}},"locator":"52","label":"page"}],"schema":"https://github.com/citation-style-language/schema/raw/master/csl-citation.json"} </w:instrText>
      </w:r>
      <w:r w:rsidRPr="00F543C1">
        <w:rPr>
          <w:iCs/>
          <w:color w:val="30353F"/>
        </w:rPr>
        <w:fldChar w:fldCharType="separate"/>
      </w:r>
      <w:r w:rsidRPr="00F543C1">
        <w:rPr>
          <w:rFonts w:cs="Calibri"/>
          <w:iCs/>
          <w:color w:val="30353F"/>
        </w:rPr>
        <w:t>(Aucoin and Heintzman 2000, 52)</w:t>
      </w:r>
      <w:r w:rsidRPr="00F543C1">
        <w:rPr>
          <w:iCs/>
          <w:color w:val="30353F"/>
        </w:rPr>
        <w:fldChar w:fldCharType="end"/>
      </w:r>
      <w:r w:rsidRPr="00F543C1">
        <w:rPr>
          <w:i/>
          <w:color w:val="30353F"/>
        </w:rPr>
        <w:t xml:space="preserve"> </w:t>
      </w:r>
    </w:p>
    <w:p w14:paraId="39FF1A35" w14:textId="188F4C66" w:rsidR="007851B8" w:rsidRPr="00F543C1" w:rsidRDefault="007851B8" w:rsidP="007851B8">
      <w:pPr>
        <w:ind w:left="851"/>
      </w:pPr>
      <w:r w:rsidRPr="00F543C1">
        <w:t>The backward</w:t>
      </w:r>
      <w:r w:rsidR="00DB162B">
        <w:t>s</w:t>
      </w:r>
      <w:r w:rsidRPr="00F543C1">
        <w:t xml:space="preserve">-looking aspects of accountability relationships can also be used </w:t>
      </w:r>
      <w:r w:rsidR="00C41912">
        <w:t xml:space="preserve">as </w:t>
      </w:r>
      <w:r w:rsidRPr="00F543C1">
        <w:t>a positive element of learning:</w:t>
      </w:r>
    </w:p>
    <w:p w14:paraId="0A9D3D19" w14:textId="2884A1E2" w:rsidR="007851B8" w:rsidRPr="00F543C1" w:rsidRDefault="007851B8" w:rsidP="007851B8">
      <w:pPr>
        <w:spacing w:before="120"/>
        <w:ind w:left="1276" w:right="425"/>
        <w:rPr>
          <w:i/>
          <w:color w:val="30353F"/>
        </w:rPr>
      </w:pPr>
      <w:r w:rsidRPr="00F543C1">
        <w:rPr>
          <w:i/>
          <w:color w:val="30353F"/>
        </w:rPr>
        <w:t>Looking back is one of the main requirements for looking forward</w:t>
      </w:r>
      <w:r w:rsidRPr="00F543C1">
        <w:rPr>
          <w:iCs/>
          <w:color w:val="30353F"/>
        </w:rPr>
        <w:t xml:space="preserve">. </w:t>
      </w:r>
      <w:r w:rsidRPr="00F543C1">
        <w:rPr>
          <w:iCs/>
          <w:color w:val="30353F"/>
        </w:rPr>
        <w:fldChar w:fldCharType="begin"/>
      </w:r>
      <w:r w:rsidR="009B0EC4">
        <w:rPr>
          <w:iCs/>
          <w:color w:val="30353F"/>
        </w:rPr>
        <w:instrText xml:space="preserve"> ADDIN ZOTERO_ITEM CSL_CITATION {"citationID":"4DUALlqv","properties":{"formattedCitation":"(Boston, Bagnall, and Barry 2019, 46)","plainCitation":"(Boston, Bagnall, and Barry 2019, 46)","noteIndex":0},"citationItems":[{"id":14046,"uris":["http://zotero.org/groups/4623831/items/ZIE9YQFQ"],"itemData":{"id":14046,"type":"book","event-place":"Wellington","publisher":"Institute for Governance and Policy Studies","publisher-place":"Wellington","title":"Foresight, insight and oversight: Enhancing long-term governance through better parliamentary scrutiny","author":[{"family":"Boston","given":"Jonathan"},{"family":"Bagnall","given":"David"},{"family":"Barry","given":"Anna"}],"issued":{"date-parts":[["2019"]]}},"locator":"46","label":"page"}],"schema":"https://github.com/citation-style-language/schema/raw/master/csl-citation.json"} </w:instrText>
      </w:r>
      <w:r w:rsidRPr="00F543C1">
        <w:rPr>
          <w:iCs/>
          <w:color w:val="30353F"/>
        </w:rPr>
        <w:fldChar w:fldCharType="separate"/>
      </w:r>
      <w:r w:rsidRPr="00F543C1">
        <w:rPr>
          <w:rFonts w:cs="Calibri"/>
          <w:iCs/>
          <w:color w:val="30353F"/>
        </w:rPr>
        <w:t>(Boston, Bagnall, and Barry 2019, 46)</w:t>
      </w:r>
      <w:r w:rsidRPr="00F543C1">
        <w:rPr>
          <w:iCs/>
          <w:color w:val="30353F"/>
        </w:rPr>
        <w:fldChar w:fldCharType="end"/>
      </w:r>
      <w:r w:rsidRPr="00F543C1">
        <w:rPr>
          <w:i/>
          <w:color w:val="30353F"/>
        </w:rPr>
        <w:t xml:space="preserve">.  </w:t>
      </w:r>
    </w:p>
    <w:p w14:paraId="4D3D9364" w14:textId="77777777" w:rsidR="007851B8" w:rsidRPr="00F543C1" w:rsidRDefault="007851B8" w:rsidP="007851B8">
      <w:pPr>
        <w:ind w:left="851"/>
      </w:pPr>
      <w:r w:rsidRPr="00F543C1">
        <w:t>In a recent discussion paper on accountability in modern government, Benoit Guerin and his colleagues from the UK Institute for Government said:</w:t>
      </w:r>
    </w:p>
    <w:p w14:paraId="4E4C3CB8" w14:textId="10900A85" w:rsidR="007851B8" w:rsidRPr="00F543C1" w:rsidRDefault="007851B8" w:rsidP="007851B8">
      <w:pPr>
        <w:spacing w:before="120"/>
        <w:ind w:left="1276" w:right="425"/>
        <w:rPr>
          <w:iCs/>
          <w:color w:val="30353F"/>
        </w:rPr>
      </w:pPr>
      <w:r w:rsidRPr="00F543C1">
        <w:rPr>
          <w:i/>
          <w:color w:val="30353F"/>
        </w:rPr>
        <w:t>In government, accountability inevitably involves the informal and subjective judgements of politics. This political element creates a particular tendency to overemphasise blame. While accountability certainly involves apportioning blame when something goes wrong, it should also foster an environment that leads to improvement. This is what the public cares most about – preventing failures recurring, rather than simple retribution</w:t>
      </w:r>
      <w:r w:rsidRPr="00F543C1">
        <w:rPr>
          <w:iCs/>
          <w:color w:val="30353F"/>
        </w:rPr>
        <w:t xml:space="preserve">. </w:t>
      </w:r>
      <w:r w:rsidRPr="00F543C1">
        <w:rPr>
          <w:iCs/>
          <w:color w:val="30353F"/>
        </w:rPr>
        <w:fldChar w:fldCharType="begin"/>
      </w:r>
      <w:r w:rsidR="009B0EC4">
        <w:rPr>
          <w:iCs/>
          <w:color w:val="30353F"/>
        </w:rPr>
        <w:instrText xml:space="preserve"> ADDIN ZOTERO_ITEM CSL_CITATION {"citationID":"47dHtuZX","properties":{"formattedCitation":"(Guerin, McCrae, and Shepheard 2018, 6)","plainCitation":"(Guerin, McCrae, and Shepheard 2018, 6)","noteIndex":0},"citationItems":[{"id":18469,"uris":["http://zotero.org/groups/4801058/items/NT572VRT"],"itemData":{"id":18469,"type":"report","event-place":"London","genre":"Institute for Government Discussion Paper","number":"23","publisher":"Institute for Government","publisher-place":"London","title":"Accountability in modern government: what are the issues.","author":[{"family":"Guerin","given":"Benoit"},{"family":"McCrae","given":"Julian"},{"family":"Shepheard","given":"Marcus"}],"issued":{"date-parts":[["2018"]]}},"locator":"6","label":"page"}],"schema":"https://github.com/citation-style-language/schema/raw/master/csl-citation.json"} </w:instrText>
      </w:r>
      <w:r w:rsidRPr="00F543C1">
        <w:rPr>
          <w:iCs/>
          <w:color w:val="30353F"/>
        </w:rPr>
        <w:fldChar w:fldCharType="separate"/>
      </w:r>
      <w:r w:rsidRPr="00F543C1">
        <w:rPr>
          <w:rFonts w:cs="Calibri"/>
          <w:iCs/>
          <w:color w:val="30353F"/>
        </w:rPr>
        <w:t>(Guerin, McCrae, and Shepheard 2018, 6)</w:t>
      </w:r>
      <w:r w:rsidRPr="00F543C1">
        <w:rPr>
          <w:iCs/>
          <w:color w:val="30353F"/>
        </w:rPr>
        <w:fldChar w:fldCharType="end"/>
      </w:r>
    </w:p>
    <w:p w14:paraId="5DC22D11" w14:textId="77777777" w:rsidR="007851B8" w:rsidRPr="00F543C1" w:rsidRDefault="007851B8" w:rsidP="007851B8">
      <w:pPr>
        <w:ind w:left="851"/>
      </w:pPr>
      <w:r w:rsidRPr="00F543C1">
        <w:t xml:space="preserve">In discussing the relative roles of sanctions, rewards and learning in improving public services, Aries </w:t>
      </w:r>
      <w:proofErr w:type="spellStart"/>
      <w:r w:rsidRPr="00F543C1">
        <w:t>Arugay</w:t>
      </w:r>
      <w:proofErr w:type="spellEnd"/>
      <w:r w:rsidRPr="00F543C1">
        <w:t xml:space="preserve"> noted:</w:t>
      </w:r>
    </w:p>
    <w:p w14:paraId="7D47D74A" w14:textId="145850F0" w:rsidR="007851B8" w:rsidRPr="00F543C1" w:rsidRDefault="007851B8" w:rsidP="007851B8">
      <w:pPr>
        <w:spacing w:before="120"/>
        <w:ind w:left="1276" w:right="425"/>
        <w:rPr>
          <w:i/>
          <w:color w:val="30353F"/>
        </w:rPr>
      </w:pPr>
      <w:r w:rsidRPr="00F543C1">
        <w:rPr>
          <w:i/>
          <w:color w:val="30353F"/>
        </w:rPr>
        <w:t xml:space="preserve">To recap, learning is a relatively more novel mechanism that views accountability as a series of engagements between actors that is defined less by adversarial relations and more by developing mutually beneficial cooperation in service delivery. </w:t>
      </w:r>
      <w:r w:rsidRPr="00F543C1">
        <w:rPr>
          <w:iCs/>
          <w:color w:val="30353F"/>
        </w:rPr>
        <w:fldChar w:fldCharType="begin"/>
      </w:r>
      <w:r w:rsidR="009B0EC4">
        <w:rPr>
          <w:iCs/>
          <w:color w:val="30353F"/>
        </w:rPr>
        <w:instrText xml:space="preserve"> ADDIN ZOTERO_ITEM CSL_CITATION {"citationID":"dfoYhrlJ","properties":{"formattedCitation":"(Arugay 2016, 13)","plainCitation":"(Arugay 2016, 13)","noteIndex":0},"citationItems":[{"id":18470,"uris":["http://zotero.org/groups/4801058/items/5SX7WPBV"],"itemData":{"id":18470,"type":"report","event-place":"Stockholm","genre":"International IDEA Discussion Paper","number":"No. 16/2016","publisher":"International Institute for Democracy and Electoral Assistance","publisher-place":"Stockholm","title":"Sanctions, Rewards and Learning: Enforcing democratic accountability in the delivery of health, education, and water, sanitation and hygiene","URL":"https://www.idea.int/publications/catalogue/sanctions-rewards-and-learning-enforcing-democratic-accountability-delivery","author":[{"family":"Arugay","given":"Aries"}],"accessed":{"date-parts":[["2023",1,16]]},"issued":{"date-parts":[["2016"]]}},"locator":"13","label":"page"}],"schema":"https://github.com/citation-style-language/schema/raw/master/csl-citation.json"} </w:instrText>
      </w:r>
      <w:r w:rsidRPr="00F543C1">
        <w:rPr>
          <w:iCs/>
          <w:color w:val="30353F"/>
        </w:rPr>
        <w:fldChar w:fldCharType="separate"/>
      </w:r>
      <w:r w:rsidRPr="00F543C1">
        <w:rPr>
          <w:rFonts w:cs="Calibri"/>
          <w:iCs/>
          <w:color w:val="30353F"/>
        </w:rPr>
        <w:t>(Arugay 2016, 13)</w:t>
      </w:r>
      <w:r w:rsidRPr="00F543C1">
        <w:rPr>
          <w:iCs/>
          <w:color w:val="30353F"/>
        </w:rPr>
        <w:fldChar w:fldCharType="end"/>
      </w:r>
    </w:p>
    <w:p w14:paraId="481B2439" w14:textId="77777777" w:rsidR="007851B8" w:rsidRPr="00F543C1" w:rsidRDefault="007851B8" w:rsidP="007851B8">
      <w:pPr>
        <w:ind w:left="851"/>
      </w:pPr>
      <w:r w:rsidRPr="00F543C1">
        <w:t>Speaking in the context of criminal appeals, the Chief Justice of New Zealand recently said:</w:t>
      </w:r>
    </w:p>
    <w:p w14:paraId="54497FBD" w14:textId="5C45847E" w:rsidR="007851B8" w:rsidRPr="00F543C1" w:rsidRDefault="007851B8" w:rsidP="007851B8">
      <w:pPr>
        <w:spacing w:before="120"/>
        <w:ind w:left="1276" w:right="425"/>
        <w:rPr>
          <w:iCs/>
          <w:color w:val="30353F"/>
        </w:rPr>
      </w:pPr>
      <w:r w:rsidRPr="00F543C1">
        <w:rPr>
          <w:i/>
          <w:color w:val="30353F"/>
        </w:rPr>
        <w:t xml:space="preserve">There is in addition a systemic interest in understanding how miscarriages of justice came to pass. To maintain its legitimacy a system must learn from previous miscarriages of justice in order to avoid them occurring in the future. </w:t>
      </w:r>
      <w:r w:rsidRPr="00F543C1">
        <w:rPr>
          <w:iCs/>
          <w:color w:val="30353F"/>
        </w:rPr>
        <w:fldChar w:fldCharType="begin"/>
      </w:r>
      <w:r w:rsidR="009B0EC4">
        <w:rPr>
          <w:iCs/>
          <w:color w:val="30353F"/>
        </w:rPr>
        <w:instrText xml:space="preserve"> ADDIN ZOTERO_ITEM CSL_CITATION {"citationID":"oqG1HsLF","properties":{"formattedCitation":"(Winkleman 2022, para. [195])","plainCitation":"(Winkleman 2022, para. [195])","noteIndex":0},"citationItems":[{"id":16622,"uris":["http://zotero.org/groups/4801058/items/PHBE4MRF"],"itemData":{"id":16622,"type":"legal_case","authority":"Supreme Court of New Zealand","number":"[2022] NZSC 114","title":"Ellis v. R","author":[{"family":"Winkleman","given":"Claudia"}],"issued":{"date-parts":[["2022",10,7]]}},"locator":"[195]","label":"paragraph"}],"schema":"https://github.com/citation-style-language/schema/raw/master/csl-citation.json"} </w:instrText>
      </w:r>
      <w:r w:rsidRPr="00F543C1">
        <w:rPr>
          <w:iCs/>
          <w:color w:val="30353F"/>
        </w:rPr>
        <w:fldChar w:fldCharType="separate"/>
      </w:r>
      <w:r w:rsidRPr="00F543C1">
        <w:rPr>
          <w:rFonts w:cs="Calibri"/>
          <w:iCs/>
          <w:color w:val="30353F"/>
        </w:rPr>
        <w:t>(Winkleman 2022, para. [195])</w:t>
      </w:r>
      <w:r w:rsidRPr="00F543C1">
        <w:rPr>
          <w:iCs/>
          <w:color w:val="30353F"/>
        </w:rPr>
        <w:fldChar w:fldCharType="end"/>
      </w:r>
    </w:p>
    <w:p w14:paraId="22B6581E" w14:textId="77777777" w:rsidR="007851B8" w:rsidRPr="00F543C1" w:rsidRDefault="007851B8" w:rsidP="007851B8">
      <w:pPr>
        <w:ind w:left="851"/>
      </w:pPr>
      <w:r w:rsidRPr="00F543C1">
        <w:t>This statement is of general application. Legitimate systems are ones that people trust and part of what builds trust is a willingness to learn from experience. This does not mean that reform is inevitable: experience may show that a system is working as intended and should thus continue unchanged. The point is that there needs to be evidence and active consideration behind such a decision, rather than inertia and disinterest.</w:t>
      </w:r>
    </w:p>
    <w:p w14:paraId="485F444D" w14:textId="27D43DD7" w:rsidR="007851B8" w:rsidRPr="00F543C1" w:rsidRDefault="007851B8" w:rsidP="007851B8">
      <w:pPr>
        <w:ind w:left="851"/>
      </w:pPr>
      <w:r w:rsidRPr="00F543C1">
        <w:t xml:space="preserve">One </w:t>
      </w:r>
      <w:r w:rsidR="00041E30" w:rsidRPr="00F543C1">
        <w:t>example</w:t>
      </w:r>
      <w:r w:rsidRPr="00F543C1">
        <w:t xml:space="preserve"> is the approach to learning from adverse events in the health system. Even though such events can cause real harm, even death, to patients, the public health system in New Zealand, as in other countries, uses these events as opportunities to </w:t>
      </w:r>
      <w:r w:rsidRPr="00F543C1">
        <w:lastRenderedPageBreak/>
        <w:t xml:space="preserve">learn what went wrong and how they might be prevented. The current New Zealand system is described in </w:t>
      </w:r>
      <w:r w:rsidR="007F738A">
        <w:fldChar w:fldCharType="begin"/>
      </w:r>
      <w:r w:rsidR="007F738A">
        <w:instrText xml:space="preserve"> REF Box6 \r \h </w:instrText>
      </w:r>
      <w:r w:rsidR="007F738A">
        <w:fldChar w:fldCharType="separate"/>
      </w:r>
      <w:r w:rsidR="00E06351">
        <w:t>Box 5</w:t>
      </w:r>
      <w:r w:rsidR="007F738A">
        <w:fldChar w:fldCharType="end"/>
      </w:r>
      <w:r w:rsidR="009C72FC">
        <w:t>.</w:t>
      </w:r>
      <w:r w:rsidR="000F047D">
        <w:t xml:space="preserve"> </w:t>
      </w:r>
    </w:p>
    <w:p w14:paraId="09CC09CE" w14:textId="77777777" w:rsidR="007851B8" w:rsidRPr="00F543C1" w:rsidRDefault="007851B8" w:rsidP="007851B8">
      <w:pPr>
        <w:ind w:left="851"/>
      </w:pPr>
    </w:p>
    <w:tbl>
      <w:tblPr>
        <w:tblStyle w:val="TableDefault"/>
        <w:tblW w:w="8080" w:type="dxa"/>
        <w:tblBorders>
          <w:top w:val="none" w:sz="0" w:space="0" w:color="auto"/>
          <w:bottom w:val="none" w:sz="0" w:space="0" w:color="auto"/>
          <w:insideH w:val="none" w:sz="0" w:space="0" w:color="auto"/>
        </w:tblBorders>
        <w:shd w:val="clear" w:color="auto" w:fill="C0EFFF" w:themeFill="accent1" w:themeFillTint="33"/>
        <w:tblLook w:val="04A0" w:firstRow="1" w:lastRow="0" w:firstColumn="1" w:lastColumn="0" w:noHBand="0" w:noVBand="1"/>
      </w:tblPr>
      <w:tblGrid>
        <w:gridCol w:w="8080"/>
      </w:tblGrid>
      <w:tr w:rsidR="007851B8" w:rsidRPr="00F543C1" w14:paraId="6FE8E708" w14:textId="77777777" w:rsidTr="00314C5A">
        <w:trPr>
          <w:cnfStyle w:val="100000000000" w:firstRow="1" w:lastRow="0" w:firstColumn="0" w:lastColumn="0" w:oddVBand="0" w:evenVBand="0" w:oddHBand="0" w:evenHBand="0" w:firstRowFirstColumn="0" w:firstRowLastColumn="0" w:lastRowFirstColumn="0" w:lastRowLastColumn="0"/>
        </w:trPr>
        <w:tc>
          <w:tcPr>
            <w:tcW w:w="8080" w:type="dxa"/>
            <w:shd w:val="clear" w:color="auto" w:fill="C0EFFF" w:themeFill="accent1" w:themeFillTint="33"/>
          </w:tcPr>
          <w:p w14:paraId="73A0D06A" w14:textId="1A80DB77" w:rsidR="007851B8" w:rsidRPr="00111A08" w:rsidRDefault="007851B8" w:rsidP="00C63FD8">
            <w:pPr>
              <w:pStyle w:val="Box2"/>
            </w:pPr>
            <w:bookmarkStart w:id="193" w:name="_Toc126841256"/>
            <w:bookmarkStart w:id="194" w:name="Box6"/>
            <w:r w:rsidRPr="00111A08">
              <w:t xml:space="preserve">Adverse Events Reporting in the New Zealand public health </w:t>
            </w:r>
            <w:proofErr w:type="gramStart"/>
            <w:r w:rsidRPr="00111A08">
              <w:t>sector</w:t>
            </w:r>
            <w:bookmarkEnd w:id="193"/>
            <w:proofErr w:type="gramEnd"/>
          </w:p>
          <w:bookmarkEnd w:id="194"/>
          <w:p w14:paraId="7B6875A1" w14:textId="77777777" w:rsidR="007851B8" w:rsidRPr="00852078" w:rsidRDefault="007851B8" w:rsidP="00852078">
            <w:pPr>
              <w:spacing w:line="240" w:lineRule="auto"/>
              <w:ind w:left="600"/>
              <w:rPr>
                <w:sz w:val="18"/>
                <w:szCs w:val="18"/>
              </w:rPr>
            </w:pPr>
            <w:r w:rsidRPr="00852078">
              <w:rPr>
                <w:sz w:val="18"/>
                <w:szCs w:val="18"/>
              </w:rPr>
              <w:t>The New Zealand health system has developed protocols for learning from ‘adverse events’ (sometimes known as sentinel events) which cause harm to patients.</w:t>
            </w:r>
          </w:p>
          <w:p w14:paraId="71759CE4" w14:textId="77777777" w:rsidR="007851B8" w:rsidRPr="00852078" w:rsidRDefault="007851B8" w:rsidP="00852078">
            <w:pPr>
              <w:spacing w:line="240" w:lineRule="auto"/>
              <w:ind w:left="600"/>
              <w:rPr>
                <w:sz w:val="18"/>
                <w:szCs w:val="18"/>
              </w:rPr>
            </w:pPr>
            <w:r w:rsidRPr="00852078">
              <w:rPr>
                <w:sz w:val="18"/>
                <w:szCs w:val="18"/>
              </w:rPr>
              <w:t>These protocols include:</w:t>
            </w:r>
          </w:p>
          <w:p w14:paraId="4810DD53" w14:textId="1F1F7AE1" w:rsidR="007851B8" w:rsidRPr="00852078" w:rsidRDefault="007851B8" w:rsidP="00852078">
            <w:pPr>
              <w:numPr>
                <w:ilvl w:val="0"/>
                <w:numId w:val="12"/>
              </w:numPr>
              <w:spacing w:line="240" w:lineRule="auto"/>
              <w:ind w:left="1167"/>
              <w:contextualSpacing/>
              <w:rPr>
                <w:sz w:val="18"/>
                <w:szCs w:val="18"/>
              </w:rPr>
            </w:pPr>
            <w:r w:rsidRPr="00852078">
              <w:rPr>
                <w:sz w:val="18"/>
                <w:szCs w:val="18"/>
              </w:rPr>
              <w:t xml:space="preserve">A National Adverse Events Reporting Policy </w:t>
            </w:r>
            <w:r w:rsidRPr="00852078">
              <w:rPr>
                <w:sz w:val="18"/>
                <w:szCs w:val="18"/>
              </w:rPr>
              <w:fldChar w:fldCharType="begin"/>
            </w:r>
            <w:r w:rsidR="009B0EC4">
              <w:rPr>
                <w:sz w:val="18"/>
                <w:szCs w:val="18"/>
              </w:rPr>
              <w:instrText xml:space="preserve"> ADDIN ZOTERO_ITEM CSL_CITATION {"citationID":"CzDu8GdK","properties":{"formattedCitation":"(Health Quality &amp; Safety Commission 2021b)","plainCitation":"(Health Quality &amp; Safety Commission 2021b)","noteIndex":0},"citationItems":[{"id":16799,"uris":["http://zotero.org/groups/4801058/items/CHRNDL74"],"itemData":{"id":16799,"type":"webpage","container-title":"Health Quality &amp; Safety Commission","language":"en","title":"National Adverse Events Reporting Policy","URL":"https://www.hqsc.govt.nz/our-work/system-safety/adverse-events/national-adverse-events-reporting-policy/","author":[{"family":"Health Quality &amp; Safety Commission","given":""}],"accessed":{"date-parts":[["2022",10,25]]},"issued":{"date-parts":[["2021"]]}}}],"schema":"https://github.com/citation-style-language/schema/raw/master/csl-citation.json"} </w:instrText>
            </w:r>
            <w:r w:rsidRPr="00852078">
              <w:rPr>
                <w:sz w:val="18"/>
                <w:szCs w:val="18"/>
              </w:rPr>
              <w:fldChar w:fldCharType="separate"/>
            </w:r>
            <w:r w:rsidRPr="00852078">
              <w:rPr>
                <w:sz w:val="18"/>
                <w:szCs w:val="18"/>
              </w:rPr>
              <w:t>(Health Quality &amp; Safety Commission 2021b)</w:t>
            </w:r>
            <w:r w:rsidRPr="00852078">
              <w:rPr>
                <w:sz w:val="18"/>
                <w:szCs w:val="18"/>
              </w:rPr>
              <w:fldChar w:fldCharType="end"/>
            </w:r>
          </w:p>
          <w:p w14:paraId="4A0794CA" w14:textId="7BEB7FB6" w:rsidR="007851B8" w:rsidRPr="00852078" w:rsidRDefault="007851B8" w:rsidP="00852078">
            <w:pPr>
              <w:numPr>
                <w:ilvl w:val="0"/>
                <w:numId w:val="12"/>
              </w:numPr>
              <w:spacing w:line="240" w:lineRule="auto"/>
              <w:ind w:left="1167"/>
              <w:contextualSpacing/>
              <w:rPr>
                <w:sz w:val="18"/>
                <w:szCs w:val="18"/>
              </w:rPr>
            </w:pPr>
            <w:r w:rsidRPr="00852078">
              <w:rPr>
                <w:sz w:val="18"/>
                <w:szCs w:val="18"/>
              </w:rPr>
              <w:t xml:space="preserve">Annual reporting of events on a uniform basis by health providers, e.g., </w:t>
            </w:r>
            <w:r w:rsidRPr="00852078">
              <w:rPr>
                <w:sz w:val="18"/>
                <w:szCs w:val="18"/>
              </w:rPr>
              <w:fldChar w:fldCharType="begin"/>
            </w:r>
            <w:r w:rsidR="009B0EC4">
              <w:rPr>
                <w:sz w:val="18"/>
                <w:szCs w:val="18"/>
              </w:rPr>
              <w:instrText xml:space="preserve"> ADDIN ZOTERO_ITEM CSL_CITATION {"citationID":"sji4pA8i","properties":{"formattedCitation":"(Health Quality &amp; Safety Commission 2021a)","plainCitation":"(Health Quality &amp; Safety Commission 2021a)","noteIndex":0},"citationItems":[{"id":16801,"uris":["http://zotero.org/groups/4801058/items/Z57WRJ8G"],"itemData":{"id":16801,"type":"report","event-place":"Wellington","publisher":"Health Quality &amp; Safety Commission","publisher-place":"Wellington","title":"Learning from adverse events: Adverse events reported to the Health Quality &amp; Safety Commission 1 July 2017 to 30 June 2018.","author":[{"family":"Health Quality &amp; Safety Commission","given":""}],"issued":{"date-parts":[["2021"]]}}}],"schema":"https://github.com/citation-style-language/schema/raw/master/csl-citation.json"} </w:instrText>
            </w:r>
            <w:r w:rsidRPr="00852078">
              <w:rPr>
                <w:sz w:val="18"/>
                <w:szCs w:val="18"/>
              </w:rPr>
              <w:fldChar w:fldCharType="separate"/>
            </w:r>
            <w:r w:rsidRPr="00852078">
              <w:rPr>
                <w:rFonts w:cs="Calibri"/>
                <w:sz w:val="18"/>
                <w:szCs w:val="18"/>
              </w:rPr>
              <w:t>(Health Quality &amp; Safety Commission 2021a)</w:t>
            </w:r>
            <w:r w:rsidRPr="00852078">
              <w:rPr>
                <w:sz w:val="18"/>
                <w:szCs w:val="18"/>
              </w:rPr>
              <w:fldChar w:fldCharType="end"/>
            </w:r>
          </w:p>
          <w:p w14:paraId="1FE3E8D8" w14:textId="77777777" w:rsidR="007851B8" w:rsidRPr="00852078" w:rsidRDefault="007851B8" w:rsidP="00852078">
            <w:pPr>
              <w:spacing w:line="240" w:lineRule="auto"/>
              <w:ind w:left="600"/>
              <w:rPr>
                <w:sz w:val="18"/>
                <w:szCs w:val="18"/>
              </w:rPr>
            </w:pPr>
            <w:r w:rsidRPr="00852078">
              <w:rPr>
                <w:sz w:val="18"/>
                <w:szCs w:val="18"/>
              </w:rPr>
              <w:t>The Policy is based on the following principles:</w:t>
            </w:r>
          </w:p>
          <w:p w14:paraId="056869AF" w14:textId="77777777" w:rsidR="007851B8" w:rsidRPr="00852078" w:rsidRDefault="007851B8" w:rsidP="00852078">
            <w:pPr>
              <w:numPr>
                <w:ilvl w:val="0"/>
                <w:numId w:val="11"/>
              </w:numPr>
              <w:spacing w:line="240" w:lineRule="auto"/>
              <w:contextualSpacing/>
              <w:rPr>
                <w:sz w:val="18"/>
                <w:szCs w:val="18"/>
              </w:rPr>
            </w:pPr>
            <w:r w:rsidRPr="00852078">
              <w:rPr>
                <w:b/>
                <w:bCs/>
                <w:sz w:val="18"/>
                <w:szCs w:val="18"/>
              </w:rPr>
              <w:t>Open communication</w:t>
            </w:r>
            <w:r w:rsidRPr="00852078">
              <w:rPr>
                <w:sz w:val="18"/>
                <w:szCs w:val="18"/>
              </w:rPr>
              <w:t xml:space="preserve">. Consumers and their whānau are entitled to truthful and open communication at all times following an adverse </w:t>
            </w:r>
            <w:proofErr w:type="gramStart"/>
            <w:r w:rsidRPr="00852078">
              <w:rPr>
                <w:sz w:val="18"/>
                <w:szCs w:val="18"/>
              </w:rPr>
              <w:t>event</w:t>
            </w:r>
            <w:proofErr w:type="gramEnd"/>
          </w:p>
          <w:p w14:paraId="11AB0F6E" w14:textId="77777777" w:rsidR="007851B8" w:rsidRPr="00852078" w:rsidRDefault="007851B8" w:rsidP="00852078">
            <w:pPr>
              <w:numPr>
                <w:ilvl w:val="0"/>
                <w:numId w:val="11"/>
              </w:numPr>
              <w:spacing w:line="240" w:lineRule="auto"/>
              <w:contextualSpacing/>
              <w:rPr>
                <w:sz w:val="18"/>
                <w:szCs w:val="18"/>
              </w:rPr>
            </w:pPr>
            <w:r w:rsidRPr="00852078">
              <w:rPr>
                <w:b/>
                <w:bCs/>
                <w:sz w:val="18"/>
                <w:szCs w:val="18"/>
              </w:rPr>
              <w:t>Consumer participation</w:t>
            </w:r>
            <w:r w:rsidRPr="00852078">
              <w:rPr>
                <w:sz w:val="18"/>
                <w:szCs w:val="18"/>
              </w:rPr>
              <w:t xml:space="preserve">. Adverse events need to be considered within the context of the whole consumer and whānau experience of </w:t>
            </w:r>
            <w:proofErr w:type="gramStart"/>
            <w:r w:rsidRPr="00852078">
              <w:rPr>
                <w:sz w:val="18"/>
                <w:szCs w:val="18"/>
              </w:rPr>
              <w:t>care</w:t>
            </w:r>
            <w:proofErr w:type="gramEnd"/>
          </w:p>
          <w:p w14:paraId="6A7BB2EB" w14:textId="77777777" w:rsidR="007851B8" w:rsidRPr="00852078" w:rsidRDefault="007851B8" w:rsidP="00852078">
            <w:pPr>
              <w:numPr>
                <w:ilvl w:val="0"/>
                <w:numId w:val="11"/>
              </w:numPr>
              <w:spacing w:line="240" w:lineRule="auto"/>
              <w:contextualSpacing/>
              <w:rPr>
                <w:sz w:val="18"/>
                <w:szCs w:val="18"/>
              </w:rPr>
            </w:pPr>
            <w:r w:rsidRPr="00852078">
              <w:rPr>
                <w:b/>
                <w:bCs/>
                <w:sz w:val="18"/>
                <w:szCs w:val="18"/>
              </w:rPr>
              <w:t>Culturally appropriate review practice</w:t>
            </w:r>
            <w:r w:rsidRPr="00852078">
              <w:rPr>
                <w:sz w:val="18"/>
                <w:szCs w:val="18"/>
              </w:rPr>
              <w:t xml:space="preserve">. The cultural viewpoint and practices of a consumer and their whānau should be considered in the open communication, reporting, review and learning </w:t>
            </w:r>
            <w:proofErr w:type="gramStart"/>
            <w:r w:rsidRPr="00852078">
              <w:rPr>
                <w:sz w:val="18"/>
                <w:szCs w:val="18"/>
              </w:rPr>
              <w:t>process</w:t>
            </w:r>
            <w:proofErr w:type="gramEnd"/>
          </w:p>
          <w:p w14:paraId="268BD7E9" w14:textId="77777777" w:rsidR="007851B8" w:rsidRPr="00852078" w:rsidRDefault="007851B8" w:rsidP="00852078">
            <w:pPr>
              <w:numPr>
                <w:ilvl w:val="0"/>
                <w:numId w:val="11"/>
              </w:numPr>
              <w:spacing w:line="240" w:lineRule="auto"/>
              <w:contextualSpacing/>
              <w:rPr>
                <w:sz w:val="18"/>
                <w:szCs w:val="18"/>
              </w:rPr>
            </w:pPr>
            <w:r w:rsidRPr="00852078">
              <w:rPr>
                <w:b/>
                <w:bCs/>
                <w:sz w:val="18"/>
                <w:szCs w:val="18"/>
              </w:rPr>
              <w:t>System changes</w:t>
            </w:r>
            <w:r w:rsidRPr="00852078">
              <w:rPr>
                <w:sz w:val="18"/>
                <w:szCs w:val="18"/>
              </w:rPr>
              <w:t xml:space="preserve">. Reporting is only of value if it is accompanied by meaningful analysis that leads to system changes designed to prevent recurrence of adverse events and near </w:t>
            </w:r>
            <w:proofErr w:type="gramStart"/>
            <w:r w:rsidRPr="00852078">
              <w:rPr>
                <w:sz w:val="18"/>
                <w:szCs w:val="18"/>
              </w:rPr>
              <w:t>misses</w:t>
            </w:r>
            <w:proofErr w:type="gramEnd"/>
          </w:p>
          <w:p w14:paraId="5DE6C6C1" w14:textId="77777777" w:rsidR="007851B8" w:rsidRPr="00852078" w:rsidRDefault="007851B8" w:rsidP="00852078">
            <w:pPr>
              <w:numPr>
                <w:ilvl w:val="0"/>
                <w:numId w:val="11"/>
              </w:numPr>
              <w:spacing w:line="240" w:lineRule="auto"/>
              <w:contextualSpacing/>
              <w:rPr>
                <w:sz w:val="18"/>
                <w:szCs w:val="18"/>
              </w:rPr>
            </w:pPr>
            <w:r w:rsidRPr="00852078">
              <w:rPr>
                <w:b/>
                <w:bCs/>
                <w:sz w:val="18"/>
                <w:szCs w:val="18"/>
              </w:rPr>
              <w:t>Accountability</w:t>
            </w:r>
            <w:r w:rsidRPr="00852078">
              <w:rPr>
                <w:sz w:val="18"/>
                <w:szCs w:val="18"/>
              </w:rPr>
              <w:t xml:space="preserve"> is provided by assuring consumers, whānau and the wider community that when adverse events and near misses occur, action is taken at both the local and the national </w:t>
            </w:r>
            <w:proofErr w:type="gramStart"/>
            <w:r w:rsidRPr="00852078">
              <w:rPr>
                <w:sz w:val="18"/>
                <w:szCs w:val="18"/>
              </w:rPr>
              <w:t>level</w:t>
            </w:r>
            <w:proofErr w:type="gramEnd"/>
          </w:p>
          <w:p w14:paraId="7963D465" w14:textId="62F40CEF" w:rsidR="007851B8" w:rsidRPr="00852078" w:rsidRDefault="007851B8" w:rsidP="00852078">
            <w:pPr>
              <w:numPr>
                <w:ilvl w:val="0"/>
                <w:numId w:val="11"/>
              </w:numPr>
              <w:spacing w:line="240" w:lineRule="auto"/>
              <w:contextualSpacing/>
              <w:rPr>
                <w:sz w:val="18"/>
                <w:szCs w:val="18"/>
              </w:rPr>
            </w:pPr>
            <w:r w:rsidRPr="00852078">
              <w:rPr>
                <w:sz w:val="18"/>
                <w:szCs w:val="18"/>
              </w:rPr>
              <w:t>R</w:t>
            </w:r>
            <w:r w:rsidRPr="00852078">
              <w:rPr>
                <w:b/>
                <w:bCs/>
                <w:sz w:val="18"/>
                <w:szCs w:val="18"/>
              </w:rPr>
              <w:t xml:space="preserve">eporting must be safe. </w:t>
            </w:r>
            <w:r w:rsidRPr="00852078">
              <w:rPr>
                <w:sz w:val="18"/>
                <w:szCs w:val="18"/>
              </w:rPr>
              <w:t xml:space="preserve">Consumers, whānau and staff must be empowered to report adverse events and near misses without fear of retribution. </w:t>
            </w:r>
            <w:r w:rsidRPr="00852078">
              <w:rPr>
                <w:sz w:val="18"/>
                <w:szCs w:val="18"/>
              </w:rPr>
              <w:fldChar w:fldCharType="begin"/>
            </w:r>
            <w:r w:rsidR="009B0EC4">
              <w:rPr>
                <w:sz w:val="18"/>
                <w:szCs w:val="18"/>
              </w:rPr>
              <w:instrText xml:space="preserve"> ADDIN ZOTERO_ITEM CSL_CITATION {"citationID":"TAy8u74e","properties":{"formattedCitation":"(Health Quality &amp; Safety Commission 2021b, 4)","plainCitation":"(Health Quality &amp; Safety Commission 2021b, 4)","noteIndex":0},"citationItems":[{"id":16799,"uris":["http://zotero.org/groups/4801058/items/CHRNDL74"],"itemData":{"id":16799,"type":"webpage","container-title":"Health Quality &amp; Safety Commission","language":"en","title":"National Adverse Events Reporting Policy","URL":"https://www.hqsc.govt.nz/our-work/system-safety/adverse-events/national-adverse-events-reporting-policy/","author":[{"family":"Health Quality &amp; Safety Commission","given":""}],"accessed":{"date-parts":[["2022",10,25]]},"issued":{"date-parts":[["2021"]]}},"locator":"4","label":"page"}],"schema":"https://github.com/citation-style-language/schema/raw/master/csl-citation.json"} </w:instrText>
            </w:r>
            <w:r w:rsidRPr="00852078">
              <w:rPr>
                <w:sz w:val="18"/>
                <w:szCs w:val="18"/>
              </w:rPr>
              <w:fldChar w:fldCharType="separate"/>
            </w:r>
            <w:r w:rsidRPr="00852078">
              <w:rPr>
                <w:rFonts w:cs="Calibri"/>
                <w:sz w:val="18"/>
                <w:szCs w:val="18"/>
              </w:rPr>
              <w:t>(Health Quality &amp; Safety Commission 2021b, 4)</w:t>
            </w:r>
            <w:r w:rsidRPr="00852078">
              <w:rPr>
                <w:sz w:val="18"/>
                <w:szCs w:val="18"/>
              </w:rPr>
              <w:fldChar w:fldCharType="end"/>
            </w:r>
            <w:r w:rsidRPr="00852078">
              <w:rPr>
                <w:sz w:val="18"/>
                <w:szCs w:val="18"/>
              </w:rPr>
              <w:t>.</w:t>
            </w:r>
          </w:p>
          <w:p w14:paraId="05D81151" w14:textId="77777777" w:rsidR="007851B8" w:rsidRPr="00852078" w:rsidRDefault="007851B8" w:rsidP="00852078">
            <w:pPr>
              <w:spacing w:line="240" w:lineRule="auto"/>
              <w:ind w:left="600"/>
              <w:rPr>
                <w:sz w:val="18"/>
                <w:szCs w:val="18"/>
              </w:rPr>
            </w:pPr>
            <w:r w:rsidRPr="00852078">
              <w:rPr>
                <w:sz w:val="18"/>
                <w:szCs w:val="18"/>
              </w:rPr>
              <w:t>It is noteworthy that the title of annual report is now ‘Learning from adverse events’, which emphasises the purpose of reporting. The latest edition of the report states:</w:t>
            </w:r>
          </w:p>
          <w:p w14:paraId="4D1D162F" w14:textId="5AC2FF1A" w:rsidR="007851B8" w:rsidRPr="00F543C1" w:rsidRDefault="007851B8" w:rsidP="00852078">
            <w:pPr>
              <w:spacing w:before="120" w:line="240" w:lineRule="auto"/>
              <w:ind w:left="600" w:right="425"/>
              <w:rPr>
                <w:i/>
                <w:color w:val="30353F"/>
              </w:rPr>
            </w:pPr>
            <w:r w:rsidRPr="00852078">
              <w:rPr>
                <w:i/>
                <w:color w:val="30353F"/>
                <w:sz w:val="18"/>
                <w:szCs w:val="18"/>
              </w:rPr>
              <w:t>Reporting these events gives voice to those harmed and allows providers to review what happened and put in place measures to prevent consumers from suffering harm in the same way in the future.</w:t>
            </w:r>
            <w:r w:rsidR="00142014" w:rsidRPr="00852078">
              <w:rPr>
                <w:i/>
                <w:color w:val="30353F"/>
                <w:sz w:val="18"/>
                <w:szCs w:val="18"/>
              </w:rPr>
              <w:t xml:space="preserve"> </w:t>
            </w:r>
            <w:r w:rsidRPr="00852078">
              <w:rPr>
                <w:iCs/>
                <w:color w:val="30353F"/>
                <w:sz w:val="18"/>
                <w:szCs w:val="18"/>
              </w:rPr>
              <w:fldChar w:fldCharType="begin"/>
            </w:r>
            <w:r w:rsidR="009B0EC4">
              <w:rPr>
                <w:iCs/>
                <w:color w:val="30353F"/>
                <w:sz w:val="18"/>
                <w:szCs w:val="18"/>
              </w:rPr>
              <w:instrText xml:space="preserve"> ADDIN ZOTERO_ITEM CSL_CITATION {"citationID":"eX02tvkw","properties":{"formattedCitation":"(Health Quality &amp; Safety Commission 2021a, 4)","plainCitation":"(Health Quality &amp; Safety Commission 2021a, 4)","noteIndex":0},"citationItems":[{"id":16801,"uris":["http://zotero.org/groups/4801058/items/Z57WRJ8G"],"itemData":{"id":16801,"type":"report","event-place":"Wellington","publisher":"Health Quality &amp; Safety Commission","publisher-place":"Wellington","title":"Learning from adverse events: Adverse events reported to the Health Quality &amp; Safety Commission 1 July 2017 to 30 June 2018.","author":[{"family":"Health Quality &amp; Safety Commission","given":""}],"issued":{"date-parts":[["2021"]]}},"locator":"4","label":"page"}],"schema":"https://github.com/citation-style-language/schema/raw/master/csl-citation.json"} </w:instrText>
            </w:r>
            <w:r w:rsidRPr="00852078">
              <w:rPr>
                <w:iCs/>
                <w:color w:val="30353F"/>
                <w:sz w:val="18"/>
                <w:szCs w:val="18"/>
              </w:rPr>
              <w:fldChar w:fldCharType="separate"/>
            </w:r>
            <w:r w:rsidRPr="00852078">
              <w:rPr>
                <w:rFonts w:cs="Calibri"/>
                <w:iCs/>
                <w:color w:val="30353F"/>
                <w:sz w:val="18"/>
                <w:szCs w:val="18"/>
              </w:rPr>
              <w:t>(Health Quality &amp; Safety Commission 2021a, 4)</w:t>
            </w:r>
            <w:r w:rsidRPr="00852078">
              <w:rPr>
                <w:iCs/>
                <w:color w:val="30353F"/>
                <w:sz w:val="18"/>
                <w:szCs w:val="18"/>
              </w:rPr>
              <w:fldChar w:fldCharType="end"/>
            </w:r>
          </w:p>
        </w:tc>
      </w:tr>
    </w:tbl>
    <w:p w14:paraId="54F41591" w14:textId="3AF0EF64" w:rsidR="007851B8" w:rsidRPr="00F543C1" w:rsidRDefault="007851B8" w:rsidP="00852078">
      <w:bookmarkStart w:id="195" w:name="_Toc126064042"/>
      <w:bookmarkStart w:id="196" w:name="_Toc126064110"/>
      <w:bookmarkEnd w:id="195"/>
      <w:bookmarkEnd w:id="196"/>
    </w:p>
    <w:p w14:paraId="557EAA47" w14:textId="77777777" w:rsidR="00D11499" w:rsidRPr="00F543C1" w:rsidRDefault="00D11499" w:rsidP="00320BD4">
      <w:pPr>
        <w:pStyle w:val="Heading2"/>
      </w:pPr>
      <w:bookmarkStart w:id="197" w:name="_Toc126064043"/>
      <w:bookmarkStart w:id="198" w:name="_Toc126064111"/>
      <w:bookmarkStart w:id="199" w:name="_Toc126092125"/>
      <w:bookmarkStart w:id="200" w:name="_Toc126841218"/>
      <w:bookmarkEnd w:id="197"/>
      <w:bookmarkEnd w:id="198"/>
      <w:r w:rsidRPr="00F543C1">
        <w:t>Assessing the current system</w:t>
      </w:r>
      <w:bookmarkEnd w:id="199"/>
      <w:bookmarkEnd w:id="200"/>
    </w:p>
    <w:p w14:paraId="63F756B4" w14:textId="63D10D1B" w:rsidR="00745B69" w:rsidRPr="00F543C1" w:rsidRDefault="00745B69" w:rsidP="004004A3">
      <w:pPr>
        <w:ind w:left="851"/>
      </w:pPr>
      <w:r w:rsidRPr="00F543C1">
        <w:t xml:space="preserve">We now turn to </w:t>
      </w:r>
      <w:r w:rsidR="00852078">
        <w:t xml:space="preserve">review the New Zealand approach to public </w:t>
      </w:r>
      <w:r w:rsidRPr="00F543C1">
        <w:t>accountability.</w:t>
      </w:r>
    </w:p>
    <w:p w14:paraId="0B80A045" w14:textId="3F0D8365" w:rsidR="000A18EA" w:rsidRPr="00F543C1" w:rsidRDefault="000A18EA" w:rsidP="004004A3">
      <w:pPr>
        <w:ind w:left="851"/>
      </w:pPr>
      <w:r w:rsidRPr="00F543C1">
        <w:t xml:space="preserve">Our approach is a combination of the </w:t>
      </w:r>
      <w:r w:rsidR="00994ACD" w:rsidRPr="00F543C1">
        <w:t xml:space="preserve">central evaluation criteria developed by </w:t>
      </w:r>
      <w:proofErr w:type="spellStart"/>
      <w:r w:rsidR="00994ACD" w:rsidRPr="00F543C1">
        <w:t>Bovens</w:t>
      </w:r>
      <w:proofErr w:type="spellEnd"/>
      <w:r w:rsidR="00994ACD" w:rsidRPr="00F543C1">
        <w:t xml:space="preserve">, </w:t>
      </w:r>
      <w:proofErr w:type="spellStart"/>
      <w:r w:rsidR="00994ACD" w:rsidRPr="00F543C1">
        <w:t>Schillemans</w:t>
      </w:r>
      <w:proofErr w:type="spellEnd"/>
      <w:r w:rsidR="00994ACD" w:rsidRPr="00F543C1">
        <w:t xml:space="preserve">, and ’t Hart and </w:t>
      </w:r>
      <w:r w:rsidR="00293A93" w:rsidRPr="00F543C1">
        <w:t>recent work by the Auditor-General.</w:t>
      </w:r>
    </w:p>
    <w:p w14:paraId="2CD4031A" w14:textId="6CDF72D5" w:rsidR="00835A0A" w:rsidRPr="00F543C1" w:rsidRDefault="00293A93" w:rsidP="004004A3">
      <w:pPr>
        <w:ind w:left="851"/>
      </w:pPr>
      <w:r w:rsidRPr="00F543C1">
        <w:t xml:space="preserve">In </w:t>
      </w:r>
      <w:r w:rsidR="00E94EA0" w:rsidRPr="00F543C1">
        <w:fldChar w:fldCharType="begin"/>
      </w:r>
      <w:r w:rsidR="00E94EA0" w:rsidRPr="00F543C1">
        <w:instrText xml:space="preserve"> REF _Ref124688290 \h </w:instrText>
      </w:r>
      <w:r w:rsidR="000177FE" w:rsidRPr="00F543C1">
        <w:instrText xml:space="preserve"> \* MERGEFORMAT </w:instrText>
      </w:r>
      <w:r w:rsidR="00E94EA0" w:rsidRPr="00F543C1">
        <w:fldChar w:fldCharType="separate"/>
      </w:r>
      <w:r w:rsidR="00E06351" w:rsidRPr="00F543C1">
        <w:t xml:space="preserve">Table </w:t>
      </w:r>
      <w:r w:rsidR="00E06351">
        <w:t>2</w:t>
      </w:r>
      <w:r w:rsidR="00E94EA0" w:rsidRPr="00F543C1">
        <w:fldChar w:fldCharType="end"/>
      </w:r>
      <w:r w:rsidR="00E94EA0" w:rsidRPr="00726346">
        <w:t xml:space="preserve"> in </w:t>
      </w:r>
      <w:r w:rsidR="003D70D9" w:rsidRPr="00F543C1">
        <w:t>s</w:t>
      </w:r>
      <w:r w:rsidRPr="00F543C1">
        <w:t xml:space="preserve">ection </w:t>
      </w:r>
      <w:r w:rsidR="00E94EA0" w:rsidRPr="00F543C1">
        <w:fldChar w:fldCharType="begin"/>
      </w:r>
      <w:r w:rsidR="00E94EA0" w:rsidRPr="00F543C1">
        <w:instrText xml:space="preserve"> REF _Ref124963926 \r \h </w:instrText>
      </w:r>
      <w:r w:rsidR="000177FE" w:rsidRPr="00F543C1">
        <w:instrText xml:space="preserve"> \* MERGEFORMAT </w:instrText>
      </w:r>
      <w:r w:rsidR="00E94EA0" w:rsidRPr="00F543C1">
        <w:fldChar w:fldCharType="separate"/>
      </w:r>
      <w:r w:rsidR="00E06351">
        <w:t>3.4</w:t>
      </w:r>
      <w:r w:rsidR="00E94EA0" w:rsidRPr="00F543C1">
        <w:fldChar w:fldCharType="end"/>
      </w:r>
      <w:r w:rsidR="00EE5A3A" w:rsidRPr="00726346">
        <w:t xml:space="preserve">, we set out </w:t>
      </w:r>
      <w:proofErr w:type="spellStart"/>
      <w:r w:rsidR="00EE5A3A" w:rsidRPr="00726346">
        <w:t>Bovens</w:t>
      </w:r>
      <w:proofErr w:type="spellEnd"/>
      <w:r w:rsidR="00EE5A3A" w:rsidRPr="00726346">
        <w:t xml:space="preserve"> et al</w:t>
      </w:r>
      <w:r w:rsidR="00835A0A" w:rsidRPr="00F543C1">
        <w:t>.</w:t>
      </w:r>
      <w:r w:rsidR="00EE5A3A" w:rsidRPr="00F543C1">
        <w:t>’s criteria</w:t>
      </w:r>
      <w:r w:rsidR="00835A0A" w:rsidRPr="00F543C1">
        <w:t>. For conven</w:t>
      </w:r>
      <w:r w:rsidR="00320BD4" w:rsidRPr="00F543C1">
        <w:t>ie</w:t>
      </w:r>
      <w:r w:rsidR="00835A0A" w:rsidRPr="00F543C1">
        <w:t xml:space="preserve">nce, they </w:t>
      </w:r>
      <w:r w:rsidR="005067FC" w:rsidRPr="00F543C1">
        <w:t>are</w:t>
      </w:r>
      <w:r w:rsidR="00835A0A" w:rsidRPr="00F543C1">
        <w:t>:</w:t>
      </w:r>
    </w:p>
    <w:p w14:paraId="6414FF89" w14:textId="3AC37D50" w:rsidR="00835A0A" w:rsidRPr="00F543C1" w:rsidRDefault="00835A0A" w:rsidP="00835A0A">
      <w:pPr>
        <w:pStyle w:val="USBullet1"/>
      </w:pPr>
      <w:r w:rsidRPr="00F543C1">
        <w:t>Democratic perspective: the degree to which an accountability arrangement or regime enables democratically legitimised bodies to monitor and evaluate executive behaviour and to induce executive actors to modify that behaviour in accordance with their preferences.</w:t>
      </w:r>
    </w:p>
    <w:p w14:paraId="1F2C26FF" w14:textId="780EA6D2" w:rsidR="00835A0A" w:rsidRPr="00F543C1" w:rsidRDefault="00835A0A" w:rsidP="00835A0A">
      <w:pPr>
        <w:pStyle w:val="USBullet1"/>
      </w:pPr>
      <w:r w:rsidRPr="00F543C1">
        <w:t>Constitutional perspective: the extent to which an accountability arrangement curtails the abuse of executive power and privilege.</w:t>
      </w:r>
    </w:p>
    <w:p w14:paraId="37F3B7B8" w14:textId="2CB76834" w:rsidR="000A18EA" w:rsidRPr="00F543C1" w:rsidRDefault="00835A0A" w:rsidP="00431529">
      <w:pPr>
        <w:pStyle w:val="USBullet1"/>
      </w:pPr>
      <w:r w:rsidRPr="00F543C1">
        <w:t xml:space="preserve">Learning perspective: </w:t>
      </w:r>
      <w:r w:rsidR="00C5402F" w:rsidRPr="00F543C1">
        <w:t>t</w:t>
      </w:r>
      <w:r w:rsidRPr="00F543C1">
        <w:t>he degree to which an accountability arrangement stimulates public executives and bodies to focus consistently on achieving desirable societal outcomes</w:t>
      </w:r>
      <w:r w:rsidR="00C5402F" w:rsidRPr="00F543C1">
        <w:t xml:space="preserve"> </w:t>
      </w:r>
      <w:r w:rsidR="000A18EA" w:rsidRPr="00F543C1">
        <w:fldChar w:fldCharType="begin"/>
      </w:r>
      <w:r w:rsidR="009B0EC4">
        <w:instrText xml:space="preserve"> ADDIN ZOTERO_ITEM CSL_CITATION {"citationID":"FjjTBO5s","properties":{"formattedCitation":"(Bovens, Schillemans, and \\uc0\\u8217{}t Hart 2008)","plainCitation":"(Bovens, Schillemans, and ’t Hart 2008)","noteIndex":0},"citationItems":[{"id":16134,"uris":["http://zotero.org/groups/4801058/items/M7TAYTHR"],"itemData":{"id":16134,"type":"article-journal","abstract":"In recent years, there has been a drive to strengthen existing public accountability arrangements and to design new ones. This prompts the question whether accountability arrangements actually work. In the existing literature, both accountability ‘deficits’ and ‘overloads’ are alleged to exist. However, owing to the lack of a cogent yardstick, the debate tends to be impressionistic and event-driven. In this article we develop an instrument for systematically assessing public accountability arrangements, drawing on three different normative perspectives. In the democratic perspective, accountability arrangements should effectively link government actions to the ‘democratic chain of delegation’. In the constitutional perspective, it is essential that accountability arrangements prevent or uncover abuses of public authority. In the learning perspective, accountability is a tool to make governments effective in delivering on their promises. We demonstrate the use of our multicriteria assessment tool in an analysis of a new accountability arrangement: the boards of oversight of agencies.","container-title":"Public Administration","DOI":"10.1111/j.1467-9299.2008.00716.x","ISSN":"1467-9299","issue":"1","language":"en","note":"number: 1\n_eprint: https://onlinelibrary.wiley.com/doi/pdf/10.1111/j.1467-9299.2008.00716.x","page":"225-242","source":"Wiley Online Library","title":"Does Public Accountability Work? An Assessment Tool","title-short":"Does Public Accountability Work?","volume":"86","author":[{"family":"Bovens","given":"Mark"},{"family":"Schillemans","given":"Thomas"},{"family":"Hart","given":"Paul","non-dropping-particle":"'t"}],"issued":{"date-parts":[["2008"]]}},"label":"page"}],"schema":"https://github.com/citation-style-language/schema/raw/master/csl-citation.json"} </w:instrText>
      </w:r>
      <w:r w:rsidR="000A18EA" w:rsidRPr="00F543C1">
        <w:fldChar w:fldCharType="separate"/>
      </w:r>
      <w:r w:rsidR="00F24523" w:rsidRPr="00F543C1">
        <w:rPr>
          <w:rFonts w:cs="Calibri"/>
          <w:szCs w:val="24"/>
        </w:rPr>
        <w:t>(Bovens, Schillemans, and ’t Hart 2008)</w:t>
      </w:r>
      <w:r w:rsidR="000A18EA" w:rsidRPr="00F543C1">
        <w:fldChar w:fldCharType="end"/>
      </w:r>
      <w:r w:rsidR="00F24523" w:rsidRPr="00726346">
        <w:t>.</w:t>
      </w:r>
    </w:p>
    <w:p w14:paraId="6BD79534" w14:textId="7D6D44DA" w:rsidR="00D11499" w:rsidRPr="00F543C1" w:rsidRDefault="00D11499" w:rsidP="004004A3">
      <w:pPr>
        <w:ind w:left="851"/>
      </w:pPr>
      <w:r w:rsidRPr="00F543C1">
        <w:lastRenderedPageBreak/>
        <w:t xml:space="preserve">In a recent report on improving public accountability in New Zealand, the Office of the Auditor-General applied a five-step evaluative framework to analyse the New Zealand public accountability system. </w:t>
      </w:r>
    </w:p>
    <w:p w14:paraId="4883D11F" w14:textId="3911D09F" w:rsidR="00D11499" w:rsidRPr="00F543C1" w:rsidRDefault="00D11499" w:rsidP="00D11499">
      <w:pPr>
        <w:ind w:left="851"/>
      </w:pPr>
      <w:r w:rsidRPr="00F543C1">
        <w:t>They use this framework to ask a series of questions, the answers to which provide an outline of the appropriate mechanisms for accountability, as set out</w:t>
      </w:r>
      <w:r w:rsidR="00B31D5A" w:rsidRPr="00F543C1">
        <w:t xml:space="preserve"> in</w:t>
      </w:r>
      <w:r w:rsidR="00981F6B" w:rsidRPr="00F543C1">
        <w:t xml:space="preserve"> </w:t>
      </w:r>
      <w:r w:rsidR="00981F6B" w:rsidRPr="00F543C1">
        <w:fldChar w:fldCharType="begin"/>
      </w:r>
      <w:r w:rsidR="00981F6B" w:rsidRPr="00F543C1">
        <w:instrText xml:space="preserve"> REF _Ref124880509 \h </w:instrText>
      </w:r>
      <w:r w:rsidR="000177FE" w:rsidRPr="00F543C1">
        <w:instrText xml:space="preserve"> \* MERGEFORMAT </w:instrText>
      </w:r>
      <w:r w:rsidR="00981F6B" w:rsidRPr="00F543C1">
        <w:fldChar w:fldCharType="separate"/>
      </w:r>
      <w:r w:rsidR="00E06351" w:rsidRPr="00F543C1">
        <w:t>Figure </w:t>
      </w:r>
      <w:r w:rsidR="00E06351">
        <w:t>11</w:t>
      </w:r>
      <w:r w:rsidR="00981F6B" w:rsidRPr="00F543C1">
        <w:fldChar w:fldCharType="end"/>
      </w:r>
      <w:r w:rsidR="00F04724" w:rsidRPr="00726346">
        <w:t>.</w:t>
      </w:r>
      <w:r w:rsidRPr="00F543C1">
        <w:t xml:space="preserve"> </w:t>
      </w:r>
    </w:p>
    <w:p w14:paraId="03FA6BF4" w14:textId="3BF844AF" w:rsidR="00D11499" w:rsidRPr="00F543C1" w:rsidRDefault="00D11499" w:rsidP="00D11499">
      <w:pPr>
        <w:pStyle w:val="FigureCaption"/>
      </w:pPr>
      <w:bookmarkStart w:id="201" w:name="_Ref124880509"/>
      <w:bookmarkStart w:id="202" w:name="_Toc126841242"/>
      <w:r w:rsidRPr="00F543C1">
        <w:t>Figure </w:t>
      </w:r>
      <w:r w:rsidRPr="00F543C1">
        <w:fldChar w:fldCharType="begin"/>
      </w:r>
      <w:r w:rsidRPr="00F543C1">
        <w:instrText>SEQ Figure \* ARABIC</w:instrText>
      </w:r>
      <w:r w:rsidRPr="00F543C1">
        <w:fldChar w:fldCharType="separate"/>
      </w:r>
      <w:r w:rsidR="00E06351">
        <w:rPr>
          <w:noProof/>
        </w:rPr>
        <w:t>11</w:t>
      </w:r>
      <w:r w:rsidRPr="00F543C1">
        <w:fldChar w:fldCharType="end"/>
      </w:r>
      <w:bookmarkEnd w:id="201"/>
      <w:r w:rsidRPr="00726346">
        <w:t xml:space="preserve"> The five steps for effective public accountability</w:t>
      </w:r>
      <w:bookmarkEnd w:id="202"/>
    </w:p>
    <w:p w14:paraId="390C3360" w14:textId="77777777" w:rsidR="00D11499" w:rsidRPr="00726346" w:rsidRDefault="00D11499" w:rsidP="00D11499">
      <w:pPr>
        <w:keepNext/>
        <w:spacing w:after="0" w:line="240" w:lineRule="auto"/>
        <w:ind w:left="851"/>
      </w:pPr>
      <w:r w:rsidRPr="002349E2">
        <w:rPr>
          <w:noProof/>
        </w:rPr>
        <w:drawing>
          <wp:inline distT="0" distB="0" distL="0" distR="0" wp14:anchorId="196A87AB" wp14:editId="26E37860">
            <wp:extent cx="4315413" cy="4124325"/>
            <wp:effectExtent l="0" t="0" r="9525" b="0"/>
            <wp:docPr id="3" name="Picture 3" descr="There are five essential steps that are necessary to establish public accountability as described in the diagram below – the relationship, the objective, the information, the mechanism for debate, and the ju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e are five essential steps that are necessary to establish public accountability as described in the diagram below – the relationship, the objective, the information, the mechanism for debate, and the judg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3800" cy="4132341"/>
                    </a:xfrm>
                    <a:prstGeom prst="rect">
                      <a:avLst/>
                    </a:prstGeom>
                    <a:noFill/>
                    <a:ln>
                      <a:noFill/>
                    </a:ln>
                  </pic:spPr>
                </pic:pic>
              </a:graphicData>
            </a:graphic>
          </wp:inline>
        </w:drawing>
      </w:r>
    </w:p>
    <w:p w14:paraId="241BCB82" w14:textId="34530AB4" w:rsidR="00D11499" w:rsidRPr="00726346" w:rsidRDefault="00D11499" w:rsidP="00D11499">
      <w:pPr>
        <w:spacing w:before="120" w:after="360" w:line="220" w:lineRule="atLeast"/>
        <w:ind w:left="851"/>
        <w:rPr>
          <w:sz w:val="18"/>
        </w:rPr>
      </w:pPr>
      <w:r w:rsidRPr="00F543C1">
        <w:rPr>
          <w:sz w:val="18"/>
        </w:rPr>
        <w:t xml:space="preserve">Source: Office of the Auditor-General </w:t>
      </w:r>
      <w:r w:rsidRPr="00F543C1">
        <w:rPr>
          <w:sz w:val="18"/>
        </w:rPr>
        <w:fldChar w:fldCharType="begin"/>
      </w:r>
      <w:r w:rsidR="009B0EC4">
        <w:rPr>
          <w:sz w:val="18"/>
        </w:rPr>
        <w:instrText xml:space="preserve"> ADDIN ZOTERO_ITEM CSL_CITATION {"citationID":"a1eggikv4og","properties":{"formattedCitation":"(2022a, 11)","plainCitation":"(2022a, 11)","noteIndex":0},"citationItems":[{"id":16271,"uris":["http://zotero.org/groups/4801058/items/XJ5GMC7D"],"itemData":{"id":16271,"type":"webpage","container-title":"Office of the Auditor-General New Zealand","language":"en","title":"Building a stronger public accountability system for New Zealanders","URL":"https://oag.parliament.nz/2021/public-accountability","author":[{"family":"Office of the Auditor-General","given":""}],"accessed":{"date-parts":[["2022",9,15]]},"issued":{"date-parts":[["2022",9,14]]}},"locator":"11","label":"page","suppress-author":true}],"schema":"https://github.com/citation-style-language/schema/raw/master/csl-citation.json"} </w:instrText>
      </w:r>
      <w:r w:rsidRPr="00F543C1">
        <w:rPr>
          <w:sz w:val="18"/>
        </w:rPr>
        <w:fldChar w:fldCharType="separate"/>
      </w:r>
      <w:r w:rsidR="00F06BC3" w:rsidRPr="00F06BC3">
        <w:rPr>
          <w:rFonts w:cs="Calibri"/>
          <w:sz w:val="18"/>
        </w:rPr>
        <w:t>(2022a, 11)</w:t>
      </w:r>
      <w:r w:rsidRPr="00F543C1">
        <w:rPr>
          <w:sz w:val="18"/>
        </w:rPr>
        <w:fldChar w:fldCharType="end"/>
      </w:r>
    </w:p>
    <w:p w14:paraId="21AD693D" w14:textId="77DD037B" w:rsidR="0049019C" w:rsidRPr="00F543C1" w:rsidRDefault="0049019C" w:rsidP="00431529">
      <w:pPr>
        <w:pStyle w:val="USBodyText"/>
      </w:pPr>
      <w:r w:rsidRPr="00F543C1">
        <w:t xml:space="preserve">We now proceed to answer those questions in respect of the </w:t>
      </w:r>
      <w:r w:rsidR="00F24523" w:rsidRPr="00F543C1">
        <w:t xml:space="preserve">current </w:t>
      </w:r>
      <w:r w:rsidR="00431529" w:rsidRPr="00F543C1">
        <w:t>system.</w:t>
      </w:r>
    </w:p>
    <w:p w14:paraId="5ED5D366" w14:textId="4C5DE68D" w:rsidR="0049019C" w:rsidRPr="00F543C1" w:rsidRDefault="0049019C" w:rsidP="0049019C">
      <w:pPr>
        <w:pStyle w:val="Heading3"/>
      </w:pPr>
      <w:bookmarkStart w:id="203" w:name="_Toc126092126"/>
      <w:r w:rsidRPr="00F543C1">
        <w:t>The relationship</w:t>
      </w:r>
      <w:bookmarkEnd w:id="203"/>
    </w:p>
    <w:p w14:paraId="1B91D3A1" w14:textId="3E646AA3" w:rsidR="0049019C" w:rsidRPr="00F543C1" w:rsidRDefault="00BF73FD" w:rsidP="0049019C">
      <w:pPr>
        <w:pStyle w:val="USBodyText"/>
      </w:pPr>
      <w:r w:rsidRPr="00F543C1">
        <w:t xml:space="preserve">The public </w:t>
      </w:r>
      <w:r w:rsidR="00ED4D2C" w:rsidRPr="00F543C1">
        <w:t>accountability</w:t>
      </w:r>
      <w:r w:rsidRPr="00F543C1">
        <w:t xml:space="preserve"> system imposes </w:t>
      </w:r>
      <w:r w:rsidR="00431529" w:rsidRPr="00F543C1">
        <w:t xml:space="preserve">a </w:t>
      </w:r>
      <w:r w:rsidRPr="00F543C1">
        <w:t>vertical relationship</w:t>
      </w:r>
      <w:r w:rsidR="00ED4D2C" w:rsidRPr="00F543C1">
        <w:t xml:space="preserve"> up </w:t>
      </w:r>
      <w:r w:rsidR="00ED4D2C" w:rsidRPr="00726346">
        <w:t>through the ‘democratic chain of delegation’</w:t>
      </w:r>
      <w:r w:rsidR="00FA60E0" w:rsidRPr="00F543C1">
        <w:t>.</w:t>
      </w:r>
    </w:p>
    <w:p w14:paraId="280E8F2B" w14:textId="1CA810A9" w:rsidR="00FA60E0" w:rsidRPr="00F543C1" w:rsidRDefault="00B31D5A" w:rsidP="00431529">
      <w:pPr>
        <w:pStyle w:val="USBodyText"/>
      </w:pPr>
      <w:r w:rsidRPr="00F543C1">
        <w:t>Regarding</w:t>
      </w:r>
      <w:r w:rsidR="00FA60E0" w:rsidRPr="00F543C1">
        <w:t xml:space="preserve"> NGOs contracted to t</w:t>
      </w:r>
      <w:r w:rsidR="00471017" w:rsidRPr="00F543C1">
        <w:t xml:space="preserve">he government, accountability is applied using complex written contracts. While work is underway to make those contracts simpler, the relationship will still be between a client </w:t>
      </w:r>
      <w:r w:rsidR="009D18F2" w:rsidRPr="00F543C1">
        <w:t>(</w:t>
      </w:r>
      <w:r w:rsidR="00471017" w:rsidRPr="00F543C1">
        <w:t>the Crown) and a provider</w:t>
      </w:r>
      <w:r w:rsidR="009D18F2" w:rsidRPr="00F543C1">
        <w:t xml:space="preserve"> for the provision of specified services. </w:t>
      </w:r>
    </w:p>
    <w:p w14:paraId="05D72AB1" w14:textId="4FDEFFD0" w:rsidR="00B429E9" w:rsidRPr="00F543C1" w:rsidRDefault="00FA60E0" w:rsidP="00356108">
      <w:pPr>
        <w:ind w:left="851"/>
      </w:pPr>
      <w:r w:rsidRPr="00F543C1">
        <w:t>The Crown’s Treaty partner is absent from this</w:t>
      </w:r>
      <w:r w:rsidR="00B429E9" w:rsidRPr="00F543C1">
        <w:t xml:space="preserve"> relationship.</w:t>
      </w:r>
    </w:p>
    <w:p w14:paraId="6468A883" w14:textId="62B41887" w:rsidR="008C4688" w:rsidRPr="00F543C1" w:rsidRDefault="00B429E9" w:rsidP="00356108">
      <w:pPr>
        <w:ind w:left="851"/>
      </w:pPr>
      <w:r w:rsidRPr="00F543C1">
        <w:t>The people experiencing persistent disadvantage are also not part of the accountability relationship, except to the extent that they are also voters.</w:t>
      </w:r>
      <w:r w:rsidR="00FA60E0" w:rsidRPr="00F543C1">
        <w:t xml:space="preserve"> </w:t>
      </w:r>
      <w:r w:rsidR="008B4C57">
        <w:t xml:space="preserve">We see this as a key flaw in the current system. While creating accountability relationships between these people </w:t>
      </w:r>
      <w:r w:rsidR="008B4C57">
        <w:lastRenderedPageBreak/>
        <w:t xml:space="preserve">and the parties in the system that are designed to assist them would be a radical </w:t>
      </w:r>
      <w:r w:rsidR="000630FB">
        <w:t xml:space="preserve">departure </w:t>
      </w:r>
      <w:r w:rsidR="008B4C57">
        <w:t xml:space="preserve">from current </w:t>
      </w:r>
      <w:r w:rsidR="00BE6A83">
        <w:t>practice, the absence of wider constitutional protections for disadvantaged, discriminated against and abused groups makes it a practical necessity.</w:t>
      </w:r>
      <w:r w:rsidR="008B4C57">
        <w:t xml:space="preserve"> </w:t>
      </w:r>
    </w:p>
    <w:p w14:paraId="5D034FB8" w14:textId="505364B1" w:rsidR="00EB5075" w:rsidRPr="00F543C1" w:rsidRDefault="00F56489" w:rsidP="00356108">
      <w:pPr>
        <w:ind w:left="851"/>
      </w:pPr>
      <w:r w:rsidRPr="00F543C1">
        <w:t xml:space="preserve">The current expectations of the Parliamentary accountability system </w:t>
      </w:r>
      <w:r w:rsidR="00BC6DBE" w:rsidRPr="00F543C1">
        <w:t xml:space="preserve">are centred on ex-post reporting of activities, </w:t>
      </w:r>
      <w:proofErr w:type="gramStart"/>
      <w:r w:rsidR="00BC6DBE" w:rsidRPr="00F543C1">
        <w:t>inputs</w:t>
      </w:r>
      <w:proofErr w:type="gramEnd"/>
      <w:r w:rsidR="00BC6DBE" w:rsidRPr="00F543C1">
        <w:t xml:space="preserve"> and outputs. </w:t>
      </w:r>
      <w:r w:rsidR="00FC18D5" w:rsidRPr="00F543C1">
        <w:t>As a result</w:t>
      </w:r>
      <w:r w:rsidR="007C3C7F" w:rsidRPr="00F543C1">
        <w:t>, the focus is on desired constitutional accountability outcomes (probity and honesty)</w:t>
      </w:r>
      <w:r w:rsidR="00A110D8" w:rsidRPr="00F543C1">
        <w:t xml:space="preserve"> rather than </w:t>
      </w:r>
      <w:r w:rsidR="007A7F84" w:rsidRPr="00F543C1">
        <w:t>democratic accountability (</w:t>
      </w:r>
      <w:r w:rsidR="002478D2" w:rsidRPr="00F543C1">
        <w:t xml:space="preserve">linking executive </w:t>
      </w:r>
      <w:r w:rsidR="009227CA" w:rsidRPr="00F543C1">
        <w:t xml:space="preserve">behaviour to the </w:t>
      </w:r>
      <w:r w:rsidR="002478D2" w:rsidRPr="00F543C1">
        <w:t>‘democratic chain of delegation’</w:t>
      </w:r>
      <w:r w:rsidR="009227CA" w:rsidRPr="00F543C1">
        <w:t>)</w:t>
      </w:r>
      <w:r w:rsidR="00A2474D" w:rsidRPr="00F543C1">
        <w:t xml:space="preserve"> and learning</w:t>
      </w:r>
      <w:r w:rsidR="009227CA" w:rsidRPr="00F543C1">
        <w:t>.</w:t>
      </w:r>
      <w:r w:rsidR="00136FB8" w:rsidRPr="00F543C1">
        <w:t xml:space="preserve"> Recording and analysing the past is an important part of learning. We are concerned that the material produced by the current system is not used effectively in this regard.</w:t>
      </w:r>
    </w:p>
    <w:p w14:paraId="39935417" w14:textId="214D6139" w:rsidR="00BC6DBE" w:rsidRPr="00F543C1" w:rsidRDefault="00BC6DBE" w:rsidP="00BC6DBE">
      <w:pPr>
        <w:pStyle w:val="Heading3"/>
      </w:pPr>
      <w:bookmarkStart w:id="204" w:name="_Toc126092127"/>
      <w:r w:rsidRPr="00F543C1">
        <w:t>The objective</w:t>
      </w:r>
      <w:bookmarkEnd w:id="204"/>
    </w:p>
    <w:p w14:paraId="65A29689" w14:textId="66F425A6" w:rsidR="00276B9E" w:rsidRPr="00F543C1" w:rsidRDefault="002372CC" w:rsidP="00BC6DBE">
      <w:pPr>
        <w:pStyle w:val="USBodyText"/>
      </w:pPr>
      <w:r w:rsidRPr="00F543C1">
        <w:t xml:space="preserve">Generally, the current system </w:t>
      </w:r>
      <w:r w:rsidR="00105DF2" w:rsidRPr="00F543C1">
        <w:t>focuses on probity and ethics, with voluminous reporting mainly</w:t>
      </w:r>
      <w:r w:rsidRPr="00726346">
        <w:t xml:space="preserve"> used by opposition politicians and the media to expose </w:t>
      </w:r>
      <w:r w:rsidR="00B1637B">
        <w:t>controversies</w:t>
      </w:r>
      <w:r w:rsidRPr="00726346">
        <w:t>.</w:t>
      </w:r>
    </w:p>
    <w:p w14:paraId="0F78B8AB" w14:textId="77777777" w:rsidR="00B46CFA" w:rsidRPr="00F543C1" w:rsidRDefault="00276B9E" w:rsidP="00BC6DBE">
      <w:pPr>
        <w:pStyle w:val="USBodyText"/>
      </w:pPr>
      <w:r w:rsidRPr="00F543C1">
        <w:t xml:space="preserve">While there are some examples of Ministers </w:t>
      </w:r>
      <w:r w:rsidR="00DC0946" w:rsidRPr="00F543C1">
        <w:t xml:space="preserve">accepting that they should be held to </w:t>
      </w:r>
      <w:r w:rsidRPr="00F543C1">
        <w:t>account for policy outcomes (fis</w:t>
      </w:r>
      <w:r w:rsidR="00E46A5A" w:rsidRPr="00F543C1">
        <w:t>cal responsibility, child poverty, climate change), the</w:t>
      </w:r>
      <w:r w:rsidR="00DC0946" w:rsidRPr="00F543C1">
        <w:t>y</w:t>
      </w:r>
      <w:r w:rsidR="00E46A5A" w:rsidRPr="00F543C1">
        <w:t xml:space="preserve"> are exceptions. </w:t>
      </w:r>
    </w:p>
    <w:p w14:paraId="6C40B447" w14:textId="6C6FDDD8" w:rsidR="00200C1F" w:rsidRPr="00F543C1" w:rsidRDefault="007B6BB6" w:rsidP="00BC6DBE">
      <w:pPr>
        <w:pStyle w:val="USBodyText"/>
      </w:pPr>
      <w:r w:rsidRPr="00F543C1">
        <w:t>Often s</w:t>
      </w:r>
      <w:r w:rsidR="00200C1F" w:rsidRPr="00F543C1">
        <w:t xml:space="preserve">capegoating and scandal </w:t>
      </w:r>
      <w:r w:rsidRPr="00F543C1">
        <w:t xml:space="preserve">replace learning as the lessons taken from </w:t>
      </w:r>
      <w:proofErr w:type="gramStart"/>
      <w:r w:rsidRPr="00F543C1">
        <w:t>past experience</w:t>
      </w:r>
      <w:proofErr w:type="gramEnd"/>
      <w:r w:rsidRPr="00F543C1">
        <w:t>.</w:t>
      </w:r>
    </w:p>
    <w:p w14:paraId="70F58F12" w14:textId="77777777" w:rsidR="00B46CFA" w:rsidRPr="00F543C1" w:rsidRDefault="00B46CFA" w:rsidP="00B46CFA">
      <w:pPr>
        <w:pStyle w:val="Heading3"/>
      </w:pPr>
      <w:bookmarkStart w:id="205" w:name="_Toc126092128"/>
      <w:r w:rsidRPr="00F543C1">
        <w:t>The information</w:t>
      </w:r>
      <w:bookmarkEnd w:id="205"/>
    </w:p>
    <w:p w14:paraId="5816DFAC" w14:textId="2AFCAC58" w:rsidR="00BC6DBE" w:rsidRPr="00F543C1" w:rsidRDefault="00803244" w:rsidP="00B46CFA">
      <w:pPr>
        <w:pStyle w:val="USBodyText"/>
      </w:pPr>
      <w:r w:rsidRPr="00F543C1">
        <w:t>The information produced by the current system is mainly backward</w:t>
      </w:r>
      <w:r w:rsidR="00105DF2" w:rsidRPr="00F543C1">
        <w:t>s</w:t>
      </w:r>
      <w:r w:rsidR="00A01C17" w:rsidRPr="00F543C1">
        <w:t>-</w:t>
      </w:r>
      <w:r w:rsidRPr="00F543C1">
        <w:t xml:space="preserve">looking reporting of inputs and outputs. </w:t>
      </w:r>
      <w:r w:rsidR="009915A5" w:rsidRPr="00F543C1">
        <w:t>There is little focus on forward-looking statements of policy intentions and outcomes</w:t>
      </w:r>
      <w:r w:rsidR="00370C86" w:rsidRPr="00F543C1">
        <w:t xml:space="preserve"> to a level of specificity that would </w:t>
      </w:r>
      <w:r w:rsidR="008D725F" w:rsidRPr="00F543C1">
        <w:t xml:space="preserve">allow </w:t>
      </w:r>
      <w:r w:rsidR="00EA6D41" w:rsidRPr="00F543C1">
        <w:t xml:space="preserve">progress </w:t>
      </w:r>
      <w:r w:rsidR="008D725F" w:rsidRPr="00F543C1">
        <w:t>t</w:t>
      </w:r>
      <w:r w:rsidR="00EA6D41" w:rsidRPr="00F543C1">
        <w:t>o be measured</w:t>
      </w:r>
      <w:r w:rsidR="00370C86" w:rsidRPr="00F543C1">
        <w:t>.</w:t>
      </w:r>
      <w:r w:rsidR="002372CC" w:rsidRPr="00F543C1">
        <w:t xml:space="preserve"> </w:t>
      </w:r>
    </w:p>
    <w:p w14:paraId="19806B3C" w14:textId="7F1D2830" w:rsidR="008D725F" w:rsidRPr="00726346" w:rsidRDefault="008D725F" w:rsidP="00B46CFA">
      <w:pPr>
        <w:pStyle w:val="USBodyText"/>
      </w:pPr>
      <w:r w:rsidRPr="00F543C1">
        <w:t xml:space="preserve">One </w:t>
      </w:r>
      <w:proofErr w:type="gramStart"/>
      <w:r w:rsidRPr="00F543C1">
        <w:t>particular feature</w:t>
      </w:r>
      <w:proofErr w:type="gramEnd"/>
      <w:r w:rsidRPr="00F543C1">
        <w:t xml:space="preserve"> of the system is that </w:t>
      </w:r>
      <w:r w:rsidR="00F76ADA" w:rsidRPr="00F543C1">
        <w:t xml:space="preserve">most </w:t>
      </w:r>
      <w:r w:rsidR="0032031E" w:rsidRPr="00F543C1">
        <w:t xml:space="preserve">parliamentary </w:t>
      </w:r>
      <w:r w:rsidR="00F76ADA" w:rsidRPr="00F543C1">
        <w:t>reporting follows centrally set formats that apply across the entire public sector. There are few examples of reporting regimes that are developed to apply to a specific policy area.</w:t>
      </w:r>
      <w:r w:rsidR="00F76ADA" w:rsidRPr="009006D7">
        <w:rPr>
          <w:rStyle w:val="FootnoteReference"/>
        </w:rPr>
        <w:footnoteReference w:id="173"/>
      </w:r>
    </w:p>
    <w:p w14:paraId="277D19A9" w14:textId="6B6F2100" w:rsidR="0031340F" w:rsidRPr="00F543C1" w:rsidRDefault="00740942" w:rsidP="00740942">
      <w:pPr>
        <w:pStyle w:val="Heading3"/>
      </w:pPr>
      <w:bookmarkStart w:id="206" w:name="_Toc126092129"/>
      <w:r w:rsidRPr="00F543C1">
        <w:t>The mechanism for debate</w:t>
      </w:r>
      <w:bookmarkEnd w:id="206"/>
    </w:p>
    <w:p w14:paraId="1F7C6596" w14:textId="176C41CB" w:rsidR="00050C2A" w:rsidRPr="00F543C1" w:rsidRDefault="00D34477" w:rsidP="00740942">
      <w:pPr>
        <w:pStyle w:val="USBodyText"/>
      </w:pPr>
      <w:r w:rsidRPr="00F543C1">
        <w:t xml:space="preserve">The </w:t>
      </w:r>
      <w:r w:rsidR="00050C2A" w:rsidRPr="00F543C1">
        <w:t>principal</w:t>
      </w:r>
      <w:r w:rsidRPr="00F543C1">
        <w:t xml:space="preserve"> forum of accountability in New Zealand is Parliament, which under our system</w:t>
      </w:r>
      <w:r w:rsidR="00E4211D" w:rsidRPr="00F543C1">
        <w:t>,</w:t>
      </w:r>
      <w:r w:rsidRPr="00F543C1">
        <w:t xml:space="preserve"> is dominated by the executive</w:t>
      </w:r>
      <w:r w:rsidR="00050C2A" w:rsidRPr="00F543C1">
        <w:t>.</w:t>
      </w:r>
    </w:p>
    <w:p w14:paraId="3AA71506" w14:textId="48FBAB3B" w:rsidR="00740942" w:rsidRPr="00F543C1" w:rsidRDefault="00050C2A" w:rsidP="00740942">
      <w:pPr>
        <w:pStyle w:val="USBodyText"/>
      </w:pPr>
      <w:r w:rsidRPr="00F543C1">
        <w:t>While at first sight</w:t>
      </w:r>
      <w:r w:rsidR="00E4211D" w:rsidRPr="00F543C1">
        <w:t>,</w:t>
      </w:r>
      <w:r w:rsidRPr="00F543C1">
        <w:t xml:space="preserve"> th</w:t>
      </w:r>
      <w:r w:rsidR="00EB558B" w:rsidRPr="00F543C1">
        <w:t>e Parliament, especially select</w:t>
      </w:r>
      <w:r w:rsidR="00A01C17" w:rsidRPr="00F543C1">
        <w:t xml:space="preserve"> </w:t>
      </w:r>
      <w:r w:rsidR="00EB558B" w:rsidRPr="00F543C1">
        <w:t xml:space="preserve">committees, should be an </w:t>
      </w:r>
      <w:r w:rsidR="00A16537" w:rsidRPr="00F543C1">
        <w:t>active forum</w:t>
      </w:r>
      <w:r w:rsidR="00EB558B" w:rsidRPr="00F543C1">
        <w:t xml:space="preserve"> for holding governments to account, the reality</w:t>
      </w:r>
      <w:r w:rsidR="00A16537" w:rsidRPr="00F543C1">
        <w:t xml:space="preserve"> is that any government can </w:t>
      </w:r>
      <w:proofErr w:type="gramStart"/>
      <w:r w:rsidR="00A16537" w:rsidRPr="00F543C1">
        <w:t>close</w:t>
      </w:r>
      <w:r w:rsidR="00A01C17" w:rsidRPr="00F543C1">
        <w:t xml:space="preserve"> </w:t>
      </w:r>
      <w:r w:rsidR="00A16537" w:rsidRPr="00F543C1">
        <w:t>down</w:t>
      </w:r>
      <w:proofErr w:type="gramEnd"/>
      <w:r w:rsidR="00A16537" w:rsidRPr="00F543C1">
        <w:t xml:space="preserve"> detailed scrutiny if it wishes. The absence of strong extra-parliamentary institutions mean</w:t>
      </w:r>
      <w:r w:rsidR="006B50C6" w:rsidRPr="00F543C1">
        <w:t>s</w:t>
      </w:r>
      <w:r w:rsidR="00A16537" w:rsidRPr="00F543C1">
        <w:t xml:space="preserve"> that there is often no alternative forum available.</w:t>
      </w:r>
      <w:r w:rsidR="002050F2" w:rsidRPr="00F543C1">
        <w:t xml:space="preserve"> </w:t>
      </w:r>
    </w:p>
    <w:p w14:paraId="1CB133E5" w14:textId="4BDAC719" w:rsidR="006B50C6" w:rsidRPr="00F543C1" w:rsidRDefault="006B50C6" w:rsidP="006B50C6">
      <w:pPr>
        <w:pStyle w:val="Heading3"/>
      </w:pPr>
      <w:bookmarkStart w:id="207" w:name="_Toc126092130"/>
      <w:r w:rsidRPr="00F543C1">
        <w:t>The judgement</w:t>
      </w:r>
      <w:bookmarkEnd w:id="207"/>
    </w:p>
    <w:p w14:paraId="2246913D" w14:textId="60116681" w:rsidR="006B50C6" w:rsidRPr="00F543C1" w:rsidRDefault="006B50C6" w:rsidP="006B50C6">
      <w:pPr>
        <w:pStyle w:val="USBodyText"/>
      </w:pPr>
      <w:r w:rsidRPr="00F543C1">
        <w:t xml:space="preserve">The ultimate judgement in </w:t>
      </w:r>
      <w:r w:rsidR="007B6BB6" w:rsidRPr="00F543C1">
        <w:t xml:space="preserve">the New Zealand public accountability </w:t>
      </w:r>
      <w:r w:rsidR="00A01C17" w:rsidRPr="00F543C1">
        <w:t xml:space="preserve">system </w:t>
      </w:r>
      <w:r w:rsidR="007B6BB6" w:rsidRPr="00F543C1">
        <w:t xml:space="preserve">is electoral: </w:t>
      </w:r>
      <w:r w:rsidR="00751D61" w:rsidRPr="00F543C1">
        <w:t xml:space="preserve">the Parliament is dissolved every three years and replaced by a new slate of members. </w:t>
      </w:r>
    </w:p>
    <w:p w14:paraId="3AB6EC44" w14:textId="50FE6CE2" w:rsidR="004B5F15" w:rsidRPr="00F543C1" w:rsidRDefault="004B5F15" w:rsidP="006B50C6">
      <w:pPr>
        <w:pStyle w:val="USBodyText"/>
      </w:pPr>
      <w:r w:rsidRPr="00F543C1">
        <w:t xml:space="preserve">However, the incentive for members is </w:t>
      </w:r>
      <w:r w:rsidR="00950CB8" w:rsidRPr="00F543C1">
        <w:t xml:space="preserve">to achieve </w:t>
      </w:r>
      <w:r w:rsidRPr="00F543C1">
        <w:t xml:space="preserve">re-election and </w:t>
      </w:r>
      <w:r w:rsidR="008C2D52" w:rsidRPr="00F543C1">
        <w:t xml:space="preserve">experience shows us that low levels of voter participation, majoritarian-voting and </w:t>
      </w:r>
      <w:r w:rsidR="00A51ABA" w:rsidRPr="00F543C1">
        <w:t xml:space="preserve">weak institutions means </w:t>
      </w:r>
      <w:r w:rsidR="00A51ABA" w:rsidRPr="00F543C1">
        <w:lastRenderedPageBreak/>
        <w:t xml:space="preserve">that </w:t>
      </w:r>
      <w:r w:rsidR="00DF4C5D" w:rsidRPr="00F543C1">
        <w:t xml:space="preserve">the focus of elections is often on capturing </w:t>
      </w:r>
      <w:r w:rsidR="0021575A" w:rsidRPr="00F543C1">
        <w:t>the</w:t>
      </w:r>
      <w:r w:rsidR="00DF4C5D" w:rsidRPr="00F543C1">
        <w:t xml:space="preserve"> ‘</w:t>
      </w:r>
      <w:r w:rsidR="00950CB8" w:rsidRPr="00F543C1">
        <w:t xml:space="preserve">median </w:t>
      </w:r>
      <w:r w:rsidR="00DF4C5D" w:rsidRPr="00F543C1">
        <w:t xml:space="preserve">voters’, few of whom are likely to be experiencing </w:t>
      </w:r>
      <w:r w:rsidR="005067FC" w:rsidRPr="00F543C1">
        <w:t>persistent disadvantage.</w:t>
      </w:r>
      <w:r w:rsidR="00DF4C5D" w:rsidRPr="00F543C1">
        <w:t xml:space="preserve"> </w:t>
      </w:r>
    </w:p>
    <w:p w14:paraId="00F5037A" w14:textId="731DBE47" w:rsidR="00447884" w:rsidRPr="00F543C1" w:rsidRDefault="00152886" w:rsidP="008A6590">
      <w:pPr>
        <w:pStyle w:val="Heading3"/>
      </w:pPr>
      <w:bookmarkStart w:id="208" w:name="_Ref125819705"/>
      <w:bookmarkStart w:id="209" w:name="_Toc126092131"/>
      <w:r w:rsidRPr="00F543C1">
        <w:t>Overall assessment</w:t>
      </w:r>
      <w:bookmarkEnd w:id="208"/>
      <w:bookmarkEnd w:id="209"/>
    </w:p>
    <w:p w14:paraId="75BB3D0C" w14:textId="1B490D44" w:rsidR="00EB5075" w:rsidRPr="00F543C1" w:rsidRDefault="00EB5075" w:rsidP="00356108">
      <w:pPr>
        <w:ind w:left="851"/>
      </w:pPr>
      <w:r w:rsidRPr="00F543C1">
        <w:t xml:space="preserve">Because of </w:t>
      </w:r>
      <w:r w:rsidR="008A6590" w:rsidRPr="00F543C1">
        <w:t>the dominance of the executive over Parliament</w:t>
      </w:r>
      <w:r w:rsidR="007268C8" w:rsidRPr="00F543C1">
        <w:t xml:space="preserve"> and New Zealand’s </w:t>
      </w:r>
      <w:r w:rsidRPr="00F543C1">
        <w:t>we</w:t>
      </w:r>
      <w:r w:rsidR="007268C8" w:rsidRPr="00F543C1">
        <w:t>a</w:t>
      </w:r>
      <w:r w:rsidRPr="00F543C1">
        <w:t xml:space="preserve">k institutions, the public accountability </w:t>
      </w:r>
      <w:r w:rsidR="00950CB8" w:rsidRPr="00F543C1">
        <w:t xml:space="preserve">regime </w:t>
      </w:r>
      <w:r w:rsidRPr="00F543C1">
        <w:t xml:space="preserve">generally fails </w:t>
      </w:r>
      <w:proofErr w:type="spellStart"/>
      <w:r w:rsidRPr="00F543C1">
        <w:t>Bovens</w:t>
      </w:r>
      <w:proofErr w:type="spellEnd"/>
      <w:r w:rsidRPr="00F543C1">
        <w:t xml:space="preserve">’ et al.’s test </w:t>
      </w:r>
      <w:r w:rsidR="008A6590" w:rsidRPr="00F543C1">
        <w:t>regarding democratic accountability</w:t>
      </w:r>
      <w:r w:rsidR="007268C8" w:rsidRPr="00F543C1">
        <w:t xml:space="preserve">. </w:t>
      </w:r>
      <w:r w:rsidR="004D2E42" w:rsidRPr="00F543C1">
        <w:t xml:space="preserve">While there is monitoring of activity, Parliament has limited </w:t>
      </w:r>
      <w:r w:rsidR="00192EBE" w:rsidRPr="00F543C1">
        <w:t xml:space="preserve">ability to </w:t>
      </w:r>
      <w:r w:rsidR="007268C8" w:rsidRPr="00F543C1">
        <w:t xml:space="preserve">induce executive actors to modify </w:t>
      </w:r>
      <w:r w:rsidR="000F6810" w:rsidRPr="00F543C1">
        <w:t>their</w:t>
      </w:r>
      <w:r w:rsidR="007268C8" w:rsidRPr="00F543C1">
        <w:t xml:space="preserve"> behaviour </w:t>
      </w:r>
      <w:r w:rsidR="00192EBE" w:rsidRPr="00F543C1">
        <w:t>to promote overall wellbeing</w:t>
      </w:r>
      <w:r w:rsidR="007268C8" w:rsidRPr="00F543C1">
        <w:t>.</w:t>
      </w:r>
      <w:r w:rsidR="000F6810" w:rsidRPr="00F543C1">
        <w:t xml:space="preserve"> The instances of successive governments agreeing to be held to a high </w:t>
      </w:r>
      <w:r w:rsidR="00950CB8" w:rsidRPr="00F543C1">
        <w:t>standard</w:t>
      </w:r>
      <w:r w:rsidR="000F6810" w:rsidRPr="00F543C1">
        <w:t xml:space="preserve"> of accountability for specified, measurable outcomes, are rare.</w:t>
      </w:r>
    </w:p>
    <w:p w14:paraId="3D90D75C" w14:textId="43D04B34" w:rsidR="00E40C88" w:rsidRPr="00F543C1" w:rsidRDefault="00E40C88" w:rsidP="00356108">
      <w:pPr>
        <w:ind w:left="851"/>
      </w:pPr>
      <w:r w:rsidRPr="00F543C1">
        <w:t xml:space="preserve">New Zealand rates highly </w:t>
      </w:r>
      <w:r w:rsidR="00223ABE" w:rsidRPr="00F543C1">
        <w:t>regarding</w:t>
      </w:r>
      <w:r w:rsidRPr="00F543C1">
        <w:t xml:space="preserve"> perceptions of probity</w:t>
      </w:r>
      <w:r w:rsidR="008A499F" w:rsidRPr="00F543C1">
        <w:t>, and the accountability system is certainly weighted heavily on this dimension. There is, however, evidence of accountability overload, especially when it comes to government-funded NGOs</w:t>
      </w:r>
      <w:r w:rsidR="00B04C0B">
        <w:t xml:space="preserve">, </w:t>
      </w:r>
      <w:r w:rsidR="00C345E4">
        <w:t>who are often subject to mu</w:t>
      </w:r>
      <w:r w:rsidR="00C8220D">
        <w:t xml:space="preserve">ltiple, overlapping accountability and regulatory requirements </w:t>
      </w:r>
      <w:r w:rsidR="00C8220D">
        <w:fldChar w:fldCharType="begin"/>
      </w:r>
      <w:r w:rsidR="009B0EC4">
        <w:instrText xml:space="preserve"> ADDIN ZOTERO_ITEM CSL_CITATION {"citationID":"xh7Cnb3w","properties":{"formattedCitation":"(Barker 2022)","plainCitation":"(Barker 2022)","noteIndex":0},"citationItems":[{"id":16851,"uris":["http://zotero.org/groups/4801058/items/ASBBLZJZ"],"itemData":{"id":16851,"type":"report","event-place":"Wellington","publisher":"New Zealand Law Foundation Te Manatū a Ture o Aotearoa","publisher-place":"Wellington","title":"Focus on purpose – What Does a World-Leading Framework of Charities Law Look Like?","author":[{"family":"Barker","given":"Susan"}],"issued":{"date-parts":[["2022"]]}}}],"schema":"https://github.com/citation-style-language/schema/raw/master/csl-citation.json"} </w:instrText>
      </w:r>
      <w:r w:rsidR="00C8220D">
        <w:fldChar w:fldCharType="separate"/>
      </w:r>
      <w:r w:rsidR="00C8220D" w:rsidRPr="00C8220D">
        <w:rPr>
          <w:rFonts w:cs="Calibri"/>
        </w:rPr>
        <w:t>(Barker 2022)</w:t>
      </w:r>
      <w:r w:rsidR="00C8220D">
        <w:fldChar w:fldCharType="end"/>
      </w:r>
      <w:r w:rsidR="00C8220D">
        <w:t xml:space="preserve">.  </w:t>
      </w:r>
    </w:p>
    <w:p w14:paraId="0D927E39" w14:textId="7770DE4B" w:rsidR="008A499F" w:rsidRPr="00F543C1" w:rsidRDefault="008A499F" w:rsidP="00356108">
      <w:pPr>
        <w:ind w:left="851"/>
      </w:pPr>
      <w:r w:rsidRPr="00F543C1">
        <w:t xml:space="preserve">Finally, there is little focus on learning in our accountability system, with scapegoating and blame-shifting being rife. </w:t>
      </w:r>
    </w:p>
    <w:p w14:paraId="17E435A6" w14:textId="77777777" w:rsidR="0095715B" w:rsidRPr="00F543C1" w:rsidRDefault="0095715B" w:rsidP="0095715B">
      <w:pPr>
        <w:ind w:left="851"/>
      </w:pPr>
      <w:r w:rsidRPr="00F543C1">
        <w:t xml:space="preserve">As Sir Peter </w:t>
      </w:r>
      <w:proofErr w:type="spellStart"/>
      <w:r w:rsidRPr="00F543C1">
        <w:t>Gluckman</w:t>
      </w:r>
      <w:proofErr w:type="spellEnd"/>
      <w:r w:rsidRPr="00F543C1">
        <w:t xml:space="preserve"> recently observed:</w:t>
      </w:r>
    </w:p>
    <w:p w14:paraId="28EAD7A1" w14:textId="77777777" w:rsidR="0095715B" w:rsidRPr="00F543C1" w:rsidRDefault="0095715B" w:rsidP="0095715B">
      <w:pPr>
        <w:pStyle w:val="Quotation"/>
        <w:rPr>
          <w:lang w:eastAsia="en-NZ"/>
        </w:rPr>
      </w:pPr>
      <w:r w:rsidRPr="00F543C1">
        <w:rPr>
          <w:lang w:eastAsia="en-NZ"/>
        </w:rPr>
        <w:t>Our select-committee process is limp compared with other parliamentary systems, and partisan predictability is much more common than any drive for accountability. Further, the controlling party can and does block appropriate requests to support accountability from the minority at select committees. The lack of an upper house, which in some parliamentary democracies has a strong and independent revisory and evaluative role, makes New Zealand quite distinctive.</w:t>
      </w:r>
    </w:p>
    <w:p w14:paraId="545F096A" w14:textId="77777777" w:rsidR="0095715B" w:rsidRPr="00F543C1" w:rsidRDefault="0095715B" w:rsidP="0095715B">
      <w:pPr>
        <w:pStyle w:val="Quotation"/>
        <w:rPr>
          <w:lang w:eastAsia="en-NZ"/>
        </w:rPr>
      </w:pPr>
      <w:r w:rsidRPr="00F543C1">
        <w:rPr>
          <w:lang w:eastAsia="en-NZ"/>
        </w:rPr>
        <w:t>The small size of our Parliament means backbenchers cannot afford to offend their party hierarchy for fear of crimping their prospects. And in contrast to some parliaments, our party whips are adept at silencing in the House the diverse views hopefully heard in the caucus room.</w:t>
      </w:r>
    </w:p>
    <w:p w14:paraId="5CF8FDC0" w14:textId="77777777" w:rsidR="0095715B" w:rsidRPr="00F543C1" w:rsidRDefault="0095715B" w:rsidP="0095715B">
      <w:pPr>
        <w:pStyle w:val="Quotation"/>
        <w:rPr>
          <w:lang w:eastAsia="en-NZ"/>
        </w:rPr>
      </w:pPr>
      <w:r w:rsidRPr="00F543C1">
        <w:rPr>
          <w:lang w:eastAsia="en-NZ"/>
        </w:rPr>
        <w:t>This means the outcome of virtually all legislative process is predetermined and little negotiation takes place except at the technical margins, especially if there has been no prior stakeholder engagement. Today, such consultation is often abbreviated and tokenistic even when the matter is crucial.</w:t>
      </w:r>
    </w:p>
    <w:p w14:paraId="572B8B36" w14:textId="77777777" w:rsidR="0095715B" w:rsidRPr="00F543C1" w:rsidRDefault="0095715B" w:rsidP="0095715B">
      <w:pPr>
        <w:pStyle w:val="Quotation"/>
        <w:rPr>
          <w:lang w:eastAsia="en-NZ"/>
        </w:rPr>
      </w:pPr>
      <w:r w:rsidRPr="00F543C1">
        <w:rPr>
          <w:lang w:eastAsia="en-NZ"/>
        </w:rPr>
        <w:t>The use of green and white papers to signal strategic directions before legislation is developed is largely missing despite their value in complex policy formulation.</w:t>
      </w:r>
    </w:p>
    <w:p w14:paraId="3C887600" w14:textId="4B57F5CD" w:rsidR="0095715B" w:rsidRPr="00726346" w:rsidRDefault="0095715B" w:rsidP="0095715B">
      <w:pPr>
        <w:pStyle w:val="Quotation"/>
        <w:rPr>
          <w:i w:val="0"/>
          <w:iCs/>
          <w:lang w:eastAsia="en-NZ"/>
        </w:rPr>
      </w:pPr>
      <w:r w:rsidRPr="00F543C1">
        <w:rPr>
          <w:lang w:eastAsia="en-NZ"/>
        </w:rPr>
        <w:t>The net effect is that we elect a strong Cabinet every three years that has enormous authority and little accountability beyond the electoral cycle, parliamentary processes remain weak, and the fourth estate is increasingly compromised by pressures of platform and social-media-based advertising. All this serves to weaken our democracy</w:t>
      </w:r>
      <w:r w:rsidR="006D1A02" w:rsidRPr="00F543C1">
        <w:rPr>
          <w:lang w:eastAsia="en-NZ"/>
        </w:rPr>
        <w:t>.</w:t>
      </w:r>
      <w:r w:rsidRPr="00F543C1">
        <w:rPr>
          <w:lang w:eastAsia="en-NZ"/>
        </w:rPr>
        <w:t xml:space="preserve"> </w:t>
      </w:r>
      <w:r w:rsidRPr="00F543C1">
        <w:rPr>
          <w:i w:val="0"/>
          <w:iCs/>
          <w:lang w:eastAsia="en-NZ"/>
        </w:rPr>
        <w:fldChar w:fldCharType="begin"/>
      </w:r>
      <w:r w:rsidR="009B0EC4">
        <w:rPr>
          <w:i w:val="0"/>
          <w:iCs/>
          <w:lang w:eastAsia="en-NZ"/>
        </w:rPr>
        <w:instrText xml:space="preserve"> ADDIN ZOTERO_ITEM CSL_CITATION {"citationID":"aFn3sVnE","properties":{"formattedCitation":"(Gluckman 2022)","plainCitation":"(Gluckman 2022)","noteIndex":0},"citationItems":[{"id":18509,"uris":["http://zotero.org/groups/4801058/items/U6YZHLJH"],"itemData":{"id":18509,"type":"post-weblog","abstract":"Sir Peter Gluckman Director, Koi Tū: The Centre for Informed Futures A few weeks ago, a parliamentary select committee considered a bill that will merge RNZ and TVNZ. This development serves as a reminder that the fourth estate is a … Read More","container-title":"Insights &amp; Opinion Koi Tū: The Centre for Informed Futures","language":"en","title":"Deepening our democracy","URL":"https://informedfutures.org/deepening-our-democracy/","author":[{"family":"Gluckman","given":"Peter"}],"accessed":{"date-parts":[["2023",1,18]]},"issued":{"date-parts":[["2022",11,6]]}}}],"schema":"https://github.com/citation-style-language/schema/raw/master/csl-citation.json"} </w:instrText>
      </w:r>
      <w:r w:rsidRPr="00F543C1">
        <w:rPr>
          <w:i w:val="0"/>
          <w:iCs/>
          <w:lang w:eastAsia="en-NZ"/>
        </w:rPr>
        <w:fldChar w:fldCharType="separate"/>
      </w:r>
      <w:r w:rsidRPr="00F543C1">
        <w:rPr>
          <w:rFonts w:cs="Calibri"/>
          <w:i w:val="0"/>
          <w:iCs/>
        </w:rPr>
        <w:t>(Gluckman 2022)</w:t>
      </w:r>
      <w:r w:rsidRPr="00F543C1">
        <w:rPr>
          <w:i w:val="0"/>
          <w:iCs/>
          <w:lang w:eastAsia="en-NZ"/>
        </w:rPr>
        <w:fldChar w:fldCharType="end"/>
      </w:r>
    </w:p>
    <w:p w14:paraId="1F50A62A" w14:textId="354B1460" w:rsidR="00356108" w:rsidRDefault="0095715B" w:rsidP="00AC5FD0">
      <w:pPr>
        <w:pStyle w:val="USBodyText"/>
      </w:pPr>
      <w:r w:rsidRPr="00F543C1">
        <w:t xml:space="preserve">This is a </w:t>
      </w:r>
      <w:r w:rsidR="00223ABE" w:rsidRPr="00F543C1">
        <w:t>near-</w:t>
      </w:r>
      <w:r w:rsidRPr="00F543C1">
        <w:t>perfect description of what is wrong with the current system.</w:t>
      </w:r>
    </w:p>
    <w:p w14:paraId="1C59758D" w14:textId="59BF045A" w:rsidR="00932EDF" w:rsidRDefault="00932EDF" w:rsidP="00AC5FD0">
      <w:pPr>
        <w:pStyle w:val="USBodyText"/>
      </w:pPr>
      <w:r>
        <w:t>The specific areas where our assessment suggests there are clear deficiencies in our system</w:t>
      </w:r>
      <w:r w:rsidR="00D51D93">
        <w:t xml:space="preserve"> that perpetuat</w:t>
      </w:r>
      <w:r w:rsidR="00CA6B2F">
        <w:t>e disadvantage</w:t>
      </w:r>
      <w:r>
        <w:t xml:space="preserve"> are:</w:t>
      </w:r>
    </w:p>
    <w:p w14:paraId="640D901C" w14:textId="6F9DD389" w:rsidR="00932EDF" w:rsidRPr="00F543C1" w:rsidRDefault="00932EDF" w:rsidP="00932EDF">
      <w:pPr>
        <w:spacing w:before="60" w:after="60" w:line="220" w:lineRule="atLeast"/>
        <w:rPr>
          <w:sz w:val="18"/>
        </w:rPr>
      </w:pPr>
    </w:p>
    <w:p w14:paraId="775E6DC4" w14:textId="1EADDB1A" w:rsidR="00932EDF" w:rsidRPr="00F543C1" w:rsidRDefault="00932EDF" w:rsidP="0010306D">
      <w:pPr>
        <w:pStyle w:val="USBullet1"/>
      </w:pPr>
      <w:r>
        <w:t>A f</w:t>
      </w:r>
      <w:r w:rsidRPr="00F543C1">
        <w:t xml:space="preserve">ailure to honour </w:t>
      </w:r>
      <w:proofErr w:type="spellStart"/>
      <w:r w:rsidRPr="00F543C1">
        <w:t>Te</w:t>
      </w:r>
      <w:proofErr w:type="spellEnd"/>
      <w:r w:rsidRPr="00F543C1">
        <w:t xml:space="preserve"> </w:t>
      </w:r>
      <w:proofErr w:type="spellStart"/>
      <w:r w:rsidRPr="00F543C1">
        <w:t>Tiriti</w:t>
      </w:r>
      <w:proofErr w:type="spellEnd"/>
      <w:r w:rsidRPr="00F543C1">
        <w:t xml:space="preserve"> o Waitangi</w:t>
      </w:r>
      <w:r w:rsidR="00CA6B2F">
        <w:t>.</w:t>
      </w:r>
    </w:p>
    <w:p w14:paraId="2D7D725A" w14:textId="38D814B0" w:rsidR="00932EDF" w:rsidRPr="00F543C1" w:rsidRDefault="00932EDF" w:rsidP="00932EDF">
      <w:pPr>
        <w:pStyle w:val="USBullet1"/>
      </w:pPr>
      <w:r w:rsidRPr="00F543C1">
        <w:t xml:space="preserve">Systemic racism, sexism, </w:t>
      </w:r>
      <w:proofErr w:type="gramStart"/>
      <w:r w:rsidRPr="00F543C1">
        <w:t>ableism</w:t>
      </w:r>
      <w:proofErr w:type="gramEnd"/>
      <w:r w:rsidRPr="00F543C1">
        <w:t xml:space="preserve"> and discrimination</w:t>
      </w:r>
      <w:r>
        <w:t xml:space="preserve"> goes unchecked</w:t>
      </w:r>
      <w:r w:rsidRPr="00F543C1">
        <w:t>.</w:t>
      </w:r>
    </w:p>
    <w:p w14:paraId="66734E5C" w14:textId="4F3544A9" w:rsidR="00932EDF" w:rsidRDefault="00932EDF">
      <w:pPr>
        <w:pStyle w:val="USBullet1"/>
      </w:pPr>
      <w:r w:rsidRPr="00F543C1">
        <w:t xml:space="preserve">Governments </w:t>
      </w:r>
      <w:r>
        <w:t xml:space="preserve">are not bound by any accountability mechanism </w:t>
      </w:r>
      <w:r w:rsidRPr="00F543C1">
        <w:t>to effectively address persistent disadvantage.</w:t>
      </w:r>
    </w:p>
    <w:p w14:paraId="567E285E" w14:textId="5A354FED" w:rsidR="000722F7" w:rsidRPr="00F543C1" w:rsidRDefault="000722F7" w:rsidP="0010306D">
      <w:pPr>
        <w:pStyle w:val="USBullet1"/>
      </w:pPr>
      <w:r>
        <w:t xml:space="preserve">Services are based on the government’s assessment of what is required, </w:t>
      </w:r>
      <w:r w:rsidR="00203112">
        <w:t>not the needs of people experiencing persistent disadvantage.</w:t>
      </w:r>
      <w:r w:rsidR="00C532F6">
        <w:t xml:space="preserve"> </w:t>
      </w:r>
    </w:p>
    <w:p w14:paraId="54FCBB73" w14:textId="56D23109" w:rsidR="00C532F6" w:rsidRPr="00F543C1" w:rsidRDefault="00C532F6" w:rsidP="00C532F6">
      <w:pPr>
        <w:pStyle w:val="USBullet1"/>
      </w:pPr>
      <w:r>
        <w:t>N</w:t>
      </w:r>
      <w:r w:rsidRPr="00F543C1">
        <w:t xml:space="preserve">eeds </w:t>
      </w:r>
      <w:r>
        <w:t>remain unaddress</w:t>
      </w:r>
      <w:r w:rsidRPr="00F543C1">
        <w:t>ed</w:t>
      </w:r>
      <w:r>
        <w:t xml:space="preserve"> </w:t>
      </w:r>
      <w:r w:rsidR="007D62DA">
        <w:t>– and often unsurfaced.</w:t>
      </w:r>
    </w:p>
    <w:p w14:paraId="709202D9" w14:textId="12D8A180" w:rsidR="00932EDF" w:rsidRPr="00F543C1" w:rsidRDefault="00932EDF" w:rsidP="0010306D">
      <w:pPr>
        <w:pStyle w:val="USBullet1"/>
      </w:pPr>
      <w:r>
        <w:t>There is little ongoing analysis of whether existing progra</w:t>
      </w:r>
      <w:r w:rsidR="007D62DA">
        <w:t>m</w:t>
      </w:r>
      <w:r>
        <w:t>m</w:t>
      </w:r>
      <w:r w:rsidR="007D62DA">
        <w:t>e</w:t>
      </w:r>
      <w:r>
        <w:t xml:space="preserve">s provide </w:t>
      </w:r>
      <w:r w:rsidRPr="00F543C1">
        <w:t>value for money</w:t>
      </w:r>
      <w:r w:rsidR="00CA6B2F">
        <w:t>.</w:t>
      </w:r>
    </w:p>
    <w:p w14:paraId="2C844076" w14:textId="779FFCED" w:rsidR="00932EDF" w:rsidRPr="00F543C1" w:rsidRDefault="00932EDF" w:rsidP="0010306D">
      <w:pPr>
        <w:pStyle w:val="USBullet1"/>
      </w:pPr>
      <w:r w:rsidRPr="00F543C1">
        <w:t>Poor performance</w:t>
      </w:r>
      <w:r>
        <w:t xml:space="preserve"> at all levels is allowed to continue with few consequences</w:t>
      </w:r>
      <w:r w:rsidR="00CA6B2F">
        <w:t>.</w:t>
      </w:r>
    </w:p>
    <w:p w14:paraId="68A9ABA2" w14:textId="7664F653" w:rsidR="00932EDF" w:rsidRPr="00F543C1" w:rsidRDefault="00932EDF" w:rsidP="0010306D">
      <w:pPr>
        <w:pStyle w:val="USBullet1"/>
      </w:pPr>
      <w:r>
        <w:t xml:space="preserve">There is limited focus on </w:t>
      </w:r>
      <w:r w:rsidRPr="00F543C1">
        <w:t>system</w:t>
      </w:r>
      <w:r>
        <w:t xml:space="preserve"> improvement </w:t>
      </w:r>
      <w:r w:rsidRPr="00F543C1">
        <w:t>across the whole sector</w:t>
      </w:r>
      <w:r w:rsidR="00CA6B2F">
        <w:t>.</w:t>
      </w:r>
    </w:p>
    <w:p w14:paraId="6FD10076" w14:textId="650AC4DF" w:rsidR="00932EDF" w:rsidRPr="00F543C1" w:rsidRDefault="00932EDF" w:rsidP="0010306D">
      <w:pPr>
        <w:pStyle w:val="USBullet1"/>
      </w:pPr>
      <w:r>
        <w:t xml:space="preserve">Efforts to prevent </w:t>
      </w:r>
      <w:r w:rsidRPr="00F543C1">
        <w:t>waste, fraud, and abuse</w:t>
      </w:r>
      <w:r>
        <w:t xml:space="preserve"> are disproportionate to risks</w:t>
      </w:r>
      <w:r w:rsidR="00CA6B2F">
        <w:t>.</w:t>
      </w:r>
      <w:r w:rsidRPr="00F543C1">
        <w:t xml:space="preserve"> </w:t>
      </w:r>
    </w:p>
    <w:p w14:paraId="08548EBE" w14:textId="77B03046" w:rsidR="00041E30" w:rsidRPr="00041E30" w:rsidRDefault="007D62DA" w:rsidP="00265052">
      <w:pPr>
        <w:pStyle w:val="USBullet1"/>
      </w:pPr>
      <w:r>
        <w:t xml:space="preserve">The primary </w:t>
      </w:r>
      <w:r w:rsidR="007C60B6">
        <w:t>loyalty</w:t>
      </w:r>
      <w:r>
        <w:t xml:space="preserve"> of front-line staff</w:t>
      </w:r>
      <w:r w:rsidR="007C60B6">
        <w:t xml:space="preserve"> is often to their program</w:t>
      </w:r>
      <w:r>
        <w:t>me</w:t>
      </w:r>
      <w:r w:rsidR="007C60B6">
        <w:t xml:space="preserve"> and </w:t>
      </w:r>
      <w:proofErr w:type="gramStart"/>
      <w:r w:rsidR="007C60B6">
        <w:t>employer</w:t>
      </w:r>
      <w:proofErr w:type="gramEnd"/>
      <w:r w:rsidR="007C60B6">
        <w:t xml:space="preserve"> and they have few available avenues to work across providers or program</w:t>
      </w:r>
      <w:r>
        <w:t>me</w:t>
      </w:r>
      <w:r w:rsidR="007C60B6">
        <w:t>s</w:t>
      </w:r>
      <w:r>
        <w:t>.</w:t>
      </w:r>
    </w:p>
    <w:p w14:paraId="28C4E53B" w14:textId="77777777" w:rsidR="00401A7F" w:rsidRPr="00F543C1" w:rsidRDefault="00401A7F" w:rsidP="00401A7F">
      <w:pPr>
        <w:pStyle w:val="Heading2"/>
      </w:pPr>
      <w:bookmarkStart w:id="210" w:name="_Toc125023236"/>
      <w:bookmarkStart w:id="211" w:name="_Toc126092132"/>
      <w:bookmarkStart w:id="212" w:name="_Toc126841219"/>
      <w:bookmarkEnd w:id="186"/>
      <w:r w:rsidRPr="00F543C1">
        <w:t>Pseudo accountability</w:t>
      </w:r>
      <w:bookmarkEnd w:id="210"/>
      <w:bookmarkEnd w:id="211"/>
      <w:bookmarkEnd w:id="212"/>
    </w:p>
    <w:p w14:paraId="249ADED4" w14:textId="0A9DA4EF" w:rsidR="00401A7F" w:rsidRDefault="00401A7F" w:rsidP="00401A7F">
      <w:pPr>
        <w:ind w:left="851"/>
      </w:pPr>
      <w:r w:rsidRPr="00F543C1">
        <w:t xml:space="preserve">While appearing robust – at least in terms of the quantity of reporting produced each year – what matters for effective accountability is substance, not form. The production of reports that might look like they comply with complex requirements can give the appearance of accountability which, in practice, is lacking. </w:t>
      </w:r>
    </w:p>
    <w:p w14:paraId="3DF5EDA4" w14:textId="0E46B368" w:rsidR="00401A7F" w:rsidRPr="00F543C1" w:rsidRDefault="00401A7F" w:rsidP="00401A7F">
      <w:pPr>
        <w:ind w:left="851"/>
      </w:pPr>
      <w:r w:rsidRPr="00F543C1">
        <w:t>Pseudo accountability – where what appears on the surface to provide robust accountability turns out on closer examination to be a veneer or mirage – is unfortunately all too common</w:t>
      </w:r>
      <w:r w:rsidR="00DE2AEB">
        <w:t xml:space="preserve"> in Aotearoa</w:t>
      </w:r>
      <w:r w:rsidRPr="00F543C1">
        <w:t>.</w:t>
      </w:r>
      <w:r w:rsidR="000F047D">
        <w:t xml:space="preserve"> </w:t>
      </w:r>
      <w:r w:rsidRPr="00F543C1">
        <w:t xml:space="preserve"> </w:t>
      </w:r>
      <w:r w:rsidR="007F738A">
        <w:fldChar w:fldCharType="begin"/>
      </w:r>
      <w:r w:rsidR="007F738A">
        <w:instrText xml:space="preserve"> REF Box7 \r \h </w:instrText>
      </w:r>
      <w:r w:rsidR="007F738A">
        <w:fldChar w:fldCharType="separate"/>
      </w:r>
      <w:r w:rsidR="00E06351">
        <w:t>Box 6</w:t>
      </w:r>
      <w:r w:rsidR="007F738A">
        <w:fldChar w:fldCharType="end"/>
      </w:r>
      <w:r w:rsidR="009C72FC">
        <w:t xml:space="preserve"> </w:t>
      </w:r>
      <w:r w:rsidRPr="00F543C1">
        <w:t xml:space="preserve">examines this issue in the specific context of addressing personal and structural racism in schools. </w:t>
      </w:r>
    </w:p>
    <w:tbl>
      <w:tblPr>
        <w:tblStyle w:val="TableDefault"/>
        <w:tblW w:w="0" w:type="auto"/>
        <w:tblBorders>
          <w:top w:val="none" w:sz="0" w:space="0" w:color="auto"/>
          <w:bottom w:val="none" w:sz="0" w:space="0" w:color="auto"/>
          <w:insideH w:val="none" w:sz="0" w:space="0" w:color="auto"/>
        </w:tblBorders>
        <w:shd w:val="clear" w:color="auto" w:fill="C0EFFF" w:themeFill="accent1" w:themeFillTint="33"/>
        <w:tblLook w:val="04A0" w:firstRow="1" w:lastRow="0" w:firstColumn="1" w:lastColumn="0" w:noHBand="0" w:noVBand="1"/>
      </w:tblPr>
      <w:tblGrid>
        <w:gridCol w:w="7937"/>
      </w:tblGrid>
      <w:tr w:rsidR="00CC3178" w:rsidRPr="00F543C1" w14:paraId="707C9209" w14:textId="77777777" w:rsidTr="001C481D">
        <w:trPr>
          <w:cnfStyle w:val="100000000000" w:firstRow="1" w:lastRow="0" w:firstColumn="0" w:lastColumn="0" w:oddVBand="0" w:evenVBand="0" w:oddHBand="0" w:evenHBand="0" w:firstRowFirstColumn="0" w:firstRowLastColumn="0" w:lastRowFirstColumn="0" w:lastRowLastColumn="0"/>
        </w:trPr>
        <w:tc>
          <w:tcPr>
            <w:tcW w:w="7937" w:type="dxa"/>
            <w:shd w:val="clear" w:color="auto" w:fill="C0EFFF" w:themeFill="accent1" w:themeFillTint="33"/>
          </w:tcPr>
          <w:p w14:paraId="58F13D25" w14:textId="086EDD46" w:rsidR="00CC3178" w:rsidRPr="00C63FD8" w:rsidRDefault="00CC3178" w:rsidP="00C63FD8">
            <w:pPr>
              <w:pStyle w:val="Box2"/>
            </w:pPr>
            <w:bookmarkStart w:id="213" w:name="_Toc126092157"/>
            <w:bookmarkStart w:id="214" w:name="_Toc126841257"/>
            <w:bookmarkStart w:id="215" w:name="Box7"/>
            <w:r w:rsidRPr="00C63FD8">
              <w:lastRenderedPageBreak/>
              <w:t>Structural racism and the mirage of accountability in schools</w:t>
            </w:r>
            <w:bookmarkEnd w:id="213"/>
            <w:bookmarkEnd w:id="214"/>
          </w:p>
          <w:bookmarkEnd w:id="215"/>
          <w:p w14:paraId="39C3AA3B" w14:textId="77777777" w:rsidR="00CC3178" w:rsidRPr="00852078" w:rsidRDefault="00CC3178" w:rsidP="00852078">
            <w:pPr>
              <w:spacing w:line="240" w:lineRule="auto"/>
              <w:ind w:left="33"/>
              <w:rPr>
                <w:sz w:val="18"/>
                <w:szCs w:val="18"/>
              </w:rPr>
            </w:pPr>
            <w:r w:rsidRPr="00852078">
              <w:rPr>
                <w:sz w:val="18"/>
                <w:szCs w:val="18"/>
              </w:rPr>
              <w:t xml:space="preserve">New Zealand schools have elected boards that are supposed to reflect parents’ priorities, yet some schools are routinely failing families, whānau and aiga experiencing persistent disadvantage. </w:t>
            </w:r>
          </w:p>
          <w:p w14:paraId="22666197" w14:textId="1F8F4AB9" w:rsidR="00CC3178" w:rsidRPr="00852078" w:rsidRDefault="0059480E" w:rsidP="00852078">
            <w:pPr>
              <w:spacing w:line="240" w:lineRule="auto"/>
              <w:ind w:left="33"/>
              <w:rPr>
                <w:sz w:val="18"/>
                <w:szCs w:val="18"/>
              </w:rPr>
            </w:pPr>
            <w:r w:rsidRPr="00852078">
              <w:rPr>
                <w:sz w:val="18"/>
                <w:szCs w:val="18"/>
              </w:rPr>
              <w:t xml:space="preserve">For example, </w:t>
            </w:r>
            <w:r w:rsidR="00CC3178" w:rsidRPr="00852078">
              <w:rPr>
                <w:sz w:val="18"/>
                <w:szCs w:val="18"/>
              </w:rPr>
              <w:t xml:space="preserve">I Have A Dream NZ, a programme that supports young people </w:t>
            </w:r>
            <w:r w:rsidR="00475A54" w:rsidRPr="00852078">
              <w:rPr>
                <w:sz w:val="18"/>
                <w:szCs w:val="18"/>
              </w:rPr>
              <w:t>by providing</w:t>
            </w:r>
            <w:r w:rsidR="00CC3178" w:rsidRPr="00852078">
              <w:rPr>
                <w:sz w:val="18"/>
                <w:szCs w:val="18"/>
              </w:rPr>
              <w:t xml:space="preserve"> navigators and mentoring assistance has documented multiple instances of personal racism and discrimination experienced by Māori and Pacific students </w:t>
            </w:r>
            <w:r w:rsidR="00CC3178" w:rsidRPr="00852078">
              <w:rPr>
                <w:sz w:val="18"/>
                <w:szCs w:val="18"/>
              </w:rPr>
              <w:fldChar w:fldCharType="begin"/>
            </w:r>
            <w:r w:rsidR="009B0EC4">
              <w:rPr>
                <w:sz w:val="18"/>
                <w:szCs w:val="18"/>
              </w:rPr>
              <w:instrText xml:space="preserve"> ADDIN ZOTERO_ITEM CSL_CITATION {"citationID":"a2hccbdm2b5","properties":{"formattedCitation":"(I Have A Dream Charitable Trust 2012)","plainCitation":"(I Have A Dream Charitable Trust 2012)","noteIndex":0},"citationItems":[{"id":17091,"uris":["http://zotero.org/groups/4801058/items/I6H63U5I"],"itemData":{"id":17091,"type":"report","title":"Managing students INTO school rather than OUT: developing strong pathways to tertiary education and employment","author":[{"family":"I Have A Dream Charitable Trust","given":""}],"issued":{"date-parts":[["2012",5]]}}}],"schema":"https://github.com/citation-style-language/schema/raw/master/csl-citation.json"} </w:instrText>
            </w:r>
            <w:r w:rsidR="00CC3178" w:rsidRPr="00852078">
              <w:rPr>
                <w:sz w:val="18"/>
                <w:szCs w:val="18"/>
              </w:rPr>
              <w:fldChar w:fldCharType="separate"/>
            </w:r>
            <w:r w:rsidR="00CC3178" w:rsidRPr="00852078">
              <w:rPr>
                <w:rFonts w:cs="Calibri"/>
                <w:sz w:val="18"/>
                <w:szCs w:val="20"/>
              </w:rPr>
              <w:t>(I Have A Dream Charitable Trust 2012)</w:t>
            </w:r>
            <w:r w:rsidR="00CC3178" w:rsidRPr="00852078">
              <w:rPr>
                <w:sz w:val="18"/>
                <w:szCs w:val="18"/>
              </w:rPr>
              <w:fldChar w:fldCharType="end"/>
            </w:r>
            <w:r w:rsidR="00CC3178" w:rsidRPr="00852078">
              <w:rPr>
                <w:sz w:val="18"/>
                <w:szCs w:val="18"/>
              </w:rPr>
              <w:t>. Ten years later, an evaluator who reported on the effectiveness of the programme recalled the following</w:t>
            </w:r>
            <w:r w:rsidR="00CC3178" w:rsidRPr="00852078">
              <w:rPr>
                <w:b/>
                <w:bCs/>
                <w:sz w:val="18"/>
                <w:szCs w:val="18"/>
              </w:rPr>
              <w:t xml:space="preserve"> </w:t>
            </w:r>
            <w:r w:rsidR="00CC3178" w:rsidRPr="00852078">
              <w:rPr>
                <w:sz w:val="18"/>
                <w:szCs w:val="18"/>
              </w:rPr>
              <w:t>examples:</w:t>
            </w:r>
          </w:p>
          <w:p w14:paraId="4CBAB49F" w14:textId="4056AA23" w:rsidR="00CC3178" w:rsidRPr="00852078" w:rsidRDefault="00CC3178" w:rsidP="00852078">
            <w:pPr>
              <w:pStyle w:val="USBullet1"/>
              <w:tabs>
                <w:tab w:val="clear" w:pos="1235"/>
              </w:tabs>
              <w:spacing w:line="240" w:lineRule="auto"/>
              <w:ind w:left="458"/>
              <w:rPr>
                <w:sz w:val="18"/>
                <w:szCs w:val="18"/>
              </w:rPr>
            </w:pPr>
            <w:r w:rsidRPr="00852078">
              <w:rPr>
                <w:sz w:val="18"/>
                <w:szCs w:val="18"/>
              </w:rPr>
              <w:t xml:space="preserve">a school that refused to enrol qualified Māori and Pacific students in university-track courses. One student who was refused entry to Year 12 subjects relocated to another school where she gained university </w:t>
            </w:r>
            <w:proofErr w:type="gramStart"/>
            <w:r w:rsidRPr="00852078">
              <w:rPr>
                <w:sz w:val="18"/>
                <w:szCs w:val="18"/>
              </w:rPr>
              <w:t>entrance</w:t>
            </w:r>
            <w:proofErr w:type="gramEnd"/>
          </w:p>
          <w:p w14:paraId="31B01EA4" w14:textId="77777777" w:rsidR="00CC3178" w:rsidRPr="00852078" w:rsidRDefault="00CC3178" w:rsidP="00852078">
            <w:pPr>
              <w:pStyle w:val="USBullet1"/>
              <w:tabs>
                <w:tab w:val="clear" w:pos="1235"/>
              </w:tabs>
              <w:spacing w:line="240" w:lineRule="auto"/>
              <w:ind w:left="458"/>
              <w:rPr>
                <w:sz w:val="18"/>
                <w:szCs w:val="18"/>
              </w:rPr>
            </w:pPr>
            <w:r w:rsidRPr="00852078">
              <w:rPr>
                <w:sz w:val="18"/>
                <w:szCs w:val="18"/>
              </w:rPr>
              <w:t>teachers questioning a Pacific Island student’s presence in a Physics class; and</w:t>
            </w:r>
          </w:p>
          <w:p w14:paraId="4C943C1D" w14:textId="41AA4DC0" w:rsidR="00CC3178" w:rsidRPr="00852078" w:rsidRDefault="00CC3178" w:rsidP="00852078">
            <w:pPr>
              <w:pStyle w:val="USBullet1"/>
              <w:tabs>
                <w:tab w:val="clear" w:pos="1235"/>
              </w:tabs>
              <w:spacing w:line="240" w:lineRule="auto"/>
              <w:ind w:left="458"/>
              <w:rPr>
                <w:sz w:val="18"/>
                <w:szCs w:val="18"/>
              </w:rPr>
            </w:pPr>
            <w:r w:rsidRPr="00852078">
              <w:rPr>
                <w:sz w:val="18"/>
                <w:szCs w:val="18"/>
              </w:rPr>
              <w:t>students experiencing stereotyped career expectations, such as being told he would be a rubbish man.</w:t>
            </w:r>
            <w:r w:rsidRPr="009006D7">
              <w:rPr>
                <w:rStyle w:val="FootnoteReference"/>
              </w:rPr>
              <w:footnoteReference w:id="174"/>
            </w:r>
          </w:p>
          <w:p w14:paraId="6DD309C3" w14:textId="77777777" w:rsidR="00CC3178" w:rsidRPr="00852078" w:rsidRDefault="00CC3178" w:rsidP="00852078">
            <w:pPr>
              <w:spacing w:line="240" w:lineRule="auto"/>
              <w:ind w:left="33"/>
              <w:rPr>
                <w:sz w:val="18"/>
                <w:szCs w:val="18"/>
              </w:rPr>
            </w:pPr>
            <w:r w:rsidRPr="00852078">
              <w:rPr>
                <w:sz w:val="18"/>
                <w:szCs w:val="18"/>
              </w:rPr>
              <w:t xml:space="preserve">An apparently sensible and complex accountability structure ultimately provides little more than window dressing when the reality of who has the confidence, power, </w:t>
            </w:r>
            <w:proofErr w:type="gramStart"/>
            <w:r w:rsidRPr="00852078">
              <w:rPr>
                <w:sz w:val="18"/>
                <w:szCs w:val="18"/>
              </w:rPr>
              <w:t>resources</w:t>
            </w:r>
            <w:proofErr w:type="gramEnd"/>
            <w:r w:rsidRPr="00852078">
              <w:rPr>
                <w:sz w:val="18"/>
                <w:szCs w:val="18"/>
              </w:rPr>
              <w:t xml:space="preserve"> and time to represent the interests of their children is not factored into the design and operation of the process. </w:t>
            </w:r>
          </w:p>
          <w:p w14:paraId="745F4252" w14:textId="79000F7F" w:rsidR="00274A55" w:rsidRPr="00852078" w:rsidRDefault="00CC3178" w:rsidP="00852078">
            <w:pPr>
              <w:spacing w:line="240" w:lineRule="auto"/>
              <w:ind w:left="33"/>
              <w:rPr>
                <w:sz w:val="18"/>
                <w:szCs w:val="18"/>
              </w:rPr>
            </w:pPr>
            <w:r w:rsidRPr="00852078">
              <w:rPr>
                <w:sz w:val="18"/>
                <w:szCs w:val="18"/>
              </w:rPr>
              <w:t>Many Māori and Pacific parents are active in school governance. But parents who have themselves had negative schooling experiences, or who work in one or more jobs that do not allow them to consistently attend board meetings (for example, because they involve shift work, low pay, or at-will terms and conditions), or who face transport challenges or have other family commitments (church, sport, caregiving) are less likely to participate in school governance. It is these very people whose voices must be heard and acted upon to change the system.</w:t>
            </w:r>
          </w:p>
          <w:p w14:paraId="79BA05C7" w14:textId="301A3472" w:rsidR="00CC3178" w:rsidRPr="00F543C1" w:rsidRDefault="00920682" w:rsidP="00852078">
            <w:pPr>
              <w:spacing w:line="240" w:lineRule="auto"/>
              <w:ind w:left="33"/>
            </w:pPr>
            <w:r w:rsidRPr="00852078">
              <w:rPr>
                <w:sz w:val="18"/>
                <w:szCs w:val="18"/>
              </w:rPr>
              <w:t>T</w:t>
            </w:r>
            <w:r w:rsidR="00857A02" w:rsidRPr="00852078">
              <w:rPr>
                <w:sz w:val="18"/>
                <w:szCs w:val="18"/>
              </w:rPr>
              <w:t>o achieve real accountability for students experiencing persistent disadvantage</w:t>
            </w:r>
            <w:r w:rsidR="00B434E3" w:rsidRPr="00852078">
              <w:rPr>
                <w:sz w:val="18"/>
                <w:szCs w:val="18"/>
              </w:rPr>
              <w:t xml:space="preserve"> in this context</w:t>
            </w:r>
            <w:r w:rsidR="00857A02" w:rsidRPr="00852078">
              <w:rPr>
                <w:sz w:val="18"/>
                <w:szCs w:val="18"/>
              </w:rPr>
              <w:t>, a different approach is needed. Options could include meeting the costs of parents who might otherwise be unable to participate</w:t>
            </w:r>
            <w:r w:rsidR="00296555" w:rsidRPr="00852078">
              <w:rPr>
                <w:sz w:val="18"/>
                <w:szCs w:val="18"/>
              </w:rPr>
              <w:t xml:space="preserve"> in governance</w:t>
            </w:r>
            <w:r w:rsidR="00857A02" w:rsidRPr="00852078">
              <w:rPr>
                <w:sz w:val="18"/>
                <w:szCs w:val="18"/>
              </w:rPr>
              <w:t xml:space="preserve"> (covering lost income, providing childcare, paying for transport and </w:t>
            </w:r>
            <w:r w:rsidR="008F4A1C" w:rsidRPr="00852078">
              <w:rPr>
                <w:sz w:val="18"/>
                <w:szCs w:val="18"/>
              </w:rPr>
              <w:t>food costs</w:t>
            </w:r>
            <w:proofErr w:type="gramStart"/>
            <w:r w:rsidR="00857A02" w:rsidRPr="00852078">
              <w:rPr>
                <w:sz w:val="18"/>
                <w:szCs w:val="18"/>
              </w:rPr>
              <w:t>)</w:t>
            </w:r>
            <w:proofErr w:type="gramEnd"/>
            <w:r w:rsidR="00857A02" w:rsidRPr="00852078">
              <w:rPr>
                <w:sz w:val="18"/>
                <w:szCs w:val="18"/>
              </w:rPr>
              <w:t xml:space="preserve"> or appointing someone to act as an agent for those families. Over time, other systemic responses will be needed, such as addressing racist practices and behaviours, building cultural competence, and developing genuine and meaningful relationships with students and their whānau and aiga</w:t>
            </w:r>
            <w:r w:rsidR="00B434E3" w:rsidRPr="00852078">
              <w:rPr>
                <w:sz w:val="18"/>
                <w:szCs w:val="18"/>
              </w:rPr>
              <w:t xml:space="preserve"> that can </w:t>
            </w:r>
            <w:r w:rsidR="0081572F" w:rsidRPr="00852078">
              <w:rPr>
                <w:sz w:val="18"/>
                <w:szCs w:val="18"/>
              </w:rPr>
              <w:t>support involvement in governance</w:t>
            </w:r>
            <w:r w:rsidR="00857A02" w:rsidRPr="00852078">
              <w:rPr>
                <w:sz w:val="18"/>
                <w:szCs w:val="18"/>
              </w:rPr>
              <w:t>.</w:t>
            </w:r>
          </w:p>
        </w:tc>
      </w:tr>
    </w:tbl>
    <w:p w14:paraId="75FB4F17" w14:textId="77777777" w:rsidR="00CC3178" w:rsidRPr="00F543C1" w:rsidRDefault="00CC3178" w:rsidP="00CC3178">
      <w:pPr>
        <w:ind w:left="851"/>
      </w:pPr>
    </w:p>
    <w:p w14:paraId="1F40AB51" w14:textId="45EAE00B" w:rsidR="008A499F" w:rsidRPr="00F543C1" w:rsidRDefault="00CC3178" w:rsidP="00F81449">
      <w:pPr>
        <w:pStyle w:val="USBodyText"/>
      </w:pPr>
      <w:r w:rsidRPr="00F543C1">
        <w:t>One challenge in the context of school governance</w:t>
      </w:r>
      <w:proofErr w:type="gramStart"/>
      <w:r w:rsidR="00016EC8" w:rsidRPr="00F543C1">
        <w:t>,</w:t>
      </w:r>
      <w:r w:rsidR="00002FE2" w:rsidRPr="00F543C1">
        <w:t xml:space="preserve"> in </w:t>
      </w:r>
      <w:r w:rsidR="00CF3831" w:rsidRPr="00F543C1">
        <w:t>particular</w:t>
      </w:r>
      <w:r w:rsidR="00016EC8" w:rsidRPr="00F543C1">
        <w:t>,</w:t>
      </w:r>
      <w:r w:rsidRPr="00F543C1">
        <w:t xml:space="preserve"> is</w:t>
      </w:r>
      <w:proofErr w:type="gramEnd"/>
      <w:r w:rsidRPr="00F543C1">
        <w:t xml:space="preserve"> that existing accountability mechanisms can skew towards the priorities of families who do not experience persistent disadvantage. For example, schools may prioritise their academic reputation by focusing on getting </w:t>
      </w:r>
      <w:r w:rsidR="001E2A84" w:rsidRPr="00F543C1">
        <w:t xml:space="preserve">as many </w:t>
      </w:r>
      <w:proofErr w:type="gramStart"/>
      <w:r w:rsidRPr="00F543C1">
        <w:t>year</w:t>
      </w:r>
      <w:proofErr w:type="gramEnd"/>
      <w:r w:rsidRPr="00F543C1">
        <w:t xml:space="preserve"> 13 students</w:t>
      </w:r>
      <w:r w:rsidR="001E2A84" w:rsidRPr="00F543C1">
        <w:t xml:space="preserve"> as possible</w:t>
      </w:r>
      <w:r w:rsidRPr="00F543C1">
        <w:t xml:space="preserve"> accepted into tertiary education rather than ensuring the best possible educational and life outcomes for all students.</w:t>
      </w:r>
    </w:p>
    <w:p w14:paraId="4B71C450" w14:textId="384D3B8E" w:rsidR="00917C14" w:rsidRDefault="00E5090A" w:rsidP="00AC5FD0">
      <w:pPr>
        <w:pStyle w:val="USBodyText"/>
        <w:rPr>
          <w:rStyle w:val="cf01"/>
          <w:rFonts w:ascii="Calibri" w:hAnsi="Calibri" w:cstheme="minorBidi"/>
          <w:sz w:val="22"/>
          <w:szCs w:val="22"/>
        </w:rPr>
      </w:pPr>
      <w:r w:rsidRPr="00F543C1">
        <w:rPr>
          <w:rStyle w:val="cf01"/>
          <w:rFonts w:ascii="Calibri" w:hAnsi="Calibri" w:cstheme="minorBidi"/>
          <w:sz w:val="22"/>
          <w:szCs w:val="22"/>
        </w:rPr>
        <w:t>This is</w:t>
      </w:r>
      <w:r w:rsidR="00016EC8" w:rsidRPr="00F543C1">
        <w:rPr>
          <w:rStyle w:val="cf01"/>
          <w:rFonts w:ascii="Calibri" w:hAnsi="Calibri" w:cstheme="minorBidi"/>
          <w:sz w:val="22"/>
          <w:szCs w:val="22"/>
        </w:rPr>
        <w:t>,</w:t>
      </w:r>
      <w:r w:rsidRPr="00F543C1">
        <w:rPr>
          <w:rStyle w:val="cf01"/>
          <w:rFonts w:ascii="Calibri" w:hAnsi="Calibri" w:cstheme="minorBidi"/>
          <w:sz w:val="22"/>
          <w:szCs w:val="22"/>
        </w:rPr>
        <w:t xml:space="preserve"> in microcosm</w:t>
      </w:r>
      <w:r w:rsidR="00016EC8" w:rsidRPr="00F543C1">
        <w:rPr>
          <w:rStyle w:val="cf01"/>
          <w:rFonts w:ascii="Calibri" w:hAnsi="Calibri" w:cstheme="minorBidi"/>
          <w:sz w:val="22"/>
          <w:szCs w:val="22"/>
        </w:rPr>
        <w:t>,</w:t>
      </w:r>
      <w:r w:rsidRPr="00F543C1">
        <w:rPr>
          <w:rStyle w:val="cf01"/>
          <w:rFonts w:ascii="Calibri" w:hAnsi="Calibri" w:cstheme="minorBidi"/>
          <w:sz w:val="22"/>
          <w:szCs w:val="22"/>
        </w:rPr>
        <w:t xml:space="preserve"> </w:t>
      </w:r>
      <w:r w:rsidR="00521C8B" w:rsidRPr="00F543C1">
        <w:rPr>
          <w:rStyle w:val="cf01"/>
          <w:rFonts w:ascii="Calibri" w:hAnsi="Calibri" w:cstheme="minorBidi"/>
          <w:sz w:val="22"/>
          <w:szCs w:val="22"/>
        </w:rPr>
        <w:t>o</w:t>
      </w:r>
      <w:r w:rsidR="009D7479" w:rsidRPr="00F543C1">
        <w:rPr>
          <w:rStyle w:val="cf01"/>
          <w:rFonts w:ascii="Calibri" w:hAnsi="Calibri" w:cstheme="minorBidi"/>
          <w:sz w:val="22"/>
          <w:szCs w:val="22"/>
        </w:rPr>
        <w:t>ne of the</w:t>
      </w:r>
      <w:r w:rsidR="00521C8B" w:rsidRPr="00F543C1">
        <w:rPr>
          <w:rStyle w:val="cf01"/>
          <w:rFonts w:ascii="Calibri" w:hAnsi="Calibri" w:cstheme="minorBidi"/>
          <w:sz w:val="22"/>
          <w:szCs w:val="22"/>
        </w:rPr>
        <w:t xml:space="preserve"> key </w:t>
      </w:r>
      <w:r w:rsidR="009D7479" w:rsidRPr="00F543C1">
        <w:rPr>
          <w:rStyle w:val="cf01"/>
          <w:rFonts w:ascii="Calibri" w:hAnsi="Calibri" w:cstheme="minorBidi"/>
          <w:sz w:val="22"/>
          <w:szCs w:val="22"/>
        </w:rPr>
        <w:t>challenges</w:t>
      </w:r>
      <w:r w:rsidR="00521C8B" w:rsidRPr="00F543C1">
        <w:rPr>
          <w:rStyle w:val="cf01"/>
          <w:rFonts w:ascii="Calibri" w:hAnsi="Calibri" w:cstheme="minorBidi"/>
          <w:sz w:val="22"/>
          <w:szCs w:val="22"/>
        </w:rPr>
        <w:t xml:space="preserve"> facing </w:t>
      </w:r>
      <w:r w:rsidRPr="00F543C1">
        <w:rPr>
          <w:rStyle w:val="cf01"/>
          <w:rFonts w:ascii="Calibri" w:hAnsi="Calibri" w:cstheme="minorBidi"/>
          <w:sz w:val="22"/>
          <w:szCs w:val="22"/>
        </w:rPr>
        <w:t xml:space="preserve">the </w:t>
      </w:r>
      <w:r w:rsidR="00340E1A" w:rsidRPr="00F543C1">
        <w:rPr>
          <w:rStyle w:val="cf01"/>
          <w:rFonts w:ascii="Calibri" w:hAnsi="Calibri" w:cstheme="minorBidi"/>
          <w:sz w:val="22"/>
          <w:szCs w:val="22"/>
        </w:rPr>
        <w:t>overall</w:t>
      </w:r>
      <w:r w:rsidRPr="00F543C1">
        <w:rPr>
          <w:rStyle w:val="cf01"/>
          <w:rFonts w:ascii="Calibri" w:hAnsi="Calibri" w:cstheme="minorBidi"/>
          <w:sz w:val="22"/>
          <w:szCs w:val="22"/>
        </w:rPr>
        <w:t xml:space="preserve"> system</w:t>
      </w:r>
      <w:r w:rsidR="004A757B" w:rsidRPr="00F543C1">
        <w:rPr>
          <w:rStyle w:val="cf01"/>
          <w:rFonts w:ascii="Calibri" w:hAnsi="Calibri" w:cstheme="minorBidi"/>
          <w:sz w:val="22"/>
          <w:szCs w:val="22"/>
        </w:rPr>
        <w:t xml:space="preserve"> of social assistance and social services</w:t>
      </w:r>
      <w:r w:rsidR="00F149F0" w:rsidRPr="00F543C1">
        <w:rPr>
          <w:rStyle w:val="cf01"/>
          <w:rFonts w:ascii="Calibri" w:hAnsi="Calibri" w:cstheme="minorBidi"/>
          <w:sz w:val="22"/>
          <w:szCs w:val="22"/>
        </w:rPr>
        <w:t xml:space="preserve"> in Aotearoa</w:t>
      </w:r>
      <w:r w:rsidR="00C72388" w:rsidRPr="00F543C1">
        <w:rPr>
          <w:rStyle w:val="cf01"/>
          <w:rFonts w:ascii="Calibri" w:hAnsi="Calibri" w:cstheme="minorBidi"/>
          <w:sz w:val="22"/>
          <w:szCs w:val="22"/>
        </w:rPr>
        <w:t>. The</w:t>
      </w:r>
      <w:r w:rsidRPr="00F543C1">
        <w:rPr>
          <w:rStyle w:val="cf01"/>
          <w:rFonts w:ascii="Calibri" w:hAnsi="Calibri" w:cstheme="minorBidi"/>
          <w:sz w:val="22"/>
          <w:szCs w:val="22"/>
        </w:rPr>
        <w:t xml:space="preserve"> mainstream </w:t>
      </w:r>
      <w:r w:rsidR="00C72388" w:rsidRPr="00F543C1">
        <w:rPr>
          <w:rStyle w:val="cf01"/>
          <w:rFonts w:ascii="Calibri" w:hAnsi="Calibri" w:cstheme="minorBidi"/>
          <w:sz w:val="22"/>
          <w:szCs w:val="22"/>
        </w:rPr>
        <w:t xml:space="preserve">(‘siloed’) </w:t>
      </w:r>
      <w:r w:rsidRPr="00F543C1">
        <w:rPr>
          <w:rStyle w:val="cf01"/>
          <w:rFonts w:ascii="Calibri" w:hAnsi="Calibri" w:cstheme="minorBidi"/>
          <w:sz w:val="22"/>
          <w:szCs w:val="22"/>
        </w:rPr>
        <w:t>system works</w:t>
      </w:r>
      <w:r w:rsidR="00A605E3" w:rsidRPr="00F543C1">
        <w:rPr>
          <w:rStyle w:val="cf01"/>
          <w:rFonts w:ascii="Calibri" w:hAnsi="Calibri" w:cstheme="minorBidi"/>
          <w:sz w:val="22"/>
          <w:szCs w:val="22"/>
        </w:rPr>
        <w:t xml:space="preserve"> </w:t>
      </w:r>
      <w:r w:rsidRPr="00F543C1">
        <w:rPr>
          <w:rStyle w:val="cf01"/>
          <w:rFonts w:ascii="Calibri" w:hAnsi="Calibri" w:cstheme="minorBidi"/>
          <w:sz w:val="22"/>
          <w:szCs w:val="22"/>
        </w:rPr>
        <w:t xml:space="preserve">well for </w:t>
      </w:r>
      <w:r w:rsidR="00A605E3" w:rsidRPr="00F543C1">
        <w:rPr>
          <w:rStyle w:val="cf01"/>
          <w:rFonts w:ascii="Calibri" w:hAnsi="Calibri" w:cstheme="minorBidi"/>
          <w:sz w:val="22"/>
          <w:szCs w:val="22"/>
        </w:rPr>
        <w:t xml:space="preserve">most </w:t>
      </w:r>
      <w:r w:rsidRPr="00F543C1">
        <w:rPr>
          <w:rStyle w:val="cf01"/>
          <w:rFonts w:ascii="Calibri" w:hAnsi="Calibri" w:cstheme="minorBidi"/>
          <w:sz w:val="22"/>
          <w:szCs w:val="22"/>
        </w:rPr>
        <w:t>people</w:t>
      </w:r>
      <w:r w:rsidR="00521C8B" w:rsidRPr="00F543C1">
        <w:rPr>
          <w:rStyle w:val="cf01"/>
          <w:rFonts w:ascii="Calibri" w:hAnsi="Calibri" w:cstheme="minorBidi"/>
          <w:sz w:val="22"/>
          <w:szCs w:val="22"/>
        </w:rPr>
        <w:t xml:space="preserve"> who do not have </w:t>
      </w:r>
      <w:r w:rsidR="0040756B" w:rsidRPr="00F543C1">
        <w:rPr>
          <w:rStyle w:val="cf01"/>
          <w:rFonts w:ascii="Calibri" w:hAnsi="Calibri" w:cstheme="minorBidi"/>
          <w:sz w:val="22"/>
          <w:szCs w:val="22"/>
        </w:rPr>
        <w:t>multiple, complex, enduring needs.</w:t>
      </w:r>
      <w:r w:rsidR="009C5953" w:rsidRPr="00F543C1">
        <w:rPr>
          <w:rStyle w:val="cf01"/>
          <w:rFonts w:ascii="Calibri" w:hAnsi="Calibri" w:cstheme="minorBidi"/>
          <w:sz w:val="22"/>
          <w:szCs w:val="22"/>
        </w:rPr>
        <w:t xml:space="preserve"> Wh</w:t>
      </w:r>
      <w:r w:rsidR="00344DBC" w:rsidRPr="00F543C1">
        <w:rPr>
          <w:rStyle w:val="cf01"/>
          <w:rFonts w:ascii="Calibri" w:hAnsi="Calibri" w:cstheme="minorBidi"/>
          <w:sz w:val="22"/>
          <w:szCs w:val="22"/>
        </w:rPr>
        <w:t xml:space="preserve">ere input is sought from </w:t>
      </w:r>
      <w:r w:rsidR="009C5953" w:rsidRPr="00F543C1">
        <w:rPr>
          <w:rStyle w:val="cf01"/>
          <w:rFonts w:ascii="Calibri" w:hAnsi="Calibri" w:cstheme="minorBidi"/>
          <w:sz w:val="22"/>
          <w:szCs w:val="22"/>
        </w:rPr>
        <w:t xml:space="preserve">participants, </w:t>
      </w:r>
      <w:r w:rsidR="005D72F3" w:rsidRPr="00F543C1">
        <w:rPr>
          <w:rStyle w:val="cf01"/>
          <w:rFonts w:ascii="Calibri" w:hAnsi="Calibri" w:cstheme="minorBidi"/>
          <w:sz w:val="22"/>
          <w:szCs w:val="22"/>
        </w:rPr>
        <w:t xml:space="preserve">it leads to results that – </w:t>
      </w:r>
      <w:r w:rsidR="004367AA" w:rsidRPr="00F543C1">
        <w:rPr>
          <w:rStyle w:val="cf01"/>
          <w:rFonts w:ascii="Calibri" w:hAnsi="Calibri" w:cstheme="minorBidi"/>
          <w:sz w:val="22"/>
          <w:szCs w:val="22"/>
        </w:rPr>
        <w:t>understandably</w:t>
      </w:r>
      <w:r w:rsidR="005D72F3" w:rsidRPr="00F543C1">
        <w:rPr>
          <w:rStyle w:val="cf01"/>
          <w:rFonts w:ascii="Calibri" w:hAnsi="Calibri" w:cstheme="minorBidi"/>
          <w:sz w:val="22"/>
          <w:szCs w:val="22"/>
        </w:rPr>
        <w:t xml:space="preserve"> – </w:t>
      </w:r>
      <w:r w:rsidR="009C5953" w:rsidRPr="00F543C1">
        <w:rPr>
          <w:rStyle w:val="cf01"/>
          <w:rFonts w:ascii="Calibri" w:hAnsi="Calibri" w:cstheme="minorBidi"/>
          <w:sz w:val="22"/>
          <w:szCs w:val="22"/>
        </w:rPr>
        <w:t>skew</w:t>
      </w:r>
      <w:r w:rsidR="009242B0" w:rsidRPr="00F543C1">
        <w:rPr>
          <w:rStyle w:val="cf01"/>
          <w:rFonts w:ascii="Calibri" w:hAnsi="Calibri" w:cstheme="minorBidi"/>
          <w:sz w:val="22"/>
          <w:szCs w:val="22"/>
        </w:rPr>
        <w:t xml:space="preserve"> towards the priorities of thos</w:t>
      </w:r>
      <w:r w:rsidR="00B20066" w:rsidRPr="00F543C1">
        <w:rPr>
          <w:rStyle w:val="cf01"/>
          <w:rFonts w:ascii="Calibri" w:hAnsi="Calibri" w:cstheme="minorBidi"/>
          <w:sz w:val="22"/>
          <w:szCs w:val="22"/>
        </w:rPr>
        <w:t>e</w:t>
      </w:r>
      <w:r w:rsidR="009242B0" w:rsidRPr="00F543C1">
        <w:rPr>
          <w:rStyle w:val="cf01"/>
          <w:rFonts w:ascii="Calibri" w:hAnsi="Calibri" w:cstheme="minorBidi"/>
          <w:sz w:val="22"/>
          <w:szCs w:val="22"/>
        </w:rPr>
        <w:t xml:space="preserve"> </w:t>
      </w:r>
      <w:r w:rsidR="00D85DDE" w:rsidRPr="00F543C1">
        <w:rPr>
          <w:rStyle w:val="cf01"/>
          <w:rFonts w:ascii="Calibri" w:hAnsi="Calibri" w:cstheme="minorBidi"/>
          <w:sz w:val="22"/>
          <w:szCs w:val="22"/>
        </w:rPr>
        <w:t xml:space="preserve">people </w:t>
      </w:r>
      <w:r w:rsidR="00B20066" w:rsidRPr="00F543C1">
        <w:rPr>
          <w:rStyle w:val="cf01"/>
          <w:rFonts w:ascii="Calibri" w:hAnsi="Calibri" w:cstheme="minorBidi"/>
          <w:sz w:val="22"/>
          <w:szCs w:val="22"/>
        </w:rPr>
        <w:t>whose voices</w:t>
      </w:r>
      <w:r w:rsidR="005D2E1C" w:rsidRPr="00F543C1">
        <w:rPr>
          <w:rStyle w:val="cf01"/>
          <w:rFonts w:ascii="Calibri" w:hAnsi="Calibri" w:cstheme="minorBidi"/>
          <w:sz w:val="22"/>
          <w:szCs w:val="22"/>
        </w:rPr>
        <w:t xml:space="preserve"> </w:t>
      </w:r>
      <w:r w:rsidR="009242B0" w:rsidRPr="00F543C1">
        <w:rPr>
          <w:rStyle w:val="cf01"/>
          <w:rFonts w:ascii="Calibri" w:hAnsi="Calibri" w:cstheme="minorBidi"/>
          <w:sz w:val="22"/>
          <w:szCs w:val="22"/>
        </w:rPr>
        <w:t>are heard</w:t>
      </w:r>
      <w:r w:rsidR="0040756B" w:rsidRPr="00F543C1">
        <w:rPr>
          <w:rStyle w:val="cf01"/>
          <w:rFonts w:ascii="Calibri" w:hAnsi="Calibri" w:cstheme="minorBidi"/>
          <w:sz w:val="22"/>
          <w:szCs w:val="22"/>
        </w:rPr>
        <w:t xml:space="preserve">. </w:t>
      </w:r>
      <w:r w:rsidR="00FD1FFB" w:rsidRPr="00F543C1">
        <w:rPr>
          <w:rStyle w:val="cf01"/>
          <w:rFonts w:ascii="Calibri" w:hAnsi="Calibri" w:cstheme="minorBidi"/>
          <w:sz w:val="22"/>
          <w:szCs w:val="22"/>
        </w:rPr>
        <w:t>Regrettably, this group too rarely in</w:t>
      </w:r>
      <w:r w:rsidR="002A276E" w:rsidRPr="00F543C1">
        <w:rPr>
          <w:rStyle w:val="cf01"/>
          <w:rFonts w:ascii="Calibri" w:hAnsi="Calibri" w:cstheme="minorBidi"/>
          <w:sz w:val="22"/>
          <w:szCs w:val="22"/>
        </w:rPr>
        <w:t xml:space="preserve">cludes people experiencing persistent disadvantage. </w:t>
      </w:r>
      <w:bookmarkStart w:id="216" w:name="_Toc126064046"/>
      <w:bookmarkStart w:id="217" w:name="_Toc126064114"/>
      <w:bookmarkEnd w:id="216"/>
      <w:bookmarkEnd w:id="217"/>
    </w:p>
    <w:p w14:paraId="0453EA0C" w14:textId="77777777" w:rsidR="006A4998" w:rsidRDefault="006A4998">
      <w:pPr>
        <w:spacing w:after="160" w:line="259" w:lineRule="auto"/>
        <w:rPr>
          <w:rFonts w:eastAsiaTheme="majorEastAsia" w:cstheme="majorBidi"/>
          <w:b/>
          <w:color w:val="0094C5"/>
          <w:sz w:val="32"/>
          <w:szCs w:val="32"/>
        </w:rPr>
      </w:pPr>
      <w:bookmarkStart w:id="218" w:name="_Toc125536876"/>
      <w:bookmarkStart w:id="219" w:name="_Ref125630159"/>
      <w:bookmarkStart w:id="220" w:name="_Ref125875458"/>
      <w:bookmarkStart w:id="221" w:name="_Hlk125627454"/>
      <w:r>
        <w:br w:type="page"/>
      </w:r>
    </w:p>
    <w:p w14:paraId="05C21C12" w14:textId="0DA4BF84" w:rsidR="001B024C" w:rsidRPr="00F543C1" w:rsidRDefault="001B024C" w:rsidP="001B024C">
      <w:pPr>
        <w:pStyle w:val="Heading1"/>
      </w:pPr>
      <w:bookmarkStart w:id="222" w:name="_Toc126092133"/>
      <w:bookmarkStart w:id="223" w:name="_Ref126305983"/>
      <w:bookmarkStart w:id="224" w:name="_Toc126841220"/>
      <w:r w:rsidRPr="00F543C1">
        <w:lastRenderedPageBreak/>
        <w:t>Making better use of accountability</w:t>
      </w:r>
      <w:bookmarkEnd w:id="218"/>
      <w:bookmarkEnd w:id="219"/>
      <w:bookmarkEnd w:id="220"/>
      <w:bookmarkEnd w:id="222"/>
      <w:bookmarkEnd w:id="223"/>
      <w:bookmarkEnd w:id="224"/>
    </w:p>
    <w:p w14:paraId="02BB9D1C" w14:textId="78522BA2" w:rsidR="001B024C" w:rsidRPr="00F543C1" w:rsidRDefault="001B024C" w:rsidP="001B024C">
      <w:pPr>
        <w:ind w:left="851"/>
      </w:pPr>
      <w:r w:rsidRPr="00F543C1">
        <w:t xml:space="preserve">In this section, </w:t>
      </w:r>
      <w:r w:rsidR="0057595E" w:rsidRPr="0057595E">
        <w:t xml:space="preserve">we </w:t>
      </w:r>
      <w:r w:rsidRPr="00F543C1">
        <w:t>present our</w:t>
      </w:r>
      <w:r w:rsidR="0057595E">
        <w:t xml:space="preserve"> findings </w:t>
      </w:r>
      <w:r w:rsidR="001C123F">
        <w:t xml:space="preserve">and </w:t>
      </w:r>
      <w:r w:rsidR="001C123F" w:rsidRPr="00F543C1">
        <w:t>recommendations</w:t>
      </w:r>
      <w:r w:rsidRPr="00F543C1">
        <w:t xml:space="preserve"> for practical improvements to accountability </w:t>
      </w:r>
      <w:r w:rsidR="00AE7025">
        <w:t>that will</w:t>
      </w:r>
      <w:r w:rsidRPr="00F543C1">
        <w:t xml:space="preserve"> help more people</w:t>
      </w:r>
      <w:r w:rsidR="00AE7025">
        <w:t xml:space="preserve"> in Aotearoa</w:t>
      </w:r>
      <w:r w:rsidRPr="00F543C1">
        <w:t xml:space="preserve"> to thrive. </w:t>
      </w:r>
    </w:p>
    <w:p w14:paraId="7354A2A2" w14:textId="1E06203F" w:rsidR="001B024C" w:rsidRPr="00F543C1" w:rsidRDefault="001B024C" w:rsidP="001B024C">
      <w:pPr>
        <w:ind w:left="851"/>
      </w:pPr>
      <w:r w:rsidRPr="00F543C1">
        <w:t>Th</w:t>
      </w:r>
      <w:r w:rsidR="001D193C">
        <w:t>e</w:t>
      </w:r>
      <w:r w:rsidRPr="00F543C1">
        <w:t xml:space="preserve"> section begins with a high-level description of what success looks like in using accountability systems to improve social assistance designed to address persistent disadvantage. </w:t>
      </w:r>
    </w:p>
    <w:p w14:paraId="10F01AEA" w14:textId="77777777" w:rsidR="001B024C" w:rsidRPr="00F543C1" w:rsidRDefault="001B024C" w:rsidP="001B024C">
      <w:pPr>
        <w:ind w:left="851"/>
      </w:pPr>
      <w:r w:rsidRPr="00F543C1">
        <w:t xml:space="preserve">We then discuss how taking a multi-pronged approach and rebalancing the respective emphasis given to each of the three different types of </w:t>
      </w:r>
      <w:proofErr w:type="gramStart"/>
      <w:r w:rsidRPr="00F543C1">
        <w:t>accountability</w:t>
      </w:r>
      <w:proofErr w:type="gramEnd"/>
      <w:r w:rsidRPr="00F543C1">
        <w:t xml:space="preserve"> – democratic, constitutional and accountability as learning – will lead to better results.</w:t>
      </w:r>
    </w:p>
    <w:p w14:paraId="6645326F" w14:textId="58D94E09" w:rsidR="001B024C" w:rsidRDefault="00221513" w:rsidP="001B024C">
      <w:pPr>
        <w:ind w:left="851"/>
      </w:pPr>
      <w:r>
        <w:t xml:space="preserve">We </w:t>
      </w:r>
      <w:r w:rsidR="00BF1135">
        <w:t>again</w:t>
      </w:r>
      <w:r>
        <w:t xml:space="preserve"> emphasis</w:t>
      </w:r>
      <w:r w:rsidR="00891456">
        <w:t>e</w:t>
      </w:r>
      <w:r>
        <w:t xml:space="preserve"> that what we are presenting is a</w:t>
      </w:r>
      <w:r w:rsidR="00070525">
        <w:t>n</w:t>
      </w:r>
      <w:r>
        <w:t xml:space="preserve"> </w:t>
      </w:r>
      <w:r w:rsidR="00BF1135">
        <w:t>outline of a new system, not all the details needed</w:t>
      </w:r>
      <w:r w:rsidR="00924EED">
        <w:t xml:space="preserve"> to put it into effect</w:t>
      </w:r>
      <w:r w:rsidR="00BF1135">
        <w:t xml:space="preserve">. </w:t>
      </w:r>
      <w:r w:rsidR="001B024C" w:rsidRPr="00F543C1">
        <w:t xml:space="preserve"> </w:t>
      </w:r>
    </w:p>
    <w:p w14:paraId="1F1C258D" w14:textId="77777777" w:rsidR="00562C05" w:rsidRDefault="00562C05" w:rsidP="00562C05">
      <w:pPr>
        <w:pStyle w:val="USBodyText"/>
      </w:pPr>
      <w:r>
        <w:t xml:space="preserve">Some of our recommendations involve radical departures from current practice, especially at the </w:t>
      </w:r>
      <w:proofErr w:type="spellStart"/>
      <w:r>
        <w:t>meso</w:t>
      </w:r>
      <w:proofErr w:type="spellEnd"/>
      <w:r>
        <w:t xml:space="preserve"> level, although they might, on the surface, look like simple additions to legislative requirements. What makes them radical is that they involve governments accepting and publicly acknowledging that they should be held accountable across a range of dimensions for reducing persistent disadvantage.</w:t>
      </w:r>
    </w:p>
    <w:p w14:paraId="15D952AA" w14:textId="77777777" w:rsidR="00562C05" w:rsidRDefault="00562C05" w:rsidP="00562C05">
      <w:pPr>
        <w:pStyle w:val="USBodyText"/>
      </w:pPr>
      <w:r>
        <w:t>What we propose is an improvement, not perfection. All human-designed systems have some flaws, and policy is made in an intensely political environment. That said, the current system for addressing persistent disadvantage is failing. Improvement is possible, provided there is a genuine commitment by our political leaders to accept greater accountability.</w:t>
      </w:r>
    </w:p>
    <w:p w14:paraId="07ACCBB5" w14:textId="6D8FC2FF" w:rsidR="001B024C" w:rsidRDefault="001B024C" w:rsidP="001B024C">
      <w:pPr>
        <w:pStyle w:val="Heading2"/>
      </w:pPr>
      <w:bookmarkStart w:id="225" w:name="_Toc125536877"/>
      <w:bookmarkStart w:id="226" w:name="_Toc126092134"/>
      <w:bookmarkStart w:id="227" w:name="_Toc126841221"/>
      <w:r w:rsidRPr="00F543C1">
        <w:t xml:space="preserve">What success looks </w:t>
      </w:r>
      <w:bookmarkEnd w:id="225"/>
      <w:proofErr w:type="gramStart"/>
      <w:r w:rsidR="00452FC2" w:rsidRPr="00F543C1">
        <w:t>like</w:t>
      </w:r>
      <w:bookmarkEnd w:id="226"/>
      <w:bookmarkEnd w:id="227"/>
      <w:proofErr w:type="gramEnd"/>
      <w:r w:rsidRPr="00F543C1">
        <w:t xml:space="preserve"> </w:t>
      </w:r>
    </w:p>
    <w:p w14:paraId="76124CE8" w14:textId="1B0A0D94" w:rsidR="00081B0F" w:rsidRDefault="00081B0F" w:rsidP="00081B0F">
      <w:pPr>
        <w:pStyle w:val="USBodyText"/>
      </w:pPr>
      <w:r>
        <w:t xml:space="preserve">The greatest promise of accountability is that it will apply on an ongoing basis to produce better outcomes rather than involving a one-off set of reforms. The day-to-day mechanisms to achieve those outcomes will evolve through time as experience leads to learning. </w:t>
      </w:r>
    </w:p>
    <w:p w14:paraId="371D5F96" w14:textId="77777777" w:rsidR="00081B0F" w:rsidRDefault="00081B0F" w:rsidP="00081B0F">
      <w:pPr>
        <w:pStyle w:val="USBodyText"/>
      </w:pPr>
      <w:r>
        <w:t xml:space="preserve">Experience shows that context-based accountability systems can mobilise the public sector and the wider community to significantly increase their performance.  </w:t>
      </w:r>
    </w:p>
    <w:p w14:paraId="7CE8C858" w14:textId="4C5DF559" w:rsidR="00081B0F" w:rsidRDefault="00081B0F" w:rsidP="00081B0F">
      <w:pPr>
        <w:pStyle w:val="USBodyText"/>
      </w:pPr>
      <w:r>
        <w:t>Accountability should be flexibly applied to enable outcomes to move with social and economic developments</w:t>
      </w:r>
      <w:r w:rsidR="00FC0DBA">
        <w:t>.</w:t>
      </w:r>
      <w:r w:rsidR="00FC0DBA" w:rsidRPr="009006D7">
        <w:rPr>
          <w:rStyle w:val="FootnoteReference"/>
        </w:rPr>
        <w:footnoteReference w:id="175"/>
      </w:r>
      <w:r w:rsidR="00FC0DBA">
        <w:t xml:space="preserve"> </w:t>
      </w:r>
      <w:r>
        <w:t xml:space="preserve">In the context of persistent disadvantage, </w:t>
      </w:r>
      <w:r w:rsidR="00356CC4">
        <w:t xml:space="preserve">for example, </w:t>
      </w:r>
      <w:r>
        <w:t xml:space="preserve">recent changes in </w:t>
      </w:r>
      <w:r w:rsidR="00C47CAC">
        <w:t>housing affordability</w:t>
      </w:r>
      <w:r>
        <w:t xml:space="preserve"> have placed additional stress on people who do not own a home, making addressing </w:t>
      </w:r>
      <w:r w:rsidR="008F5B07">
        <w:t xml:space="preserve">rising </w:t>
      </w:r>
      <w:r>
        <w:t xml:space="preserve">accommodation costs a higher priority for some people. </w:t>
      </w:r>
    </w:p>
    <w:p w14:paraId="14469388" w14:textId="7A505113" w:rsidR="00EB2D43" w:rsidRDefault="00EB2D43" w:rsidP="000F14A2">
      <w:pPr>
        <w:pStyle w:val="Heading2"/>
      </w:pPr>
      <w:bookmarkStart w:id="228" w:name="_Toc126092135"/>
      <w:bookmarkStart w:id="229" w:name="_Toc126841222"/>
      <w:r>
        <w:t>Longe</w:t>
      </w:r>
      <w:r w:rsidR="00184003">
        <w:t>r-</w:t>
      </w:r>
      <w:r>
        <w:t>term constitutional change</w:t>
      </w:r>
      <w:bookmarkEnd w:id="228"/>
      <w:bookmarkEnd w:id="229"/>
    </w:p>
    <w:p w14:paraId="0B0F8A24" w14:textId="1BA907FB" w:rsidR="001B024C" w:rsidRPr="00F543C1" w:rsidRDefault="001B024C" w:rsidP="001B024C">
      <w:pPr>
        <w:ind w:left="851"/>
      </w:pPr>
      <w:r w:rsidRPr="00F543C1">
        <w:t xml:space="preserve">As noted in section </w:t>
      </w:r>
      <w:r w:rsidR="008A1922">
        <w:fldChar w:fldCharType="begin"/>
      </w:r>
      <w:r w:rsidR="008A1922">
        <w:instrText xml:space="preserve"> REF _Ref125962011 \r \h </w:instrText>
      </w:r>
      <w:r w:rsidR="008A1922">
        <w:fldChar w:fldCharType="separate"/>
      </w:r>
      <w:r w:rsidR="00E06351">
        <w:t>3.9.2</w:t>
      </w:r>
      <w:r w:rsidR="008A1922">
        <w:fldChar w:fldCharType="end"/>
      </w:r>
      <w:r w:rsidRPr="00726346">
        <w:t xml:space="preserve">, </w:t>
      </w:r>
      <w:r w:rsidRPr="00F543C1">
        <w:t xml:space="preserve">New Zealand lacks several democratic institutions found in other countries that can be used to provide accountability. This means that the institutions </w:t>
      </w:r>
      <w:r w:rsidR="00EA2E9D">
        <w:t xml:space="preserve">we do have must do more to hold </w:t>
      </w:r>
      <w:proofErr w:type="gramStart"/>
      <w:r w:rsidR="00EA2E9D">
        <w:t>policy-makers</w:t>
      </w:r>
      <w:proofErr w:type="gramEnd"/>
      <w:r w:rsidR="00EA2E9D">
        <w:t xml:space="preserve">, advisers and programme </w:t>
      </w:r>
      <w:r w:rsidR="00EA2E9D">
        <w:lastRenderedPageBreak/>
        <w:t>providers accountable</w:t>
      </w:r>
      <w:r w:rsidRPr="00F543C1">
        <w:t>. And experience shows that, unless designed very well, they can fall short across all three dimensions of accountability.</w:t>
      </w:r>
    </w:p>
    <w:p w14:paraId="66D8D225" w14:textId="18C929BA" w:rsidR="001F399C" w:rsidRDefault="001B024C" w:rsidP="000F14A2">
      <w:pPr>
        <w:pStyle w:val="USBodyText"/>
      </w:pPr>
      <w:r w:rsidRPr="00F543C1">
        <w:t>In its submission to the Commission’s current inquiry, the Auditor General agreed that there was a need for a wider review of the public accountability system that addressed the nature of the relationship between the public, Parliament, and central and local government</w:t>
      </w:r>
      <w:r w:rsidR="00F06BC3">
        <w:t xml:space="preserve"> </w:t>
      </w:r>
      <w:r w:rsidR="00F06BC3">
        <w:fldChar w:fldCharType="begin"/>
      </w:r>
      <w:r w:rsidR="009B0EC4">
        <w:instrText xml:space="preserve"> ADDIN ZOTERO_ITEM CSL_CITATION {"citationID":"DvNvBESS","properties":{"formattedCitation":"(Office of the Auditor-General 2022b)","plainCitation":"(Office of the Auditor-General 2022b)","noteIndex":0},"citationItems":[{"id":18511,"uris":["http://zotero.org/groups/4801058/items/EUE3IVBT"],"itemData":{"id":18511,"type":"personal_communication","title":"Submission on \"A Fair Chance foe All -- Breaking the Cycles of presistent Disadvantage\"","URL":"https://www.productivity.govt.nz/assets/DR-114-OAG-Productivity-Commission-submission.pdf","author":[{"family":"Office of the Auditor-General","given":""}],"issued":{"date-parts":[["2022",11,10]]}}}],"schema":"https://github.com/citation-style-language/schema/raw/master/csl-citation.json"} </w:instrText>
      </w:r>
      <w:r w:rsidR="00F06BC3">
        <w:fldChar w:fldCharType="separate"/>
      </w:r>
      <w:r w:rsidR="00F06BC3" w:rsidRPr="00F06BC3">
        <w:rPr>
          <w:rFonts w:cs="Calibri"/>
        </w:rPr>
        <w:t>(Office of the Auditor-General 2022b)</w:t>
      </w:r>
      <w:r w:rsidR="00F06BC3">
        <w:fldChar w:fldCharType="end"/>
      </w:r>
      <w:r w:rsidRPr="00F543C1">
        <w:t>. Such a review may go to the basi</w:t>
      </w:r>
      <w:r w:rsidR="004C2877">
        <w:t>c</w:t>
      </w:r>
      <w:r w:rsidRPr="00F543C1">
        <w:t xml:space="preserve"> constitutional structures that define those relationship</w:t>
      </w:r>
      <w:r w:rsidR="00C9788F">
        <w:t>s</w:t>
      </w:r>
      <w:r w:rsidR="0020573D">
        <w:t>, which in Aotearoa must include how accountability to the Crow</w:t>
      </w:r>
      <w:r w:rsidR="00B65142">
        <w:t>n’s</w:t>
      </w:r>
      <w:r w:rsidR="0020573D">
        <w:t xml:space="preserve"> Treaty partner is achieved</w:t>
      </w:r>
      <w:r w:rsidRPr="00F543C1">
        <w:t xml:space="preserve">. </w:t>
      </w:r>
    </w:p>
    <w:p w14:paraId="6F8A90FC" w14:textId="7E007C22" w:rsidR="00AB0F9D" w:rsidRDefault="001B024C" w:rsidP="000F14A2">
      <w:pPr>
        <w:pStyle w:val="USBodyText"/>
      </w:pPr>
      <w:r w:rsidRPr="00F543C1">
        <w:t>While we agree with the need for review, that process will take time</w:t>
      </w:r>
      <w:r w:rsidR="00E85D41">
        <w:t xml:space="preserve">. </w:t>
      </w:r>
      <w:r w:rsidR="00E81905">
        <w:t>For people experiencing persistent disadvantage, t</w:t>
      </w:r>
      <w:r w:rsidR="00BB2DF4">
        <w:t xml:space="preserve">he consequences of </w:t>
      </w:r>
      <w:r w:rsidR="00E85D41">
        <w:t xml:space="preserve">accountability failures </w:t>
      </w:r>
      <w:r w:rsidR="00E81905">
        <w:t xml:space="preserve">are </w:t>
      </w:r>
      <w:r w:rsidR="00062888">
        <w:t xml:space="preserve">serious and </w:t>
      </w:r>
      <w:r w:rsidR="00E81905">
        <w:t>need to be addressed now.</w:t>
      </w:r>
    </w:p>
    <w:p w14:paraId="636609A9" w14:textId="58C4BA26" w:rsidR="00AB7BE8" w:rsidRPr="00AB7BE8" w:rsidRDefault="00340FA1" w:rsidP="00185F11">
      <w:pPr>
        <w:pStyle w:val="Heading2"/>
      </w:pPr>
      <w:bookmarkStart w:id="230" w:name="_Toc126092136"/>
      <w:bookmarkStart w:id="231" w:name="_Toc126841223"/>
      <w:r>
        <w:t xml:space="preserve">Using </w:t>
      </w:r>
      <w:r w:rsidR="00AB7BE8" w:rsidRPr="00184003">
        <w:t xml:space="preserve">the </w:t>
      </w:r>
      <w:proofErr w:type="gramStart"/>
      <w:r w:rsidR="00AB7BE8" w:rsidRPr="00184003">
        <w:t>tools</w:t>
      </w:r>
      <w:proofErr w:type="gramEnd"/>
      <w:r w:rsidR="00AB7BE8" w:rsidRPr="00184003">
        <w:t xml:space="preserve"> we already have</w:t>
      </w:r>
      <w:bookmarkEnd w:id="230"/>
      <w:bookmarkEnd w:id="231"/>
    </w:p>
    <w:p w14:paraId="04EB33A8" w14:textId="3C2B41FD" w:rsidR="001F399C" w:rsidRDefault="000055DC" w:rsidP="001F399C">
      <w:pPr>
        <w:ind w:left="851"/>
      </w:pPr>
      <w:r>
        <w:t>Fortunately,</w:t>
      </w:r>
      <w:r w:rsidR="00F62106">
        <w:t xml:space="preserve"> </w:t>
      </w:r>
      <w:r w:rsidR="00C9788F">
        <w:t>some improvements</w:t>
      </w:r>
      <w:r w:rsidR="001F399C" w:rsidRPr="00F543C1">
        <w:t xml:space="preserve"> </w:t>
      </w:r>
      <w:r w:rsidR="003E6B34">
        <w:t xml:space="preserve">to support better accountability </w:t>
      </w:r>
      <w:r w:rsidR="001F399C" w:rsidRPr="00F543C1">
        <w:t xml:space="preserve">can be made using </w:t>
      </w:r>
      <w:r w:rsidR="00077C3F">
        <w:t>existing</w:t>
      </w:r>
      <w:r w:rsidR="001F399C" w:rsidRPr="00F543C1">
        <w:t xml:space="preserve"> institutions</w:t>
      </w:r>
      <w:r w:rsidR="005A1E44">
        <w:t>,</w:t>
      </w:r>
      <w:r w:rsidR="001F399C" w:rsidRPr="00F543C1">
        <w:t xml:space="preserve"> </w:t>
      </w:r>
      <w:r w:rsidR="00C879B6">
        <w:t xml:space="preserve">and this should </w:t>
      </w:r>
      <w:r w:rsidR="001F399C" w:rsidRPr="00F543C1">
        <w:t xml:space="preserve">lead to better outcomes. </w:t>
      </w:r>
      <w:r w:rsidR="008B2E9E">
        <w:t>This will</w:t>
      </w:r>
      <w:r w:rsidR="001F399C">
        <w:t xml:space="preserve"> involve</w:t>
      </w:r>
      <w:r w:rsidR="00FC4B7E">
        <w:t xml:space="preserve"> </w:t>
      </w:r>
      <w:r w:rsidR="001F399C">
        <w:t xml:space="preserve">making better use of existing tools, changing the emphasis given to different types of </w:t>
      </w:r>
      <w:proofErr w:type="gramStart"/>
      <w:r w:rsidR="001F399C">
        <w:t>accountability</w:t>
      </w:r>
      <w:proofErr w:type="gramEnd"/>
      <w:r w:rsidR="001F399C">
        <w:t xml:space="preserve"> and strengthening accountability </w:t>
      </w:r>
      <w:r w:rsidR="006E0418">
        <w:t>by introducing</w:t>
      </w:r>
      <w:r w:rsidR="001F399C">
        <w:t xml:space="preserve"> new legislative requirements.</w:t>
      </w:r>
    </w:p>
    <w:p w14:paraId="43E6DE6B" w14:textId="0A8CC19D" w:rsidR="00146B78" w:rsidRDefault="001B024C" w:rsidP="00146B78">
      <w:pPr>
        <w:ind w:left="851"/>
      </w:pPr>
      <w:r w:rsidRPr="00F543C1">
        <w:t>Within our current constitutional structure Aotearoa New Zealand already has some basic accountability systems in place at the macro level:</w:t>
      </w:r>
      <w:r w:rsidR="00FC4B7E">
        <w:t xml:space="preserve"> </w:t>
      </w:r>
    </w:p>
    <w:p w14:paraId="1E2858EE" w14:textId="5D7EAEB9" w:rsidR="001B024C" w:rsidRPr="00F543C1" w:rsidRDefault="001B024C" w:rsidP="00146B78">
      <w:pPr>
        <w:pStyle w:val="USBullet1"/>
      </w:pPr>
      <w:r w:rsidRPr="00F543C1">
        <w:t xml:space="preserve">Ministers are subject to collective responsibility and must account for their actions to a </w:t>
      </w:r>
      <w:r w:rsidR="00041E30" w:rsidRPr="00F543C1">
        <w:t>freely elected</w:t>
      </w:r>
      <w:r w:rsidRPr="00F543C1">
        <w:t xml:space="preserve"> </w:t>
      </w:r>
      <w:proofErr w:type="gramStart"/>
      <w:r w:rsidRPr="00F543C1">
        <w:t>Parliament</w:t>
      </w:r>
      <w:proofErr w:type="gramEnd"/>
    </w:p>
    <w:p w14:paraId="0CE871E3" w14:textId="04F8D8A3" w:rsidR="001B024C" w:rsidRPr="00F543C1" w:rsidRDefault="001B024C" w:rsidP="001B024C">
      <w:pPr>
        <w:pStyle w:val="USBullet1"/>
      </w:pPr>
      <w:r w:rsidRPr="00F543C1">
        <w:t xml:space="preserve">A supreme audit authority is technically independent </w:t>
      </w:r>
      <w:r w:rsidR="00B942AF">
        <w:t>of</w:t>
      </w:r>
      <w:r w:rsidR="00B942AF" w:rsidRPr="00F543C1">
        <w:t xml:space="preserve"> </w:t>
      </w:r>
      <w:r w:rsidRPr="00F543C1">
        <w:t xml:space="preserve">the </w:t>
      </w:r>
      <w:proofErr w:type="gramStart"/>
      <w:r w:rsidRPr="00F543C1">
        <w:t>government</w:t>
      </w:r>
      <w:proofErr w:type="gramEnd"/>
    </w:p>
    <w:p w14:paraId="4C65D99F" w14:textId="77777777" w:rsidR="001B024C" w:rsidRPr="00F543C1" w:rsidRDefault="001B024C" w:rsidP="001B024C">
      <w:pPr>
        <w:pStyle w:val="USBullet1"/>
      </w:pPr>
      <w:r w:rsidRPr="00F543C1">
        <w:t xml:space="preserve">Public service departments are required to set out their strategic intentions and then report their actions against those </w:t>
      </w:r>
      <w:proofErr w:type="gramStart"/>
      <w:r w:rsidRPr="00F543C1">
        <w:t>intentions</w:t>
      </w:r>
      <w:proofErr w:type="gramEnd"/>
    </w:p>
    <w:p w14:paraId="7A5A7F87" w14:textId="69DD93C1" w:rsidR="001B024C" w:rsidRPr="00F543C1" w:rsidRDefault="001B024C" w:rsidP="001B024C">
      <w:pPr>
        <w:pStyle w:val="USBullet1"/>
      </w:pPr>
      <w:r w:rsidRPr="00F543C1">
        <w:t xml:space="preserve">Ministers frequently issue policy statements that commit to achieving policy goals and </w:t>
      </w:r>
      <w:proofErr w:type="gramStart"/>
      <w:r w:rsidRPr="00F543C1">
        <w:t>objectives</w:t>
      </w:r>
      <w:proofErr w:type="gramEnd"/>
    </w:p>
    <w:p w14:paraId="7CDB44EB" w14:textId="4A177142" w:rsidR="001B024C" w:rsidRPr="00F543C1" w:rsidRDefault="001B024C" w:rsidP="001B024C">
      <w:pPr>
        <w:pStyle w:val="USBullet1"/>
      </w:pPr>
      <w:r w:rsidRPr="00F543C1">
        <w:t xml:space="preserve">Citizens can participate in the legislative process by making submissions to </w:t>
      </w:r>
      <w:r w:rsidR="00E20E4B">
        <w:t>S</w:t>
      </w:r>
      <w:r w:rsidRPr="00F543C1">
        <w:t xml:space="preserve">elect </w:t>
      </w:r>
      <w:r w:rsidR="00E20E4B">
        <w:t>C</w:t>
      </w:r>
      <w:r w:rsidRPr="00F543C1">
        <w:t>ommittee</w:t>
      </w:r>
      <w:r w:rsidR="00B942AF">
        <w:t>s</w:t>
      </w:r>
      <w:r w:rsidRPr="00F543C1">
        <w:t xml:space="preserve"> and can question individual </w:t>
      </w:r>
      <w:r w:rsidR="00E862D7">
        <w:t>M</w:t>
      </w:r>
      <w:r w:rsidRPr="00F543C1">
        <w:t xml:space="preserve">embers </w:t>
      </w:r>
      <w:r w:rsidR="00E862D7">
        <w:t xml:space="preserve">of Parliament </w:t>
      </w:r>
      <w:r w:rsidRPr="00F543C1">
        <w:t xml:space="preserve">via correspondence, as well as being able to enlist the support of their local member of parliament to address their </w:t>
      </w:r>
      <w:proofErr w:type="gramStart"/>
      <w:r w:rsidRPr="00F543C1">
        <w:t>grievances</w:t>
      </w:r>
      <w:proofErr w:type="gramEnd"/>
    </w:p>
    <w:p w14:paraId="02EFD45A" w14:textId="77777777" w:rsidR="001B024C" w:rsidRPr="00F543C1" w:rsidRDefault="001B024C" w:rsidP="001B024C">
      <w:pPr>
        <w:pStyle w:val="USBullet1"/>
      </w:pPr>
      <w:r w:rsidRPr="00F543C1">
        <w:t xml:space="preserve">Administrative law remedies are available to people who feel that they have been subject to poor </w:t>
      </w:r>
      <w:proofErr w:type="gramStart"/>
      <w:r w:rsidRPr="00F543C1">
        <w:t>decision-making</w:t>
      </w:r>
      <w:proofErr w:type="gramEnd"/>
    </w:p>
    <w:p w14:paraId="45B2203D" w14:textId="676A0236" w:rsidR="001B024C" w:rsidRPr="00726346" w:rsidRDefault="001B024C" w:rsidP="001B024C">
      <w:pPr>
        <w:pStyle w:val="USBullet1"/>
      </w:pPr>
      <w:r w:rsidRPr="00F543C1">
        <w:t xml:space="preserve">An independent parliamentary watchdog, the </w:t>
      </w:r>
      <w:r w:rsidR="00AA177F" w:rsidRPr="00F543C1">
        <w:t>Ombudsman, can</w:t>
      </w:r>
      <w:r w:rsidRPr="00F543C1">
        <w:t xml:space="preserve"> investigate c</w:t>
      </w:r>
      <w:r w:rsidR="00711533">
        <w:t>itizens</w:t>
      </w:r>
      <w:r w:rsidR="00712F93">
        <w:t>’</w:t>
      </w:r>
      <w:r w:rsidR="00711533">
        <w:t xml:space="preserve"> complaints and launch</w:t>
      </w:r>
      <w:r w:rsidRPr="00F543C1">
        <w:t xml:space="preserve"> their </w:t>
      </w:r>
      <w:r w:rsidRPr="00726346">
        <w:t xml:space="preserve">own </w:t>
      </w:r>
      <w:r w:rsidRPr="00F543C1">
        <w:t>investigations of administrative practices and policy advice.</w:t>
      </w:r>
      <w:r w:rsidRPr="009006D7">
        <w:rPr>
          <w:rStyle w:val="FootnoteReference"/>
        </w:rPr>
        <w:footnoteReference w:id="176"/>
      </w:r>
    </w:p>
    <w:p w14:paraId="5D8BB00F" w14:textId="3253F3FA" w:rsidR="001B024C" w:rsidRPr="00F543C1" w:rsidRDefault="001B024C" w:rsidP="001B024C">
      <w:pPr>
        <w:ind w:left="851"/>
      </w:pPr>
      <w:r w:rsidRPr="00F543C1">
        <w:t xml:space="preserve">At the </w:t>
      </w:r>
      <w:proofErr w:type="spellStart"/>
      <w:r w:rsidRPr="00F543C1">
        <w:t>meso</w:t>
      </w:r>
      <w:proofErr w:type="spellEnd"/>
      <w:r w:rsidRPr="00F543C1">
        <w:t xml:space="preserve"> and micro levels</w:t>
      </w:r>
      <w:r w:rsidR="00711533">
        <w:t>,</w:t>
      </w:r>
      <w:r w:rsidRPr="00F543C1">
        <w:t xml:space="preserve"> much better use could be made of accountability systems when it comes to addressing persistent disadvantage. Some best practice approaches are absent, and others exist but need to be applied more consistently. Stronger </w:t>
      </w:r>
      <w:r w:rsidRPr="00F543C1">
        <w:lastRenderedPageBreak/>
        <w:t>incentives to improve outcomes</w:t>
      </w:r>
      <w:r w:rsidR="00711533">
        <w:t xml:space="preserve"> are needed, particularly through ongoing testing, learning and adjustment</w:t>
      </w:r>
      <w:r w:rsidRPr="00F543C1">
        <w:t>.</w:t>
      </w:r>
    </w:p>
    <w:p w14:paraId="52EE0F82" w14:textId="468DB505" w:rsidR="001B024C" w:rsidRPr="00F543C1" w:rsidRDefault="001B024C" w:rsidP="001B024C">
      <w:pPr>
        <w:ind w:left="851"/>
      </w:pPr>
      <w:r w:rsidRPr="00F543C1">
        <w:t>As it stands, failing to meet policy objectives rarely leads to a change in approach or loss of funding. Centring the voices of people experiencing persistent disadvantage through co-design, delivery and assessment of assistance is still relatively novel. Reporting requirements are heavy-handed and are unlikely to generate improvements at either the programme or systems level. Although there are successful iwi- and hap</w:t>
      </w:r>
      <w:r w:rsidR="006C2A53" w:rsidRPr="00F543C1">
        <w:t>ū</w:t>
      </w:r>
      <w:r w:rsidRPr="00F543C1">
        <w:t>-based providers and other</w:t>
      </w:r>
      <w:r w:rsidR="007F2F29">
        <w:t>s</w:t>
      </w:r>
      <w:r w:rsidRPr="00F543C1">
        <w:t xml:space="preserve"> with the cultural capability that members of our diverse society need, too many providers do not understand values and contexts critical to their clients. </w:t>
      </w:r>
    </w:p>
    <w:p w14:paraId="11D5C2D3" w14:textId="77777777" w:rsidR="001B024C" w:rsidRPr="00F543C1" w:rsidRDefault="001B024C" w:rsidP="001B024C">
      <w:pPr>
        <w:ind w:left="851"/>
      </w:pPr>
      <w:r w:rsidRPr="00F543C1">
        <w:t>It is hardly a surprise that disadvantage persists.</w:t>
      </w:r>
    </w:p>
    <w:p w14:paraId="509FCEE6" w14:textId="3B47A30C" w:rsidR="001B024C" w:rsidRPr="00F543C1" w:rsidRDefault="001B024C" w:rsidP="001B024C">
      <w:pPr>
        <w:pStyle w:val="USBodyText"/>
      </w:pPr>
      <w:r w:rsidRPr="00F543C1">
        <w:t xml:space="preserve">At the </w:t>
      </w:r>
      <w:proofErr w:type="spellStart"/>
      <w:r w:rsidRPr="00F543C1">
        <w:t>meso</w:t>
      </w:r>
      <w:proofErr w:type="spellEnd"/>
      <w:r w:rsidRPr="00F543C1">
        <w:t xml:space="preserve"> level, the objectives of democratic, </w:t>
      </w:r>
      <w:proofErr w:type="gramStart"/>
      <w:r w:rsidRPr="00F543C1">
        <w:t>constitutional</w:t>
      </w:r>
      <w:proofErr w:type="gramEnd"/>
      <w:r w:rsidRPr="00F543C1">
        <w:t xml:space="preserve"> and learning accountability would be achieved in relation to persistent disadvantage if: </w:t>
      </w:r>
    </w:p>
    <w:p w14:paraId="1DD13AE1" w14:textId="77777777" w:rsidR="001B024C" w:rsidRPr="00F543C1" w:rsidRDefault="001B024C" w:rsidP="001B024C">
      <w:pPr>
        <w:pStyle w:val="USBullet1"/>
      </w:pPr>
      <w:r w:rsidRPr="00F543C1">
        <w:t>The voices of people experiencing persistent disadvantage are heard and reflected in policy development, programme design and monitoring and evaluation.</w:t>
      </w:r>
    </w:p>
    <w:p w14:paraId="7ECC7DBC" w14:textId="77777777" w:rsidR="001B024C" w:rsidRPr="00F543C1" w:rsidRDefault="001B024C" w:rsidP="001B024C">
      <w:pPr>
        <w:pStyle w:val="USBullet1"/>
      </w:pPr>
      <w:proofErr w:type="spellStart"/>
      <w:r w:rsidRPr="00F543C1">
        <w:t>Te</w:t>
      </w:r>
      <w:proofErr w:type="spellEnd"/>
      <w:r w:rsidRPr="00F543C1">
        <w:t xml:space="preserve"> Ao Māori values and the values of all groups experiencing persistent disadvantage are evident in all these areas.</w:t>
      </w:r>
    </w:p>
    <w:p w14:paraId="060097C0" w14:textId="77777777" w:rsidR="001B024C" w:rsidRPr="00726346" w:rsidRDefault="001B024C" w:rsidP="001B024C">
      <w:pPr>
        <w:pStyle w:val="USBullet1"/>
      </w:pPr>
      <w:r w:rsidRPr="00F543C1">
        <w:t>Governments clearly and publicly commit to meeting their stated policy objectives around supporting people experiencing persistent disadvantage in making the changes that they desire so they can live better lives.</w:t>
      </w:r>
      <w:r w:rsidRPr="009006D7">
        <w:rPr>
          <w:rStyle w:val="FootnoteReference"/>
        </w:rPr>
        <w:footnoteReference w:id="177"/>
      </w:r>
    </w:p>
    <w:p w14:paraId="5FCA5D5E" w14:textId="63768807" w:rsidR="001B024C" w:rsidRPr="00F543C1" w:rsidRDefault="001B024C" w:rsidP="001B024C">
      <w:pPr>
        <w:pStyle w:val="USBullet1"/>
      </w:pPr>
      <w:r w:rsidRPr="00F543C1">
        <w:t xml:space="preserve">A coherent set of policies directed at achieving that goal </w:t>
      </w:r>
      <w:r w:rsidR="001940B1">
        <w:t>supports</w:t>
      </w:r>
      <w:r w:rsidRPr="00F543C1">
        <w:t xml:space="preserve"> a system that builds trust through strong personal relationships and then walks with people on a journey to a better life.</w:t>
      </w:r>
      <w:r w:rsidRPr="009006D7">
        <w:rPr>
          <w:rStyle w:val="FootnoteReference"/>
        </w:rPr>
        <w:footnoteReference w:id="178"/>
      </w:r>
      <w:r w:rsidRPr="00726346">
        <w:t xml:space="preserve">  </w:t>
      </w:r>
    </w:p>
    <w:p w14:paraId="716CB6F6" w14:textId="4DEEF550" w:rsidR="001B024C" w:rsidRPr="00F543C1" w:rsidRDefault="001B024C" w:rsidP="001B024C">
      <w:pPr>
        <w:pStyle w:val="USBullet1"/>
      </w:pPr>
      <w:r w:rsidRPr="00F543C1">
        <w:t xml:space="preserve">Programmes and providers, including government departments, would </w:t>
      </w:r>
      <w:r w:rsidR="009B713F">
        <w:t xml:space="preserve">not </w:t>
      </w:r>
      <w:r w:rsidR="00A93BD5">
        <w:t xml:space="preserve">receive </w:t>
      </w:r>
      <w:r w:rsidR="00A93BD5" w:rsidRPr="00F543C1">
        <w:t>continued</w:t>
      </w:r>
      <w:r w:rsidRPr="00F543C1">
        <w:t xml:space="preserve"> funding unless specified </w:t>
      </w:r>
      <w:r w:rsidR="00B35D18">
        <w:t>i</w:t>
      </w:r>
      <w:r w:rsidR="001F012F">
        <w:t>nterm</w:t>
      </w:r>
      <w:r w:rsidR="00B35D18">
        <w:t xml:space="preserve">ediate </w:t>
      </w:r>
      <w:r w:rsidRPr="00F543C1">
        <w:t>outcomes are being met</w:t>
      </w:r>
      <w:r w:rsidR="00C86AAD">
        <w:t>, or clear plans for improvement in are in place</w:t>
      </w:r>
      <w:r w:rsidRPr="00F543C1">
        <w:t>.</w:t>
      </w:r>
    </w:p>
    <w:p w14:paraId="72B3F712" w14:textId="0F5592FD" w:rsidR="001B024C" w:rsidRPr="00F543C1" w:rsidRDefault="001B024C" w:rsidP="001B024C">
      <w:pPr>
        <w:pStyle w:val="USBullet1"/>
      </w:pPr>
      <w:r w:rsidRPr="00F543C1">
        <w:t>Effective, light-touch routine reporting against those aims and on the effectiveness of policy programmes</w:t>
      </w:r>
      <w:r w:rsidR="00CE4ED0">
        <w:t xml:space="preserve"> replaced existing </w:t>
      </w:r>
      <w:r w:rsidR="00924EED">
        <w:t xml:space="preserve">extensive </w:t>
      </w:r>
      <w:r w:rsidR="00CE4ED0">
        <w:t>report</w:t>
      </w:r>
      <w:r w:rsidR="00924EED">
        <w:t>ing</w:t>
      </w:r>
      <w:r w:rsidR="00CE4ED0">
        <w:t xml:space="preserve"> and pseudo accountability</w:t>
      </w:r>
      <w:r w:rsidR="00E160CE">
        <w:t>.</w:t>
      </w:r>
    </w:p>
    <w:p w14:paraId="7D1A698B" w14:textId="2EBAF6E7" w:rsidR="001B024C" w:rsidRPr="00F543C1" w:rsidRDefault="001B024C" w:rsidP="001B024C">
      <w:pPr>
        <w:pStyle w:val="USBullet1"/>
      </w:pPr>
      <w:r w:rsidRPr="00F543C1">
        <w:t>A</w:t>
      </w:r>
      <w:r w:rsidR="00DD045A">
        <w:t xml:space="preserve">n ongoing </w:t>
      </w:r>
      <w:r w:rsidRPr="00F543C1">
        <w:t>process of improvement would be in place, which without assigning blame and seeking scapegoats, would learn from the past to improve the future.</w:t>
      </w:r>
    </w:p>
    <w:p w14:paraId="794FEB02" w14:textId="77777777" w:rsidR="001B024C" w:rsidRPr="00F543C1" w:rsidRDefault="001B024C" w:rsidP="001B024C">
      <w:pPr>
        <w:ind w:left="851"/>
      </w:pPr>
      <w:r w:rsidRPr="00F543C1">
        <w:t xml:space="preserve">At the micro level, more focus should be placed on ways of working that: </w:t>
      </w:r>
    </w:p>
    <w:p w14:paraId="09F7B320" w14:textId="0BC50788" w:rsidR="001B024C" w:rsidRPr="00F543C1" w:rsidRDefault="001B024C" w:rsidP="001B024C">
      <w:pPr>
        <w:pStyle w:val="USBullet1"/>
      </w:pPr>
      <w:r w:rsidRPr="00F543C1">
        <w:t xml:space="preserve">Centre whānau voice in all levels of accountability, from the setting of high-level objectives through to detailed performance at the level of organisations </w:t>
      </w:r>
      <w:proofErr w:type="gramStart"/>
      <w:r w:rsidRPr="00F543C1">
        <w:t>providing assistance</w:t>
      </w:r>
      <w:proofErr w:type="gramEnd"/>
      <w:r w:rsidR="00AD6F54">
        <w:t>.</w:t>
      </w:r>
    </w:p>
    <w:p w14:paraId="7E9F8ECA" w14:textId="7DFAC323" w:rsidR="001B024C" w:rsidRPr="00F543C1" w:rsidRDefault="001B024C" w:rsidP="001B024C">
      <w:pPr>
        <w:pStyle w:val="USBullet1"/>
      </w:pPr>
      <w:r w:rsidRPr="00F543C1">
        <w:t>Empower front</w:t>
      </w:r>
      <w:r w:rsidR="00876BBD">
        <w:t>-</w:t>
      </w:r>
      <w:r w:rsidRPr="00F543C1">
        <w:t>line workers to provide the assistance that people experiencing persistent disadvantage say will help them lead better lives</w:t>
      </w:r>
      <w:r w:rsidR="00606679">
        <w:t>.</w:t>
      </w:r>
    </w:p>
    <w:p w14:paraId="4A35D61D" w14:textId="3FAE9290" w:rsidR="001B024C" w:rsidRPr="00F543C1" w:rsidRDefault="001B024C" w:rsidP="001B024C">
      <w:pPr>
        <w:pStyle w:val="USBullet1"/>
      </w:pPr>
      <w:r w:rsidRPr="00F543C1">
        <w:t>Hold those front-line staff accountable to both people experiencing persistent disadvantage and to their employers</w:t>
      </w:r>
      <w:r w:rsidR="00606679">
        <w:t>.</w:t>
      </w:r>
    </w:p>
    <w:p w14:paraId="0E6404C2" w14:textId="55C62C90" w:rsidR="001B024C" w:rsidRPr="00F543C1" w:rsidRDefault="001B024C" w:rsidP="001B024C">
      <w:pPr>
        <w:pStyle w:val="USBullet1"/>
      </w:pPr>
      <w:r w:rsidRPr="00F543C1">
        <w:lastRenderedPageBreak/>
        <w:t xml:space="preserve">Ensure rules for deciding whether services should be provided by </w:t>
      </w:r>
      <w:r w:rsidR="00C2137F">
        <w:t>government agencies</w:t>
      </w:r>
      <w:r w:rsidR="00C2137F" w:rsidRPr="00F543C1">
        <w:t xml:space="preserve"> </w:t>
      </w:r>
      <w:r w:rsidRPr="00F543C1">
        <w:t>or devolved to NGOs are based on objective assessments of effectiveness</w:t>
      </w:r>
      <w:r w:rsidR="00606679">
        <w:t>.</w:t>
      </w:r>
      <w:r w:rsidRPr="00F543C1">
        <w:t xml:space="preserve"> </w:t>
      </w:r>
    </w:p>
    <w:p w14:paraId="2E17415F" w14:textId="77777777" w:rsidR="001B024C" w:rsidRPr="00F543C1" w:rsidRDefault="001B024C" w:rsidP="001B024C">
      <w:pPr>
        <w:pStyle w:val="USBullet1"/>
      </w:pPr>
      <w:r w:rsidRPr="00F543C1">
        <w:t>Place more emphasis on desired outcomes when writing contracts with third-party providers.</w:t>
      </w:r>
    </w:p>
    <w:p w14:paraId="2D0E323C" w14:textId="77777777" w:rsidR="00C745C4" w:rsidRPr="00B71A2F" w:rsidRDefault="00C745C4" w:rsidP="00185F11">
      <w:pPr>
        <w:pStyle w:val="Heading2"/>
      </w:pPr>
      <w:bookmarkStart w:id="232" w:name="_Toc126092137"/>
      <w:bookmarkStart w:id="233" w:name="_Toc126841224"/>
      <w:bookmarkStart w:id="234" w:name="_Toc125536878"/>
      <w:r>
        <w:t>Supporting multiple lines of accountability</w:t>
      </w:r>
      <w:bookmarkEnd w:id="232"/>
      <w:bookmarkEnd w:id="233"/>
    </w:p>
    <w:p w14:paraId="14A9F2CE" w14:textId="5DB68827" w:rsidR="00C745C4" w:rsidRPr="00F543C1" w:rsidRDefault="00C745C4" w:rsidP="00C745C4">
      <w:pPr>
        <w:ind w:left="851"/>
      </w:pPr>
      <w:r w:rsidRPr="00F543C1">
        <w:t xml:space="preserve">At the level of individuals and small NGOs undertaking activities on contract to a department, the consequences of ineffectiveness are relatively easy to </w:t>
      </w:r>
      <w:proofErr w:type="gramStart"/>
      <w:r w:rsidRPr="00F543C1">
        <w:t>describe:</w:t>
      </w:r>
      <w:proofErr w:type="gramEnd"/>
      <w:r w:rsidRPr="00F543C1">
        <w:t xml:space="preserve"> feedback to encourage good behaviour; performance assessments; and, in the extreme, loss of pay, status or employment in the case of individuals and contract cancellation for NGOs. </w:t>
      </w:r>
    </w:p>
    <w:p w14:paraId="56D4757E" w14:textId="2D1EDA3A" w:rsidR="00C745C4" w:rsidRPr="00F543C1" w:rsidRDefault="00C745C4" w:rsidP="00C745C4">
      <w:pPr>
        <w:ind w:left="851"/>
      </w:pPr>
      <w:r w:rsidRPr="00F543C1">
        <w:t>But for Ministers, departments</w:t>
      </w:r>
      <w:r w:rsidR="00C2137F">
        <w:t xml:space="preserve">, </w:t>
      </w:r>
      <w:proofErr w:type="gramStart"/>
      <w:r w:rsidR="00C2137F">
        <w:t>agencies</w:t>
      </w:r>
      <w:proofErr w:type="gramEnd"/>
      <w:r w:rsidRPr="00F543C1">
        <w:t xml:space="preserve"> and large external providers who might be ‘too big to fail’, the consequences within an accountability system are often less direct. In a system with many players, identifying the </w:t>
      </w:r>
      <w:r w:rsidR="00914EF0">
        <w:t>positive or negative impact</w:t>
      </w:r>
      <w:r w:rsidRPr="00F543C1">
        <w:t xml:space="preserve"> of individuals or single organisations is complicated. As Matthew Palmer and Dean Knight note:</w:t>
      </w:r>
    </w:p>
    <w:p w14:paraId="2FAC4681" w14:textId="70053D70" w:rsidR="00C745C4" w:rsidRPr="00726346" w:rsidRDefault="00C745C4" w:rsidP="00C745C4">
      <w:pPr>
        <w:spacing w:before="120"/>
        <w:ind w:left="1276" w:right="425"/>
        <w:rPr>
          <w:i/>
          <w:color w:val="30353F"/>
        </w:rPr>
      </w:pPr>
      <w:r w:rsidRPr="00F543C1">
        <w:rPr>
          <w:i/>
          <w:color w:val="30353F"/>
        </w:rPr>
        <w:t xml:space="preserve">Modern government in New Zealand is characterised by multiple, often overlapping, lines of accountability – some formal some informal; some legal, some political. The state sector reforms of the 1980s sought to sharpen those lines; that is, to refine and concentrate accountability using precise expectations and standards. In doing so, it generated a mass of lines of accountability, much like a spider’s web. However, the multiplicity of sharpened lines has tended to atomise accountability, arguably allowing some actors to evade responsibility by pointing to the more direct accountability of others. A good example is the increasingly common response from ministers that a matter is operational and thus falls within the domain of the relevant departmental chief executive to explain. </w:t>
      </w:r>
      <w:r w:rsidRPr="00F543C1">
        <w:rPr>
          <w:iCs/>
          <w:color w:val="30353F"/>
        </w:rPr>
        <w:fldChar w:fldCharType="begin"/>
      </w:r>
      <w:r w:rsidR="009B0EC4">
        <w:rPr>
          <w:iCs/>
          <w:color w:val="30353F"/>
        </w:rPr>
        <w:instrText xml:space="preserve"> ADDIN ZOTERO_ITEM CSL_CITATION {"citationID":"ypPTCcye","properties":{"formattedCitation":"(Palmer and Knight 2022, 166)","plainCitation":"(Palmer and Knight 2022, 166)","noteIndex":0},"citationItems":[{"id":18446,"uris":["http://zotero.org/groups/4801058/items/VJID95CY"],"itemData":{"id":18446,"type":"book","abstract":"\"This book examines New Zealand's constitution, through the lens of constitutional realism. It looks at the practices, habits, conventions and norms of constitutional life. It focuses on the structures, processes and culture that govern the exercise of public power - a perspective that is necessary to explore and account for a lived, rather than textual, constitution. New Zealand's constitution is unique. One of three remaining unwritten democratic constitutions in the world, it is characterised by a charming set of anachronistic contrasts. \"Unwritten\", but much found in various written sources. Built on a network of Westminster constitutional conventions but generously tailored to local conditions. Proudly independent, yet perhaps a purer Westminster model than its British parent. Flexible and vulnerable, while oddly enduring. It looks to the centralised authority that comes with a strong executive, strict parliamentary sovereignty, and a unitary state. However, its populace insists on egalitarian values and representative democracy, with elections fiercely conducted nowadays under a system of proportional representation. The interests of indigenous Maori are protected largely through democratic majority rule. A reputation for upholding the rule of law, yet few institutional safeguards to ensure compliance\"--","call-number":"KUQ1750","collection-title":"Constitutional systems of the world","event-place":"Oxford, UK ; New York, NY","ISBN":"978-1-84946-904-3","number-of-pages":"1","publisher":"Hart Publishing, an imprint of Bloomsbury Publishing","publisher-place":"Oxford, UK ; New York, NY","source":"Library of Congress ISBN","title":"The Constitution of New Zealand: a contextual analysis","title-short":"The Constitution of New Zealand","author":[{"family":"Palmer","given":"Matthew"},{"family":"Knight","given":"Dean R."}],"issued":{"date-parts":[["2022"]]}},"locator":"166","label":"page"}],"schema":"https://github.com/citation-style-language/schema/raw/master/csl-citation.json"} </w:instrText>
      </w:r>
      <w:r w:rsidRPr="00F543C1">
        <w:rPr>
          <w:iCs/>
          <w:color w:val="30353F"/>
        </w:rPr>
        <w:fldChar w:fldCharType="separate"/>
      </w:r>
      <w:r w:rsidRPr="00F543C1">
        <w:rPr>
          <w:rFonts w:cs="Calibri"/>
          <w:iCs/>
          <w:color w:val="30353F"/>
        </w:rPr>
        <w:t>(Palmer and Knight 2022, 166)</w:t>
      </w:r>
      <w:r w:rsidRPr="00F543C1">
        <w:rPr>
          <w:iCs/>
          <w:color w:val="30353F"/>
        </w:rPr>
        <w:fldChar w:fldCharType="end"/>
      </w:r>
    </w:p>
    <w:p w14:paraId="7F1993A2" w14:textId="58130282" w:rsidR="00C745C4" w:rsidRPr="00726346" w:rsidRDefault="00C745C4" w:rsidP="00C745C4">
      <w:pPr>
        <w:ind w:left="851"/>
        <w:rPr>
          <w:i/>
          <w:color w:val="30353F"/>
        </w:rPr>
      </w:pPr>
      <w:r w:rsidRPr="00F543C1">
        <w:t>Our existing accountability system is largely linear: there is a vertical chain of authority from officials and providers up to Ministers and Parliament. This can reinforce specialised delivery. A</w:t>
      </w:r>
      <w:r w:rsidRPr="00726346">
        <w:t xml:space="preserve">ddressing persistent disadvantage requires a shift towards putting people experiencing persistent disadvantage in the centre of the system, with multiple lines of accountability radiating out from them. </w:t>
      </w:r>
      <w:r w:rsidRPr="00F543C1">
        <w:t>Multiple accountabilities may be a practical necessity. They may also provide a helpful way to increase the number of pressure points citizens have available to them to hold the government to account</w:t>
      </w:r>
      <w:r w:rsidRPr="00F543C1">
        <w:rPr>
          <w:iCs/>
          <w:color w:val="30353F"/>
        </w:rPr>
        <w:t>.</w:t>
      </w:r>
      <w:r w:rsidRPr="009006D7">
        <w:rPr>
          <w:rStyle w:val="FootnoteReference"/>
        </w:rPr>
        <w:footnoteReference w:id="179"/>
      </w:r>
    </w:p>
    <w:p w14:paraId="4D33AA82" w14:textId="77777777" w:rsidR="001B024C" w:rsidRDefault="001B024C" w:rsidP="00185F11">
      <w:pPr>
        <w:pStyle w:val="Heading2"/>
      </w:pPr>
      <w:bookmarkStart w:id="235" w:name="_Toc126092138"/>
      <w:bookmarkStart w:id="236" w:name="_Toc126841225"/>
      <w:r w:rsidRPr="00F543C1">
        <w:t>Achieving greater balance</w:t>
      </w:r>
      <w:bookmarkEnd w:id="234"/>
      <w:bookmarkEnd w:id="235"/>
      <w:bookmarkEnd w:id="236"/>
    </w:p>
    <w:p w14:paraId="2739DAE1" w14:textId="77777777" w:rsidR="00602848" w:rsidRDefault="005F6078" w:rsidP="00B71A2F">
      <w:pPr>
        <w:ind w:left="851"/>
      </w:pPr>
      <w:r>
        <w:t>T</w:t>
      </w:r>
      <w:r w:rsidR="0057595E">
        <w:t>he current accountability system applying to persistent disadvantage is unbalanced.</w:t>
      </w:r>
    </w:p>
    <w:p w14:paraId="7F82E439" w14:textId="290C017B" w:rsidR="009D54C8" w:rsidRDefault="0057595E" w:rsidP="00B71A2F">
      <w:pPr>
        <w:ind w:left="851"/>
      </w:pPr>
      <w:r>
        <w:t>Too much weight is given to unnecessarily complex and excessive reporting designed to eliminate waste, fraud and abuse and shift blame when things go wrong. Insufficient attention is placed on direct</w:t>
      </w:r>
      <w:r w:rsidR="001915BE">
        <w:t>ing</w:t>
      </w:r>
      <w:r>
        <w:t xml:space="preserve"> power to achieve </w:t>
      </w:r>
      <w:r w:rsidR="00D9043B">
        <w:t>better results</w:t>
      </w:r>
      <w:r>
        <w:t xml:space="preserve"> and learning </w:t>
      </w:r>
      <w:r w:rsidR="007B1D06">
        <w:t xml:space="preserve">at the programme level </w:t>
      </w:r>
      <w:r w:rsidR="00582074">
        <w:t xml:space="preserve">rarely leads to </w:t>
      </w:r>
      <w:r w:rsidR="009D54C8">
        <w:t xml:space="preserve">systemic </w:t>
      </w:r>
      <w:r w:rsidR="007C4D8A">
        <w:t>improvements</w:t>
      </w:r>
      <w:r w:rsidR="009D54C8">
        <w:t>.</w:t>
      </w:r>
    </w:p>
    <w:p w14:paraId="735018CE" w14:textId="01FAE21B" w:rsidR="00B71A2F" w:rsidRDefault="00B71A2F" w:rsidP="00B71A2F">
      <w:pPr>
        <w:ind w:left="851"/>
      </w:pPr>
      <w:r w:rsidRPr="00347879">
        <w:lastRenderedPageBreak/>
        <w:t xml:space="preserve">Our primary focus here is on accountability for assistance to address persistent disadvantage, but </w:t>
      </w:r>
      <w:r w:rsidR="00041E30" w:rsidRPr="00347879">
        <w:t>several changes</w:t>
      </w:r>
      <w:r w:rsidRPr="00347879">
        <w:t xml:space="preserve"> we propose have more widespread applicability.</w:t>
      </w:r>
      <w:r w:rsidRPr="00726346">
        <w:t xml:space="preserve"> </w:t>
      </w:r>
    </w:p>
    <w:p w14:paraId="4CC0565F" w14:textId="30B05F2F" w:rsidR="008E6D66" w:rsidRDefault="001B024C" w:rsidP="001B024C">
      <w:pPr>
        <w:ind w:left="851"/>
      </w:pPr>
      <w:r w:rsidRPr="00F543C1">
        <w:t xml:space="preserve">First, we recommended that greater weight </w:t>
      </w:r>
      <w:r w:rsidR="00C745C4">
        <w:t xml:space="preserve">be </w:t>
      </w:r>
      <w:r w:rsidRPr="00F543C1">
        <w:t xml:space="preserve">given to </w:t>
      </w:r>
      <w:r w:rsidRPr="00F543C1">
        <w:rPr>
          <w:b/>
          <w:bCs/>
        </w:rPr>
        <w:t>democratic accountability</w:t>
      </w:r>
      <w:r w:rsidRPr="00726346">
        <w:t xml:space="preserve"> in terms of </w:t>
      </w:r>
      <w:r w:rsidR="001E5FC3">
        <w:t xml:space="preserve">requiring Ministers to </w:t>
      </w:r>
      <w:r w:rsidRPr="00726346">
        <w:t>demonstrat</w:t>
      </w:r>
      <w:r w:rsidR="001E5FC3">
        <w:t>e</w:t>
      </w:r>
      <w:r w:rsidRPr="00726346">
        <w:t xml:space="preserve"> programme effectiveness and value</w:t>
      </w:r>
      <w:r w:rsidR="005723E7">
        <w:t xml:space="preserve"> </w:t>
      </w:r>
      <w:r w:rsidRPr="00726346">
        <w:t>for</w:t>
      </w:r>
      <w:r w:rsidR="005723E7">
        <w:t xml:space="preserve"> </w:t>
      </w:r>
      <w:r w:rsidRPr="00726346">
        <w:t>money.</w:t>
      </w:r>
    </w:p>
    <w:p w14:paraId="6BB80B8B" w14:textId="5401EAF5" w:rsidR="00E24D47" w:rsidRDefault="00500A61" w:rsidP="00E24D47">
      <w:pPr>
        <w:ind w:left="851"/>
      </w:pPr>
      <w:r>
        <w:t xml:space="preserve">Second, we recommend </w:t>
      </w:r>
      <w:r w:rsidR="00E70A1A">
        <w:t xml:space="preserve">reducing the emphasis on </w:t>
      </w:r>
      <w:r w:rsidR="00E70A1A" w:rsidRPr="001915BE">
        <w:rPr>
          <w:b/>
          <w:bCs/>
        </w:rPr>
        <w:t>constitutional accountability</w:t>
      </w:r>
      <w:r w:rsidR="00E70A1A">
        <w:t>.</w:t>
      </w:r>
      <w:r w:rsidR="00C745C4">
        <w:t xml:space="preserve"> In practice, this means</w:t>
      </w:r>
      <w:r w:rsidR="00D455EC">
        <w:t xml:space="preserve"> reducing the effort </w:t>
      </w:r>
      <w:r w:rsidR="00A259BD">
        <w:t>applied to</w:t>
      </w:r>
      <w:r w:rsidR="009D54C8">
        <w:t xml:space="preserve"> </w:t>
      </w:r>
      <w:r w:rsidR="00B674B1">
        <w:t xml:space="preserve">both </w:t>
      </w:r>
      <w:r w:rsidR="00D7515B">
        <w:t xml:space="preserve">reporting past </w:t>
      </w:r>
      <w:r w:rsidR="009D54C8">
        <w:t>actions</w:t>
      </w:r>
      <w:r w:rsidR="00D7515B">
        <w:t xml:space="preserve"> and attempting to replicate in contracts the detailed accountability approach that applies to the public sector to </w:t>
      </w:r>
      <w:r w:rsidR="008D6820">
        <w:t>third-</w:t>
      </w:r>
      <w:r w:rsidR="00D7515B">
        <w:t>part</w:t>
      </w:r>
      <w:r w:rsidR="007B1D06">
        <w:t>y</w:t>
      </w:r>
      <w:r w:rsidR="00D7515B">
        <w:t xml:space="preserve"> providers. </w:t>
      </w:r>
    </w:p>
    <w:p w14:paraId="16C73A14" w14:textId="6B71A841" w:rsidR="00E70A1A" w:rsidRDefault="00E70A1A" w:rsidP="00E70A1A">
      <w:pPr>
        <w:ind w:left="851"/>
      </w:pPr>
      <w:r w:rsidRPr="00726346">
        <w:t xml:space="preserve">We also </w:t>
      </w:r>
      <w:r w:rsidRPr="00F543C1">
        <w:t xml:space="preserve">recommend that more weight be placed on </w:t>
      </w:r>
      <w:r w:rsidRPr="00F543C1">
        <w:rPr>
          <w:b/>
          <w:bCs/>
        </w:rPr>
        <w:t>the learning dimension of accountability</w:t>
      </w:r>
      <w:r w:rsidRPr="00F543C1">
        <w:t>. In practice, what we propose is that the (enhanced) dem</w:t>
      </w:r>
      <w:r>
        <w:t>o</w:t>
      </w:r>
      <w:r w:rsidRPr="00F543C1">
        <w:t>cratic and (streamlined) constitutional accountability systems should be used</w:t>
      </w:r>
      <w:r>
        <w:t xml:space="preserve"> to embed a </w:t>
      </w:r>
      <w:proofErr w:type="gramStart"/>
      <w:r>
        <w:t>system</w:t>
      </w:r>
      <w:r w:rsidR="00C068C9">
        <w:t>s</w:t>
      </w:r>
      <w:proofErr w:type="gramEnd"/>
      <w:r w:rsidR="00602848">
        <w:t>-</w:t>
      </w:r>
      <w:r>
        <w:t xml:space="preserve"> thinking approach</w:t>
      </w:r>
      <w:r w:rsidR="00590A6D">
        <w:t xml:space="preserve"> at all levels (from providers through to Parliament)</w:t>
      </w:r>
      <w:r>
        <w:t xml:space="preserve"> </w:t>
      </w:r>
      <w:r w:rsidR="00286A8C">
        <w:t>to</w:t>
      </w:r>
      <w:r w:rsidR="00AB1B72">
        <w:t xml:space="preserve"> su</w:t>
      </w:r>
      <w:r w:rsidR="00590A6D">
        <w:t>pport systems change</w:t>
      </w:r>
      <w:r>
        <w:t>.</w:t>
      </w:r>
    </w:p>
    <w:p w14:paraId="740BD90B" w14:textId="3AA1B7C2" w:rsidR="00E70A1A" w:rsidRPr="00C27F51" w:rsidRDefault="00E70A1A" w:rsidP="00E70A1A">
      <w:pPr>
        <w:ind w:left="851"/>
        <w:rPr>
          <w:i/>
          <w:color w:val="30353F"/>
          <w:highlight w:val="green"/>
        </w:rPr>
      </w:pPr>
      <w:r>
        <w:t xml:space="preserve">We now examine each of these </w:t>
      </w:r>
      <w:r w:rsidR="000E6FDE">
        <w:t xml:space="preserve">points </w:t>
      </w:r>
      <w:r>
        <w:t xml:space="preserve">in detail. </w:t>
      </w:r>
    </w:p>
    <w:p w14:paraId="623BC57D" w14:textId="2818CD8A" w:rsidR="001B024C" w:rsidRDefault="00F0382B" w:rsidP="001B024C">
      <w:pPr>
        <w:pStyle w:val="Heading2"/>
      </w:pPr>
      <w:bookmarkStart w:id="237" w:name="_Toc125536881"/>
      <w:bookmarkStart w:id="238" w:name="_Ref125636994"/>
      <w:bookmarkStart w:id="239" w:name="_Toc126092139"/>
      <w:bookmarkStart w:id="240" w:name="_Toc126841226"/>
      <w:r>
        <w:t>Strengthening d</w:t>
      </w:r>
      <w:r w:rsidR="001B024C" w:rsidRPr="00F543C1">
        <w:t>emocratic accountability</w:t>
      </w:r>
      <w:bookmarkEnd w:id="237"/>
      <w:bookmarkEnd w:id="238"/>
      <w:bookmarkEnd w:id="239"/>
      <w:bookmarkEnd w:id="240"/>
    </w:p>
    <w:p w14:paraId="5E623676" w14:textId="41EB1684" w:rsidR="00D00F51" w:rsidRDefault="00D00F51" w:rsidP="00D00F51">
      <w:pPr>
        <w:ind w:left="851"/>
      </w:pPr>
      <w:r>
        <w:t xml:space="preserve">A successful accountability system promotes good government. It is concerned with the relationship between government actors and </w:t>
      </w:r>
      <w:r w:rsidR="00286A8C">
        <w:t>‘</w:t>
      </w:r>
      <w:r>
        <w:t>the people</w:t>
      </w:r>
      <w:r w:rsidR="00286A8C">
        <w:t>’</w:t>
      </w:r>
      <w:r>
        <w:t xml:space="preserve">. </w:t>
      </w:r>
    </w:p>
    <w:p w14:paraId="78D044F9" w14:textId="2DD662D5" w:rsidR="00D00F51" w:rsidRDefault="00D00F51" w:rsidP="00D00F51">
      <w:pPr>
        <w:ind w:left="851"/>
      </w:pPr>
      <w:r>
        <w:t xml:space="preserve">Successful democratic accountability reinforces the chain of democratic delegation and reminds those who exercise power on whose behalf they are acting. Every three years, our Parliament is subject to the highest level of accountability: a free and fair election in which voters decide who will be permitted to exercise the </w:t>
      </w:r>
      <w:r w:rsidR="002706F2">
        <w:t>state</w:t>
      </w:r>
      <w:r w:rsidR="00712F93">
        <w:t>’</w:t>
      </w:r>
      <w:r w:rsidR="002706F2">
        <w:t>s legal powers</w:t>
      </w:r>
      <w:r>
        <w:t>.</w:t>
      </w:r>
    </w:p>
    <w:p w14:paraId="68F30B2D" w14:textId="134EE965" w:rsidR="00D00F51" w:rsidRDefault="00D00F51" w:rsidP="00D00F51">
      <w:pPr>
        <w:ind w:left="851"/>
        <w:rPr>
          <w:iCs/>
          <w:color w:val="30353F"/>
        </w:rPr>
      </w:pPr>
      <w:r>
        <w:t xml:space="preserve">Between elections, accountability regimes impose </w:t>
      </w:r>
      <w:r w:rsidRPr="00136ABB">
        <w:rPr>
          <w:iCs/>
          <w:color w:val="30353F"/>
        </w:rPr>
        <w:t xml:space="preserve">‘auxiliary </w:t>
      </w:r>
      <w:r w:rsidRPr="00BE42B0">
        <w:rPr>
          <w:iCs/>
          <w:color w:val="30353F"/>
        </w:rPr>
        <w:t>precautions’</w:t>
      </w:r>
      <w:r>
        <w:rPr>
          <w:iCs/>
          <w:color w:val="30353F"/>
        </w:rPr>
        <w:t xml:space="preserve"> that ensure that power is used as voters intended</w:t>
      </w:r>
      <w:r w:rsidRPr="00BE42B0">
        <w:rPr>
          <w:iCs/>
          <w:color w:val="30353F"/>
        </w:rPr>
        <w:t>.</w:t>
      </w:r>
      <w:r>
        <w:rPr>
          <w:iCs/>
          <w:color w:val="30353F"/>
        </w:rPr>
        <w:t xml:space="preserve"> Some of those </w:t>
      </w:r>
      <w:r w:rsidRPr="00F07D82">
        <w:rPr>
          <w:iCs/>
          <w:color w:val="30353F"/>
        </w:rPr>
        <w:t>auxiliary precautions</w:t>
      </w:r>
      <w:r>
        <w:rPr>
          <w:iCs/>
          <w:color w:val="30353F"/>
        </w:rPr>
        <w:t xml:space="preserve"> also </w:t>
      </w:r>
      <w:r w:rsidR="002706F2">
        <w:rPr>
          <w:iCs/>
          <w:color w:val="30353F"/>
        </w:rPr>
        <w:t>protect</w:t>
      </w:r>
      <w:r>
        <w:rPr>
          <w:iCs/>
          <w:color w:val="30353F"/>
        </w:rPr>
        <w:t xml:space="preserve"> those with less powerful voices than the majority from abuse.</w:t>
      </w:r>
    </w:p>
    <w:p w14:paraId="4F00ADF7" w14:textId="3F032D02" w:rsidR="00D00F51" w:rsidRDefault="00D00F51" w:rsidP="00D00F51">
      <w:pPr>
        <w:ind w:left="851"/>
        <w:rPr>
          <w:b/>
          <w:bCs/>
        </w:rPr>
      </w:pPr>
      <w:r>
        <w:rPr>
          <w:iCs/>
          <w:color w:val="30353F"/>
        </w:rPr>
        <w:t>In modern democracies, democratic accountability also has a policy focus</w:t>
      </w:r>
      <w:r w:rsidRPr="00F543C1">
        <w:t>: it asks what parts of society a government want</w:t>
      </w:r>
      <w:r>
        <w:t>s</w:t>
      </w:r>
      <w:r w:rsidRPr="00F543C1">
        <w:t xml:space="preserve"> to change, what it want</w:t>
      </w:r>
      <w:r>
        <w:t>s</w:t>
      </w:r>
      <w:r w:rsidRPr="00F543C1">
        <w:t xml:space="preserve"> to preserve and how successful it </w:t>
      </w:r>
      <w:r>
        <w:t xml:space="preserve">is </w:t>
      </w:r>
      <w:r w:rsidRPr="00F543C1">
        <w:t>in achieving these objectives</w:t>
      </w:r>
      <w:r>
        <w:t xml:space="preserve">. </w:t>
      </w:r>
    </w:p>
    <w:p w14:paraId="681EB6CB" w14:textId="2EBBB93E" w:rsidR="00D00F51" w:rsidRDefault="00D00F51" w:rsidP="00D00F51">
      <w:pPr>
        <w:ind w:left="851"/>
        <w:rPr>
          <w:b/>
          <w:bCs/>
        </w:rPr>
      </w:pPr>
      <w:r>
        <w:t>Giving greater weight to democratic accountability is not</w:t>
      </w:r>
      <w:r w:rsidRPr="00726346">
        <w:t xml:space="preserve"> just a call for more effective programme evaluation. </w:t>
      </w:r>
      <w:r w:rsidRPr="00F543C1">
        <w:t>Decision-makers and their policy advisors need to be held to account more for actual social outcomes</w:t>
      </w:r>
      <w:r>
        <w:t>,</w:t>
      </w:r>
      <w:r w:rsidRPr="00F543C1">
        <w:t xml:space="preserve"> not just outputs and inputs (the</w:t>
      </w:r>
      <w:r w:rsidR="00F52EC8">
        <w:t>se</w:t>
      </w:r>
      <w:r w:rsidRPr="00F543C1">
        <w:t xml:space="preserve"> are the focus of constitutional accountability, </w:t>
      </w:r>
      <w:r w:rsidR="003B5358">
        <w:t>which we examine</w:t>
      </w:r>
      <w:r w:rsidRPr="00F543C1">
        <w:t xml:space="preserve"> in section </w:t>
      </w:r>
      <w:r w:rsidR="00A93BD5">
        <w:fldChar w:fldCharType="begin"/>
      </w:r>
      <w:r w:rsidR="00A93BD5">
        <w:instrText xml:space="preserve"> REF _Ref125979114 \r \h </w:instrText>
      </w:r>
      <w:r w:rsidR="00A93BD5">
        <w:fldChar w:fldCharType="separate"/>
      </w:r>
      <w:r w:rsidR="00E06351">
        <w:t>4.7</w:t>
      </w:r>
      <w:r w:rsidR="00A93BD5">
        <w:fldChar w:fldCharType="end"/>
      </w:r>
      <w:r w:rsidR="00A93BD5">
        <w:t>)</w:t>
      </w:r>
    </w:p>
    <w:p w14:paraId="7D577052" w14:textId="4A79A624" w:rsidR="00D00F51" w:rsidRPr="00136ABB" w:rsidRDefault="00D00F51" w:rsidP="00D00F51">
      <w:pPr>
        <w:pStyle w:val="USBodyText"/>
      </w:pPr>
      <w:r>
        <w:t xml:space="preserve">In other words, </w:t>
      </w:r>
      <w:r w:rsidRPr="00F543C1">
        <w:t xml:space="preserve">accountability should have consequences. But ‘consequences’ do not always equate to punishment. An often-missing consequence of accountability is policy change, </w:t>
      </w:r>
      <w:r w:rsidR="00791527">
        <w:t xml:space="preserve">an </w:t>
      </w:r>
      <w:r w:rsidRPr="00F543C1">
        <w:t xml:space="preserve">increase in the legitimacy of programmes and, as Mark </w:t>
      </w:r>
      <w:proofErr w:type="spellStart"/>
      <w:r w:rsidRPr="00F543C1">
        <w:t>Bovens</w:t>
      </w:r>
      <w:proofErr w:type="spellEnd"/>
      <w:r w:rsidRPr="00F543C1">
        <w:t xml:space="preserve"> notes, especially in the case of extreme events, “public catharsis”:</w:t>
      </w:r>
      <w:r>
        <w:t xml:space="preserve"> where accountability becomes a process in which </w:t>
      </w:r>
      <w:r w:rsidRPr="00136ABB">
        <w:t xml:space="preserve">victims </w:t>
      </w:r>
      <w:r>
        <w:t xml:space="preserve">can </w:t>
      </w:r>
      <w:r w:rsidRPr="00136ABB">
        <w:t>voice their grievances, and</w:t>
      </w:r>
      <w:r>
        <w:t xml:space="preserve"> call for those </w:t>
      </w:r>
      <w:r w:rsidR="005E63CF">
        <w:t xml:space="preserve">who </w:t>
      </w:r>
      <w:r>
        <w:t xml:space="preserve">have harmed </w:t>
      </w:r>
      <w:r w:rsidR="005E63CF">
        <w:t xml:space="preserve">them </w:t>
      </w:r>
      <w:r>
        <w:t xml:space="preserve">to </w:t>
      </w:r>
      <w:r w:rsidRPr="00136ABB">
        <w:t xml:space="preserve">justify or excuse their conduct </w:t>
      </w:r>
      <w:r w:rsidRPr="00136ABB">
        <w:fldChar w:fldCharType="begin"/>
      </w:r>
      <w:r w:rsidR="009B0EC4">
        <w:instrText xml:space="preserve"> ADDIN ZOTERO_ITEM CSL_CITATION {"citationID":"etQZhY8K","properties":{"formattedCitation":"(Bovens 2007a, 464)","plainCitation":"(Bovens 2007a, 464)","noteIndex":0},"citationItems":[{"id":14183,"uris":["http://zotero.org/groups/4623831/items/VDFHFEGU"],"itemData":{"id":14183,"type":"article-journal","abstract":"Abstract: It has been argued that the EU suffers from serious accountability deficits. But how can we establish the existence of accountability deficits? This article tries to get to grips with the appealing but elusive concept of accountability by asking three types of questions. First a conceptual one: what exactly is meant by accountability? In this article the concept of accountability is used in a rather narrow sense: a relationship between an actor and a forum, in which the actor has an obligation to explain and to justify his or her conduct, the forum can pose questions and pass judgement, and the actor may face consequences. The second question is analytical: what types of accountability are involved? A series of dimensions of accountability are discerned that can be used to describe the various accountability relations and arrangements that can be found in the different domains of European governance. The third question is evaluative: how should we assess these accountability arrangements? The article provides three evaluative perspectives: a democratic, a constitutional and a learning perspective. Each of these perspectives may produce different types of accountability deficits.","container-title":"European Law Journal","DOI":"10.1111/j.1468-0386.2007.00378.x","ISSN":"1468-0386","issue":"4","language":"en","note":"_eprint: https://onlinelibrary.wiley.com/doi/pdf/10.1111/j.1468-0386.2007.00378.x","page":"447-468","source":"Wiley Online Library","title":"Analysing and Assessing Accountability: A Conceptual Framework","title-short":"Analysing and Assessing Accountability","volume":"13","author":[{"family":"Bovens","given":"Mark"}],"issued":{"date-parts":[["2007"]]}},"locator":"464","label":"page"}],"schema":"https://github.com/citation-style-language/schema/raw/master/csl-citation.json"} </w:instrText>
      </w:r>
      <w:r w:rsidRPr="00136ABB">
        <w:fldChar w:fldCharType="separate"/>
      </w:r>
      <w:r w:rsidRPr="00136ABB">
        <w:t>(Bovens 2007a, 464)</w:t>
      </w:r>
      <w:r w:rsidRPr="00136ABB">
        <w:fldChar w:fldCharType="end"/>
      </w:r>
      <w:r w:rsidR="00077529">
        <w:t>.</w:t>
      </w:r>
      <w:r w:rsidRPr="009006D7">
        <w:rPr>
          <w:rStyle w:val="FootnoteReference"/>
        </w:rPr>
        <w:footnoteReference w:id="180"/>
      </w:r>
    </w:p>
    <w:p w14:paraId="21395F30" w14:textId="63DA0858" w:rsidR="00D00F51" w:rsidRPr="00D00F51" w:rsidRDefault="00D00F51" w:rsidP="001368BC">
      <w:pPr>
        <w:ind w:left="851"/>
      </w:pPr>
      <w:r w:rsidRPr="00F543C1">
        <w:lastRenderedPageBreak/>
        <w:t>Allowing all citizens to understand what public service departments are doing and to have an informed view of their effectiveness and efficiency is an important part of our democracy.</w:t>
      </w:r>
    </w:p>
    <w:p w14:paraId="241E1CB3" w14:textId="0E1A3219" w:rsidR="001B024C" w:rsidRDefault="001B024C" w:rsidP="001B024C">
      <w:pPr>
        <w:pStyle w:val="Heading3"/>
      </w:pPr>
      <w:bookmarkStart w:id="241" w:name="_Toc126092140"/>
      <w:r w:rsidRPr="00F543C1">
        <w:t>Centr</w:t>
      </w:r>
      <w:r w:rsidR="00FE2F93">
        <w:t>ing</w:t>
      </w:r>
      <w:r w:rsidRPr="00F543C1">
        <w:t xml:space="preserve"> whānau voice</w:t>
      </w:r>
      <w:bookmarkEnd w:id="241"/>
    </w:p>
    <w:p w14:paraId="795DB6B8" w14:textId="4437FB2E" w:rsidR="00BF2C48" w:rsidRDefault="00CE3E8B">
      <w:pPr>
        <w:pStyle w:val="USBodyText"/>
      </w:pPr>
      <w:r w:rsidRPr="001915BE">
        <w:t xml:space="preserve">Our current democratic </w:t>
      </w:r>
      <w:r w:rsidR="005472D7" w:rsidRPr="001915BE">
        <w:t xml:space="preserve">accountability system is based on the ‘Westminster’ chain of vertical accountability that we described in </w:t>
      </w:r>
      <w:r w:rsidR="005472D7" w:rsidRPr="001915BE">
        <w:fldChar w:fldCharType="begin"/>
      </w:r>
      <w:r w:rsidR="005472D7" w:rsidRPr="001915BE">
        <w:instrText xml:space="preserve"> REF _Ref124878359 \h </w:instrText>
      </w:r>
      <w:r w:rsidR="001915BE">
        <w:instrText xml:space="preserve"> \* MERGEFORMAT </w:instrText>
      </w:r>
      <w:r w:rsidR="005472D7" w:rsidRPr="001915BE">
        <w:fldChar w:fldCharType="separate"/>
      </w:r>
      <w:r w:rsidR="00E06351" w:rsidRPr="00F543C1">
        <w:t>Figure </w:t>
      </w:r>
      <w:r w:rsidR="00E06351">
        <w:t>10</w:t>
      </w:r>
      <w:r w:rsidR="005472D7" w:rsidRPr="001915BE">
        <w:fldChar w:fldCharType="end"/>
      </w:r>
      <w:r w:rsidR="005472D7" w:rsidRPr="001915BE">
        <w:t xml:space="preserve"> on page </w:t>
      </w:r>
      <w:r w:rsidR="005472D7" w:rsidRPr="001915BE">
        <w:fldChar w:fldCharType="begin"/>
      </w:r>
      <w:r w:rsidR="005472D7" w:rsidRPr="001915BE">
        <w:instrText xml:space="preserve"> PAGEREF _Ref125486413 \h </w:instrText>
      </w:r>
      <w:r w:rsidR="005472D7" w:rsidRPr="001915BE">
        <w:fldChar w:fldCharType="separate"/>
      </w:r>
      <w:r w:rsidR="00E06351">
        <w:rPr>
          <w:noProof/>
        </w:rPr>
        <w:t>75</w:t>
      </w:r>
      <w:r w:rsidR="005472D7" w:rsidRPr="001915BE">
        <w:fldChar w:fldCharType="end"/>
      </w:r>
      <w:r w:rsidR="005472D7" w:rsidRPr="001915BE">
        <w:t>.</w:t>
      </w:r>
      <w:r w:rsidR="00CE6E5A" w:rsidRPr="001915BE">
        <w:t xml:space="preserve"> This approach </w:t>
      </w:r>
      <w:r w:rsidR="00DC388C" w:rsidRPr="001915BE">
        <w:t xml:space="preserve">is predicated on the idea that elections are </w:t>
      </w:r>
      <w:r w:rsidR="007F165F" w:rsidRPr="001915BE">
        <w:t xml:space="preserve">the most effective </w:t>
      </w:r>
      <w:r w:rsidR="00F734AB" w:rsidRPr="001915BE">
        <w:t xml:space="preserve">way of holding policymakers, </w:t>
      </w:r>
      <w:proofErr w:type="gramStart"/>
      <w:r w:rsidR="00F734AB" w:rsidRPr="001915BE">
        <w:t>advisers</w:t>
      </w:r>
      <w:proofErr w:type="gramEnd"/>
      <w:r w:rsidR="00F734AB" w:rsidRPr="001915BE">
        <w:t xml:space="preserve"> and program</w:t>
      </w:r>
      <w:r w:rsidR="00FA62C1">
        <w:t>me</w:t>
      </w:r>
      <w:r w:rsidR="00F734AB" w:rsidRPr="001915BE">
        <w:t xml:space="preserve"> operators to account for achieving the outcomes desired by the electorate.</w:t>
      </w:r>
    </w:p>
    <w:p w14:paraId="7CF3FE22" w14:textId="1E13DFD4" w:rsidR="005472D7" w:rsidRDefault="00F734AB">
      <w:pPr>
        <w:pStyle w:val="USBodyText"/>
      </w:pPr>
      <w:r w:rsidRPr="001915BE">
        <w:t>But the electorate rarely speaks with one voice</w:t>
      </w:r>
      <w:r w:rsidR="001368BC">
        <w:t>, especially given New Zealand</w:t>
      </w:r>
      <w:r w:rsidR="0093335F">
        <w:t>’s</w:t>
      </w:r>
      <w:r w:rsidR="001368BC">
        <w:t xml:space="preserve"> Mixed Member Proportional representation voting system, which usually result</w:t>
      </w:r>
      <w:r w:rsidR="0093335F">
        <w:t>s</w:t>
      </w:r>
      <w:r w:rsidR="001368BC">
        <w:t xml:space="preserve"> in either multi-party coalition governments or </w:t>
      </w:r>
      <w:r w:rsidR="0093335F">
        <w:t xml:space="preserve">a </w:t>
      </w:r>
      <w:r w:rsidR="001368BC">
        <w:t>minority government with guarantees of support from other parties</w:t>
      </w:r>
      <w:r w:rsidR="0010306D">
        <w:t>.</w:t>
      </w:r>
      <w:r w:rsidR="001915BE">
        <w:t xml:space="preserve"> A</w:t>
      </w:r>
      <w:r w:rsidR="0003216C" w:rsidRPr="001915BE">
        <w:t xml:space="preserve"> focus on majoritarian</w:t>
      </w:r>
      <w:r w:rsidR="00653DFD" w:rsidRPr="001915BE">
        <w:t xml:space="preserve"> vot</w:t>
      </w:r>
      <w:r w:rsidR="001915BE" w:rsidRPr="00136ABB">
        <w:t>ing</w:t>
      </w:r>
      <w:r w:rsidR="0003216C" w:rsidRPr="001915BE">
        <w:t xml:space="preserve"> in the absence of institutions that pro</w:t>
      </w:r>
      <w:r w:rsidR="003A02E6" w:rsidRPr="001915BE">
        <w:t>tect and promote the interest</w:t>
      </w:r>
      <w:r w:rsidR="00BF2C48">
        <w:t>s</w:t>
      </w:r>
      <w:r w:rsidR="003A02E6" w:rsidRPr="001915BE">
        <w:t xml:space="preserve"> </w:t>
      </w:r>
      <w:r w:rsidR="004E0E9F" w:rsidRPr="001915BE">
        <w:t>of vulnerable</w:t>
      </w:r>
      <w:r w:rsidR="0003216C" w:rsidRPr="001915BE">
        <w:t xml:space="preserve"> </w:t>
      </w:r>
      <w:r w:rsidR="00BF2C48">
        <w:t>people</w:t>
      </w:r>
      <w:r w:rsidR="00BF2C48" w:rsidRPr="001915BE">
        <w:t xml:space="preserve"> </w:t>
      </w:r>
      <w:r w:rsidR="003A02E6" w:rsidRPr="001915BE">
        <w:t>results</w:t>
      </w:r>
      <w:r w:rsidR="00BF2C48">
        <w:t xml:space="preserve"> </w:t>
      </w:r>
      <w:r w:rsidR="001915BE" w:rsidRPr="001915BE">
        <w:t>i</w:t>
      </w:r>
      <w:r w:rsidR="003A02E6" w:rsidRPr="001915BE">
        <w:t xml:space="preserve">n their voices being </w:t>
      </w:r>
      <w:r w:rsidR="006E4D7A">
        <w:t>drowned-out</w:t>
      </w:r>
      <w:r w:rsidR="003A02E6" w:rsidRPr="001915BE">
        <w:t>. Front</w:t>
      </w:r>
      <w:r w:rsidR="004E0E9F" w:rsidRPr="001915BE">
        <w:t xml:space="preserve">-line workers are too remote from voters to be held to account for their day-to-day interactions with the </w:t>
      </w:r>
      <w:r w:rsidR="001915BE" w:rsidRPr="001915BE">
        <w:t xml:space="preserve">people </w:t>
      </w:r>
      <w:r w:rsidR="004E0E9F" w:rsidRPr="001915BE">
        <w:t>they are assisting.</w:t>
      </w:r>
      <w:r w:rsidR="008E0369" w:rsidRPr="001915BE">
        <w:t xml:space="preserve"> </w:t>
      </w:r>
      <w:r w:rsidR="00552A34">
        <w:t xml:space="preserve">Where </w:t>
      </w:r>
      <w:r w:rsidR="00CE53A6">
        <w:t xml:space="preserve">workers </w:t>
      </w:r>
      <w:r w:rsidR="00552A34">
        <w:t xml:space="preserve">identify </w:t>
      </w:r>
      <w:r w:rsidR="0028149F">
        <w:t xml:space="preserve">systems challenges and </w:t>
      </w:r>
      <w:r w:rsidR="00552A34">
        <w:t>better ways of working</w:t>
      </w:r>
      <w:r w:rsidR="0093335F">
        <w:t>,</w:t>
      </w:r>
      <w:r w:rsidR="00B8223B">
        <w:t xml:space="preserve"> </w:t>
      </w:r>
      <w:r w:rsidR="00EB4502">
        <w:t xml:space="preserve">these often fail to get </w:t>
      </w:r>
      <w:r w:rsidR="00B8223B">
        <w:t xml:space="preserve">wider </w:t>
      </w:r>
      <w:r w:rsidR="00EB4502">
        <w:t>traction</w:t>
      </w:r>
      <w:r w:rsidR="008E0369" w:rsidRPr="001915BE">
        <w:t>.</w:t>
      </w:r>
      <w:r w:rsidR="007F0EAC">
        <w:t xml:space="preserve"> </w:t>
      </w:r>
    </w:p>
    <w:p w14:paraId="5486F821" w14:textId="49C2AD83" w:rsidR="001B024C" w:rsidRDefault="001B024C" w:rsidP="0025593C">
      <w:pPr>
        <w:ind w:left="851"/>
      </w:pPr>
      <w:r w:rsidRPr="00F543C1">
        <w:t xml:space="preserve">The most fundamental change we recommend </w:t>
      </w:r>
      <w:r w:rsidRPr="00726346">
        <w:t xml:space="preserve">is that people experiencing persistent disadvantage </w:t>
      </w:r>
      <w:r w:rsidRPr="0010306D">
        <w:t>have a leading</w:t>
      </w:r>
      <w:r w:rsidR="00711263" w:rsidRPr="0010306D">
        <w:t xml:space="preserve"> </w:t>
      </w:r>
      <w:r w:rsidRPr="0010306D">
        <w:t>role in multiple accountability relationships</w:t>
      </w:r>
      <w:r w:rsidR="00DE645D">
        <w:t xml:space="preserve"> </w:t>
      </w:r>
      <w:r w:rsidR="002D374A">
        <w:t xml:space="preserve">to </w:t>
      </w:r>
      <w:r w:rsidR="00552F0B">
        <w:t>improve outcomes and strengthen democratic accountability</w:t>
      </w:r>
      <w:r w:rsidRPr="00F543C1">
        <w:t>.</w:t>
      </w:r>
      <w:r w:rsidR="00462CBF" w:rsidRPr="009006D7">
        <w:rPr>
          <w:rStyle w:val="FootnoteReference"/>
        </w:rPr>
        <w:footnoteReference w:id="181"/>
      </w:r>
      <w:r w:rsidRPr="00726346">
        <w:t xml:space="preserve"> The ‘Westminster’ chain of vertical accountability that we described in </w:t>
      </w:r>
      <w:r w:rsidR="00C27F51">
        <w:fldChar w:fldCharType="begin"/>
      </w:r>
      <w:r w:rsidR="00C27F51">
        <w:instrText xml:space="preserve"> REF _Ref124878359 \h </w:instrText>
      </w:r>
      <w:r w:rsidR="00C27F51">
        <w:fldChar w:fldCharType="separate"/>
      </w:r>
      <w:r w:rsidR="00E06351" w:rsidRPr="00F543C1">
        <w:t>Figure </w:t>
      </w:r>
      <w:r w:rsidR="00E06351">
        <w:rPr>
          <w:noProof/>
        </w:rPr>
        <w:t>10</w:t>
      </w:r>
      <w:r w:rsidR="00C27F51">
        <w:fldChar w:fldCharType="end"/>
      </w:r>
      <w:r w:rsidR="00C27F51" w:rsidRPr="00726346">
        <w:t xml:space="preserve"> </w:t>
      </w:r>
      <w:r w:rsidRPr="00F543C1">
        <w:t xml:space="preserve">needs to be </w:t>
      </w:r>
      <w:r w:rsidR="00414258" w:rsidRPr="00F543C1">
        <w:t>replaced</w:t>
      </w:r>
      <w:r w:rsidRPr="00F543C1">
        <w:t xml:space="preserve"> with something like that depicted in </w:t>
      </w:r>
      <w:r w:rsidRPr="00F543C1">
        <w:fldChar w:fldCharType="begin"/>
      </w:r>
      <w:r w:rsidRPr="00F543C1">
        <w:instrText xml:space="preserve"> REF _Ref125548355 \h </w:instrText>
      </w:r>
      <w:r w:rsidRPr="00F543C1">
        <w:fldChar w:fldCharType="separate"/>
      </w:r>
      <w:r w:rsidR="00E06351" w:rsidRPr="00F543C1">
        <w:t>Figure </w:t>
      </w:r>
      <w:r w:rsidR="00E06351">
        <w:rPr>
          <w:noProof/>
        </w:rPr>
        <w:t>12</w:t>
      </w:r>
      <w:r w:rsidRPr="00F543C1">
        <w:fldChar w:fldCharType="end"/>
      </w:r>
      <w:r w:rsidRPr="00726346">
        <w:t xml:space="preserve">. </w:t>
      </w:r>
    </w:p>
    <w:p w14:paraId="244C290F" w14:textId="77777777" w:rsidR="000F545E" w:rsidRDefault="000F545E" w:rsidP="000F545E">
      <w:pPr>
        <w:ind w:left="851"/>
      </w:pPr>
      <w:r>
        <w:t>A</w:t>
      </w:r>
      <w:r w:rsidRPr="00F543C1">
        <w:t xml:space="preserve"> primary accountability relationship is from front</w:t>
      </w:r>
      <w:r>
        <w:t>-</w:t>
      </w:r>
      <w:r w:rsidRPr="00F543C1">
        <w:t>line staff</w:t>
      </w:r>
      <w:r>
        <w:t xml:space="preserve"> to</w:t>
      </w:r>
      <w:r w:rsidRPr="00F543C1">
        <w:t xml:space="preserve"> </w:t>
      </w:r>
      <w:r>
        <w:t xml:space="preserve">people </w:t>
      </w:r>
      <w:r w:rsidRPr="00975904">
        <w:t>experiencing persistent disadvantage</w:t>
      </w:r>
      <w:r>
        <w:t xml:space="preserve">. </w:t>
      </w:r>
      <w:r w:rsidRPr="00F543C1">
        <w:t xml:space="preserve">This reflects the importance of empowered, capable front-line </w:t>
      </w:r>
      <w:r>
        <w:t>workers</w:t>
      </w:r>
      <w:r w:rsidRPr="00F543C1">
        <w:t xml:space="preserve"> in the assistance process. </w:t>
      </w:r>
      <w:r>
        <w:t xml:space="preserve">Accountability runs both ways because both parties need to act for change to occur. </w:t>
      </w:r>
      <w:r w:rsidRPr="00F543C1">
        <w:t xml:space="preserve">There should </w:t>
      </w:r>
      <w:r>
        <w:t xml:space="preserve">also </w:t>
      </w:r>
      <w:r w:rsidRPr="00F543C1">
        <w:t>be accountability from other organisations</w:t>
      </w:r>
      <w:r>
        <w:t>, including departments, NGOs and Crown entities which assist</w:t>
      </w:r>
      <w:r w:rsidRPr="00F543C1">
        <w:t xml:space="preserve"> people experiencing persistent disadvantage.</w:t>
      </w:r>
    </w:p>
    <w:p w14:paraId="2B5C4115" w14:textId="77777777" w:rsidR="000F545E" w:rsidRDefault="000F545E" w:rsidP="000F545E">
      <w:pPr>
        <w:ind w:left="851"/>
      </w:pPr>
      <w:r w:rsidRPr="00F543C1">
        <w:t xml:space="preserve">We are not suggesting a direct, personal accountability relationship from each person or whānau experiencing persistent disadvantage to managers, </w:t>
      </w:r>
      <w:proofErr w:type="gramStart"/>
      <w:r w:rsidRPr="00F543C1">
        <w:t>executives</w:t>
      </w:r>
      <w:proofErr w:type="gramEnd"/>
      <w:r w:rsidRPr="00F543C1">
        <w:t xml:space="preserve"> and Ministers. Rather, we </w:t>
      </w:r>
      <w:r>
        <w:t>recommend that agencies and their managers shift their focus from exclusively looking up a vertical accountability chain to an approach that involves looking out to the people they are assisting</w:t>
      </w:r>
      <w:r w:rsidRPr="00F543C1">
        <w:t xml:space="preserve">. </w:t>
      </w:r>
    </w:p>
    <w:p w14:paraId="644F5D4C" w14:textId="77777777" w:rsidR="000F545E" w:rsidRPr="00F543C1" w:rsidRDefault="000F545E" w:rsidP="000F545E">
      <w:pPr>
        <w:ind w:left="851"/>
      </w:pPr>
    </w:p>
    <w:p w14:paraId="1F3C1415" w14:textId="77777777" w:rsidR="000F545E" w:rsidRPr="00F543C1" w:rsidRDefault="000F545E" w:rsidP="0025593C">
      <w:pPr>
        <w:ind w:left="851"/>
      </w:pPr>
    </w:p>
    <w:p w14:paraId="58E9E972" w14:textId="699EFBEC" w:rsidR="001B024C" w:rsidRDefault="001B024C" w:rsidP="001B024C">
      <w:pPr>
        <w:pStyle w:val="FigureCaption"/>
      </w:pPr>
      <w:bookmarkStart w:id="242" w:name="_Ref125548355"/>
      <w:bookmarkStart w:id="243" w:name="_Toc126841243"/>
      <w:r w:rsidRPr="00F543C1">
        <w:lastRenderedPageBreak/>
        <w:t>Figure </w:t>
      </w:r>
      <w:r w:rsidRPr="00F543C1">
        <w:fldChar w:fldCharType="begin"/>
      </w:r>
      <w:r w:rsidRPr="00F543C1">
        <w:instrText>SEQ Figure \* ARABIC</w:instrText>
      </w:r>
      <w:r w:rsidRPr="00F543C1">
        <w:fldChar w:fldCharType="separate"/>
      </w:r>
      <w:r w:rsidR="00E06351">
        <w:rPr>
          <w:noProof/>
        </w:rPr>
        <w:t>12</w:t>
      </w:r>
      <w:r w:rsidRPr="00F543C1">
        <w:fldChar w:fldCharType="end"/>
      </w:r>
      <w:bookmarkEnd w:id="242"/>
      <w:r w:rsidRPr="00F543C1">
        <w:t xml:space="preserve"> A new accountability structure for persistent disadvantage</w:t>
      </w:r>
      <w:bookmarkEnd w:id="243"/>
    </w:p>
    <w:p w14:paraId="1709CC5F" w14:textId="53F32E6A" w:rsidR="006F44E0" w:rsidRPr="00F543C1" w:rsidRDefault="006F44E0" w:rsidP="001B024C">
      <w:pPr>
        <w:pStyle w:val="FigureCaption"/>
      </w:pPr>
      <w:r>
        <w:rPr>
          <w:noProof/>
        </w:rPr>
        <w:drawing>
          <wp:inline distT="0" distB="0" distL="0" distR="0" wp14:anchorId="33487DF6" wp14:editId="7E452A1D">
            <wp:extent cx="5580380" cy="3680460"/>
            <wp:effectExtent l="0" t="0" r="127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0"/>
                    <a:stretch>
                      <a:fillRect/>
                    </a:stretch>
                  </pic:blipFill>
                  <pic:spPr>
                    <a:xfrm>
                      <a:off x="0" y="0"/>
                      <a:ext cx="5580380" cy="3680460"/>
                    </a:xfrm>
                    <a:prstGeom prst="rect">
                      <a:avLst/>
                    </a:prstGeom>
                  </pic:spPr>
                </pic:pic>
              </a:graphicData>
            </a:graphic>
          </wp:inline>
        </w:drawing>
      </w:r>
    </w:p>
    <w:p w14:paraId="7BD3CDF2" w14:textId="77777777" w:rsidR="001B024C" w:rsidRPr="00F543C1" w:rsidRDefault="001B024C" w:rsidP="001B024C">
      <w:pPr>
        <w:spacing w:before="120" w:after="360" w:line="220" w:lineRule="atLeast"/>
        <w:ind w:left="851"/>
        <w:rPr>
          <w:sz w:val="18"/>
        </w:rPr>
      </w:pPr>
      <w:r w:rsidRPr="00F543C1">
        <w:rPr>
          <w:sz w:val="18"/>
        </w:rPr>
        <w:t>Source: The authors</w:t>
      </w:r>
    </w:p>
    <w:p w14:paraId="55412A67" w14:textId="64755298" w:rsidR="001B024C" w:rsidRPr="00F543C1" w:rsidRDefault="001B024C" w:rsidP="001B024C">
      <w:pPr>
        <w:ind w:left="851"/>
      </w:pPr>
      <w:r w:rsidRPr="00F543C1">
        <w:t xml:space="preserve">Our idea is </w:t>
      </w:r>
      <w:proofErr w:type="gramStart"/>
      <w:r w:rsidRPr="00F543C1">
        <w:t>similar to</w:t>
      </w:r>
      <w:proofErr w:type="gramEnd"/>
      <w:r w:rsidRPr="00F543C1">
        <w:t xml:space="preserve"> that proposed by the Welfare Experts Advisory Group, who recommended that the social benefits system be based on the principle of ‘</w:t>
      </w:r>
      <w:proofErr w:type="spellStart"/>
      <w:r w:rsidRPr="00F543C1">
        <w:t>whakamana</w:t>
      </w:r>
      <w:proofErr w:type="spellEnd"/>
      <w:r w:rsidRPr="00F543C1">
        <w:t xml:space="preserve"> tāngata’:</w:t>
      </w:r>
      <w:r w:rsidRPr="009006D7">
        <w:rPr>
          <w:rStyle w:val="FootnoteReference"/>
        </w:rPr>
        <w:footnoteReference w:id="182"/>
      </w:r>
      <w:r w:rsidRPr="00F543C1">
        <w:t xml:space="preserve"> </w:t>
      </w:r>
    </w:p>
    <w:p w14:paraId="40049346" w14:textId="77777777" w:rsidR="001B024C" w:rsidRPr="00F543C1" w:rsidRDefault="001B024C" w:rsidP="001B024C">
      <w:pPr>
        <w:spacing w:before="120"/>
        <w:ind w:left="1276" w:right="425"/>
        <w:rPr>
          <w:i/>
          <w:color w:val="30353F"/>
        </w:rPr>
      </w:pPr>
      <w:r w:rsidRPr="00F543C1">
        <w:rPr>
          <w:i/>
          <w:color w:val="30353F"/>
        </w:rPr>
        <w:t xml:space="preserve">[W]e </w:t>
      </w:r>
      <w:proofErr w:type="gramStart"/>
      <w:r w:rsidRPr="00F543C1">
        <w:rPr>
          <w:i/>
          <w:color w:val="30353F"/>
        </w:rPr>
        <w:t>propose</w:t>
      </w:r>
      <w:proofErr w:type="gramEnd"/>
      <w:r w:rsidRPr="00F543C1">
        <w:rPr>
          <w:i/>
          <w:color w:val="30353F"/>
        </w:rPr>
        <w:t xml:space="preserve"> a system based on </w:t>
      </w:r>
      <w:proofErr w:type="spellStart"/>
      <w:r w:rsidRPr="00F543C1">
        <w:rPr>
          <w:i/>
          <w:color w:val="30353F"/>
        </w:rPr>
        <w:t>whakamana</w:t>
      </w:r>
      <w:proofErr w:type="spellEnd"/>
      <w:r w:rsidRPr="00F543C1">
        <w:rPr>
          <w:i/>
          <w:color w:val="30353F"/>
        </w:rPr>
        <w:t xml:space="preserve"> tāngata – an approach based on mutual expectations and responsibilities governing interactions between the state and welfare recipients. It is a commitment to improving wellbeing by supporting positive long-term outcomes for the individual, including increased skills and labour market capability. This approach must immediately reform the current obligations and sanctions regime.</w:t>
      </w:r>
    </w:p>
    <w:p w14:paraId="0A92C6D0" w14:textId="05496BD3" w:rsidR="001B024C" w:rsidRPr="00F543C1" w:rsidRDefault="001B024C" w:rsidP="001B024C">
      <w:pPr>
        <w:spacing w:before="120"/>
        <w:ind w:left="1276" w:right="425"/>
        <w:rPr>
          <w:i/>
          <w:color w:val="30353F"/>
        </w:rPr>
      </w:pPr>
      <w:r w:rsidRPr="00F543C1">
        <w:rPr>
          <w:i/>
          <w:color w:val="30353F"/>
        </w:rPr>
        <w:t>The proposed mutual expectations and responsibilities need to be responsive to the circumstances of the individual in a way that will meet the proposed values of the system, with robust checks and balances to mitigate potential negative impacts on individuals and their families. The overarching expectation of both recipients and the Government is to act with respect and integrity in their mutual interaction.</w:t>
      </w:r>
      <w:r w:rsidR="006D5DA4">
        <w:rPr>
          <w:i/>
          <w:color w:val="30353F"/>
        </w:rPr>
        <w:t xml:space="preserve"> </w:t>
      </w:r>
      <w:r w:rsidRPr="00F543C1">
        <w:rPr>
          <w:iCs/>
          <w:color w:val="30353F"/>
        </w:rPr>
        <w:fldChar w:fldCharType="begin"/>
      </w:r>
      <w:r w:rsidR="009B0EC4">
        <w:rPr>
          <w:iCs/>
          <w:color w:val="30353F"/>
        </w:rPr>
        <w:instrText xml:space="preserve"> ADDIN ZOTERO_ITEM CSL_CITATION {"citationID":"vTXAcjlw","properties":{"formattedCitation":"(Welfare Experts Advisory Group 2019, 7)","plainCitation":"(Welfare Experts Advisory Group 2019, 7)","noteIndex":0},"citationItems":[{"id":15003,"uris":["http://zotero.org/groups/4623831/items/SZ2IK98U"],"itemData":{"id":15003,"type":"book","abstract":"The New Zealand Government established this Welfare Expert Advisory Group to undertake a broad-ranging review of the welfare system and advise the Government on how to better meet the needs of New Zealanders now and in the future. This report presents the Welfare Expert Advisory Group's findings and recommendations. It finds the current system is no longer fit for purpose and needs fundamental change - to move beyond a 'safety net to 'whakamana tangata' - restoring dignity to people so they can participate meaningfully with their families and communities. Sections include: Listening to New Zealanders: what we heard; Reforming social security; Delivering for Maori; Restoring trust with people using the welfare system; Achieving security requires adequate income; Alleviating the housing conundrum; Improving access to employment and labour market support; Creating a fairer deal for people with health conditions or disabilities and carers; Strengthening community organisations and volunteering; Improving outcomes requires a cross-government response; and Treasury modelling of tax and welfare changes. The report is supported by separately published evidence briefs and background papers.","event-place":"Wellington, N.Z.","ISBN":"978-0-473-47333-4","language":"en","note":"OCLC: 1100646045","publisher":"Welfare Expert Advisory Group","publisher-place":"Wellington, N.Z.","source":"Open WorldCat","title":"Whakamana Tangata restoring dignity to social security in New Zealand","URL":"http://www.weag.govt.nz/weag-report","author":[{"family":"Welfare Experts Advisory Group","given":""}],"accessed":{"date-parts":[["2020",1,15]]},"issued":{"date-parts":[["2019"]]}},"locator":"7","label":"page"}],"schema":"https://github.com/citation-style-language/schema/raw/master/csl-citation.json"} </w:instrText>
      </w:r>
      <w:r w:rsidRPr="00F543C1">
        <w:rPr>
          <w:iCs/>
          <w:color w:val="30353F"/>
        </w:rPr>
        <w:fldChar w:fldCharType="separate"/>
      </w:r>
      <w:r w:rsidRPr="00F543C1">
        <w:rPr>
          <w:rFonts w:cs="Calibri"/>
          <w:iCs/>
          <w:color w:val="30353F"/>
        </w:rPr>
        <w:t>(Welfare Experts Advisory Group 2019, 7)</w:t>
      </w:r>
      <w:r w:rsidRPr="00F543C1">
        <w:rPr>
          <w:iCs/>
          <w:color w:val="30353F"/>
        </w:rPr>
        <w:fldChar w:fldCharType="end"/>
      </w:r>
    </w:p>
    <w:p w14:paraId="3BE1DFFF" w14:textId="546C7350" w:rsidR="001B024C" w:rsidRPr="00F543C1" w:rsidRDefault="001B024C" w:rsidP="001B024C">
      <w:pPr>
        <w:pStyle w:val="USBodyText"/>
      </w:pPr>
      <w:proofErr w:type="spellStart"/>
      <w:r w:rsidRPr="00F543C1">
        <w:lastRenderedPageBreak/>
        <w:t>Te</w:t>
      </w:r>
      <w:proofErr w:type="spellEnd"/>
      <w:r w:rsidRPr="00F543C1">
        <w:t xml:space="preserve"> </w:t>
      </w:r>
      <w:proofErr w:type="spellStart"/>
      <w:r w:rsidRPr="00F543C1">
        <w:t>Tiriti</w:t>
      </w:r>
      <w:proofErr w:type="spellEnd"/>
      <w:r w:rsidRPr="00F543C1">
        <w:t xml:space="preserve"> o Waitangi is included as a separate layer of accountability covering all elements within the structure to reflect its constitutional significance. Given the terms of </w:t>
      </w:r>
      <w:proofErr w:type="spellStart"/>
      <w:r w:rsidRPr="00F543C1">
        <w:t>Te</w:t>
      </w:r>
      <w:proofErr w:type="spellEnd"/>
      <w:r w:rsidRPr="00F543C1">
        <w:t xml:space="preserve"> </w:t>
      </w:r>
      <w:proofErr w:type="spellStart"/>
      <w:r w:rsidRPr="00F543C1">
        <w:t>Tiriti</w:t>
      </w:r>
      <w:proofErr w:type="spellEnd"/>
      <w:r w:rsidRPr="00F543C1">
        <w:t xml:space="preserve">, the Crown will </w:t>
      </w:r>
      <w:r w:rsidR="00777276">
        <w:t>be</w:t>
      </w:r>
      <w:r w:rsidR="00A93BD5">
        <w:t xml:space="preserve"> </w:t>
      </w:r>
      <w:r w:rsidR="00070005" w:rsidRPr="00F543C1">
        <w:t>accountab</w:t>
      </w:r>
      <w:r w:rsidR="00070005">
        <w:t xml:space="preserve">le </w:t>
      </w:r>
      <w:r w:rsidR="00070005" w:rsidRPr="00F543C1">
        <w:t>to</w:t>
      </w:r>
      <w:r w:rsidRPr="00F543C1">
        <w:t xml:space="preserve"> its Treaty partners.</w:t>
      </w:r>
      <w:r w:rsidR="0010306D" w:rsidRPr="009006D7">
        <w:rPr>
          <w:rStyle w:val="FootnoteReference"/>
        </w:rPr>
        <w:footnoteReference w:id="183"/>
      </w:r>
    </w:p>
    <w:p w14:paraId="635B0995" w14:textId="7FEF3FF0" w:rsidR="001B024C" w:rsidRDefault="001B024C" w:rsidP="001B024C">
      <w:pPr>
        <w:pStyle w:val="USBodyText"/>
      </w:pPr>
      <w:r w:rsidRPr="00F543C1">
        <w:t>We envisage that accountability relationship involv</w:t>
      </w:r>
      <w:r w:rsidR="00B36EE5">
        <w:t>ing</w:t>
      </w:r>
      <w:r w:rsidRPr="00F543C1">
        <w:t xml:space="preserve"> </w:t>
      </w:r>
      <w:r w:rsidR="002D208C">
        <w:t xml:space="preserve">widespread </w:t>
      </w:r>
      <w:r w:rsidRPr="00F543C1">
        <w:t>engagement with Māori</w:t>
      </w:r>
      <w:r w:rsidR="00E23EC2">
        <w:t xml:space="preserve"> </w:t>
      </w:r>
      <w:r w:rsidRPr="00F543C1">
        <w:t xml:space="preserve">– with iwi, pan-Māori bodies, local hapū and with Māori who are not connected to their iwi —across a range of issues, from high-level policy objectives and monitoring regimes to the design and delivery of detailed policies and programmes. We also envisage that Māori will increasingly exercise </w:t>
      </w:r>
      <w:proofErr w:type="spellStart"/>
      <w:r w:rsidRPr="00F543C1">
        <w:t>tino</w:t>
      </w:r>
      <w:proofErr w:type="spellEnd"/>
      <w:r w:rsidRPr="00F543C1">
        <w:t xml:space="preserve"> rangatiratanga and mana </w:t>
      </w:r>
      <w:proofErr w:type="spellStart"/>
      <w:r w:rsidRPr="00F543C1">
        <w:t>motuhake</w:t>
      </w:r>
      <w:proofErr w:type="spellEnd"/>
      <w:r w:rsidRPr="00F543C1">
        <w:t xml:space="preserve"> and take the lead on assisting people experiencing persistent disadvantage, not as recipients of highly conditional Crown funding, but as genuine partners. </w:t>
      </w:r>
    </w:p>
    <w:p w14:paraId="368B9210" w14:textId="52FFFF9B" w:rsidR="001B024C" w:rsidRPr="00F543C1" w:rsidRDefault="001B024C" w:rsidP="001B024C">
      <w:pPr>
        <w:pStyle w:val="Heading3"/>
      </w:pPr>
      <w:bookmarkStart w:id="244" w:name="_Toc126092141"/>
      <w:r w:rsidRPr="00F543C1">
        <w:t>Strengthen</w:t>
      </w:r>
      <w:r w:rsidR="00FE2F93">
        <w:t>ing</w:t>
      </w:r>
      <w:r w:rsidRPr="00F543C1">
        <w:t xml:space="preserve"> accountability for persistent disadvantage</w:t>
      </w:r>
      <w:bookmarkEnd w:id="244"/>
      <w:r w:rsidRPr="00F543C1">
        <w:t xml:space="preserve"> </w:t>
      </w:r>
    </w:p>
    <w:p w14:paraId="236F5019" w14:textId="3D1BDC43" w:rsidR="001B024C" w:rsidRPr="00F543C1" w:rsidRDefault="00D807FC" w:rsidP="001B024C">
      <w:pPr>
        <w:pStyle w:val="USBodyText"/>
      </w:pPr>
      <w:r>
        <w:t>T</w:t>
      </w:r>
      <w:r w:rsidR="001B024C" w:rsidRPr="00F543C1">
        <w:t xml:space="preserve">here has never been a single </w:t>
      </w:r>
      <w:r w:rsidR="00384022">
        <w:t>M</w:t>
      </w:r>
      <w:r w:rsidR="00384022" w:rsidRPr="00F543C1">
        <w:t xml:space="preserve">inister </w:t>
      </w:r>
      <w:r w:rsidR="001B024C" w:rsidRPr="00F543C1">
        <w:t>with cross-portfolio responsibility for addressing persistent disadvantage</w:t>
      </w:r>
      <w:r w:rsidR="0032389C">
        <w:t xml:space="preserve"> in Aotearoa</w:t>
      </w:r>
      <w:r w:rsidR="001B024C" w:rsidRPr="00F543C1">
        <w:t xml:space="preserve">, nor is there a single ministry </w:t>
      </w:r>
      <w:r w:rsidR="00384022">
        <w:t>responsible</w:t>
      </w:r>
      <w:r w:rsidR="001B024C" w:rsidRPr="00F543C1">
        <w:t xml:space="preserve"> for policy advice and programme delivery.</w:t>
      </w:r>
      <w:r w:rsidR="006313A4" w:rsidRPr="009006D7">
        <w:rPr>
          <w:rStyle w:val="FootnoteReference"/>
        </w:rPr>
        <w:footnoteReference w:id="184"/>
      </w:r>
      <w:r w:rsidR="001B024C" w:rsidRPr="00F543C1">
        <w:t xml:space="preserve"> Successive governments have used existing structures and attempted, with limited success, to work around a system based on vertical accountability, </w:t>
      </w:r>
      <w:proofErr w:type="gramStart"/>
      <w:r w:rsidR="001B024C" w:rsidRPr="00F543C1">
        <w:t>specialisation</w:t>
      </w:r>
      <w:proofErr w:type="gramEnd"/>
      <w:r w:rsidR="001B024C" w:rsidRPr="00F543C1">
        <w:t xml:space="preserve"> and separate departmental outputs to deliver a ‘joined-up’ approach.</w:t>
      </w:r>
    </w:p>
    <w:p w14:paraId="00609239" w14:textId="7C568989" w:rsidR="001B024C" w:rsidRPr="00F543C1" w:rsidRDefault="001B024C" w:rsidP="001B024C">
      <w:pPr>
        <w:pStyle w:val="USBodyText"/>
      </w:pPr>
      <w:r w:rsidRPr="00F543C1">
        <w:t xml:space="preserve">As Ken Warren has said, the government, opposition parties and indeed the whole community have to accept that we need to develop a new administrative approach to addressing persistent disadvantage that separates programmes and accountability for assisting </w:t>
      </w:r>
      <w:r w:rsidR="00F713A3">
        <w:t>the</w:t>
      </w:r>
      <w:r w:rsidRPr="00F543C1">
        <w:t xml:space="preserve"> most disadvantaged people away from organisations assisting people who are doing well </w:t>
      </w:r>
      <w:r w:rsidRPr="00F543C1">
        <w:fldChar w:fldCharType="begin"/>
      </w:r>
      <w:r w:rsidR="009B0EC4">
        <w:instrText xml:space="preserve"> ADDIN ZOTERO_ITEM CSL_CITATION {"citationID":"BTk3m0ln","properties":{"formattedCitation":"(Warren 2021)","plainCitation":"(Warren 2021)","noteIndex":0},"citationItems":[{"id":14084,"uris":["http://zotero.org/groups/4623831/items/96MF39B8"],"itemData":{"id":14084,"type":"report","event-place":"Wellington","genre":"Working Paper","number":"21/12","publisher":"Institute for Governance and Policy Studies","publisher-place":"Wellington","title":"Designing a new collective operating and funding model in the New Zealand Public Sector","author":[{"family":"Warren","given":"Ken"}],"issued":{"date-parts":[["2021"]]}}}],"schema":"https://github.com/citation-style-language/schema/raw/master/csl-citation.json"} </w:instrText>
      </w:r>
      <w:r w:rsidRPr="00F543C1">
        <w:fldChar w:fldCharType="separate"/>
      </w:r>
      <w:r w:rsidRPr="00F543C1">
        <w:rPr>
          <w:rFonts w:cs="Calibri"/>
        </w:rPr>
        <w:t>(Warren 2021)</w:t>
      </w:r>
      <w:r w:rsidRPr="00F543C1">
        <w:fldChar w:fldCharType="end"/>
      </w:r>
      <w:r w:rsidRPr="00F543C1">
        <w:t xml:space="preserve">. </w:t>
      </w:r>
    </w:p>
    <w:p w14:paraId="13D63E98" w14:textId="324E776C" w:rsidR="001B024C" w:rsidRDefault="001B024C" w:rsidP="001B024C">
      <w:pPr>
        <w:ind w:left="851"/>
      </w:pPr>
      <w:r w:rsidRPr="00F543C1">
        <w:t xml:space="preserve">Assisting </w:t>
      </w:r>
      <w:r w:rsidRPr="00D556DE">
        <w:t xml:space="preserve">people </w:t>
      </w:r>
      <w:r w:rsidRPr="00ED0436">
        <w:t>currently experiencing</w:t>
      </w:r>
      <w:r w:rsidRPr="00D556DE">
        <w:t xml:space="preserve"> persistent disadvantage to change their lives might require a different form of assistance to help</w:t>
      </w:r>
      <w:r w:rsidR="00F713A3">
        <w:t>ing</w:t>
      </w:r>
      <w:r w:rsidRPr="00D556DE">
        <w:t xml:space="preserve"> people </w:t>
      </w:r>
      <w:r w:rsidRPr="00ED0436">
        <w:t>at risk of</w:t>
      </w:r>
      <w:r w:rsidRPr="00D556DE">
        <w:t xml:space="preserve"> experiencing persistent disadvantage build protective factors that will reduce those</w:t>
      </w:r>
      <w:r w:rsidRPr="00F543C1">
        <w:t xml:space="preserve"> risks.</w:t>
      </w:r>
      <w:r w:rsidRPr="009006D7">
        <w:rPr>
          <w:rStyle w:val="FootnoteReference"/>
        </w:rPr>
        <w:footnoteReference w:id="185"/>
      </w:r>
    </w:p>
    <w:p w14:paraId="726B5785" w14:textId="53996961" w:rsidR="005C7A31" w:rsidRDefault="008E783F" w:rsidP="001B024C">
      <w:pPr>
        <w:ind w:left="851"/>
      </w:pPr>
      <w:r w:rsidRPr="002E14A6">
        <w:t>We recommend</w:t>
      </w:r>
      <w:r w:rsidR="00921010" w:rsidRPr="002E14A6">
        <w:t xml:space="preserve"> </w:t>
      </w:r>
      <w:r w:rsidR="004D6A3C" w:rsidRPr="002E14A6">
        <w:t xml:space="preserve">a new approach for addressing persistent disadvantage </w:t>
      </w:r>
      <w:r w:rsidR="006521CC" w:rsidRPr="002E14A6">
        <w:t xml:space="preserve">that </w:t>
      </w:r>
      <w:r w:rsidR="005C7A31" w:rsidRPr="002E14A6">
        <w:t>builds</w:t>
      </w:r>
      <w:r w:rsidR="006521CC" w:rsidRPr="002E14A6">
        <w:t xml:space="preserve"> on </w:t>
      </w:r>
      <w:r w:rsidR="005C7A31" w:rsidRPr="002E14A6">
        <w:t xml:space="preserve">Warren’s </w:t>
      </w:r>
      <w:r w:rsidR="00545F46" w:rsidRPr="002E14A6">
        <w:t>idea and</w:t>
      </w:r>
      <w:r w:rsidR="00633179" w:rsidRPr="002E14A6">
        <w:t xml:space="preserve"> is supported by </w:t>
      </w:r>
      <w:r w:rsidR="000C23AC" w:rsidRPr="002E14A6">
        <w:t>strengthened accountability arrangements.</w:t>
      </w:r>
    </w:p>
    <w:p w14:paraId="44D6F0E5" w14:textId="0DB5BBF5" w:rsidR="00D846F9" w:rsidRPr="00AD6918" w:rsidRDefault="0008011A" w:rsidP="00D846F9">
      <w:pPr>
        <w:ind w:left="851"/>
      </w:pPr>
      <w:r w:rsidRPr="00AD6918">
        <w:t xml:space="preserve">A </w:t>
      </w:r>
      <w:r w:rsidR="00D846F9" w:rsidRPr="00AD6918">
        <w:t xml:space="preserve">single senior </w:t>
      </w:r>
      <w:r w:rsidR="00D846F9">
        <w:t>M</w:t>
      </w:r>
      <w:r w:rsidR="00D846F9" w:rsidRPr="00AD6918">
        <w:t xml:space="preserve">inister should be appointed to take overall responsibility for coordinating activities to address persistent disadvantage. </w:t>
      </w:r>
      <w:r w:rsidR="00D846F9" w:rsidRPr="00D846F9">
        <w:t>To avoid conflicts of interest, this Minister should not have responsibility for any other social policy portfolio.</w:t>
      </w:r>
    </w:p>
    <w:p w14:paraId="395ECB31" w14:textId="77777777" w:rsidR="00D846F9" w:rsidRDefault="00D846F9" w:rsidP="001B024C">
      <w:pPr>
        <w:ind w:left="851"/>
      </w:pPr>
    </w:p>
    <w:p w14:paraId="3F6C8994" w14:textId="7CDBD3F8" w:rsidR="00863396" w:rsidRDefault="00330F4B" w:rsidP="00330F4B">
      <w:pPr>
        <w:pStyle w:val="Heading3"/>
      </w:pPr>
      <w:r>
        <w:lastRenderedPageBreak/>
        <w:t>A new approach</w:t>
      </w:r>
    </w:p>
    <w:p w14:paraId="2285539B" w14:textId="756C0A90" w:rsidR="00660DD3" w:rsidRDefault="00936B00" w:rsidP="00330F4B">
      <w:pPr>
        <w:pStyle w:val="USBodyText"/>
      </w:pPr>
      <w:r>
        <w:t xml:space="preserve">The core of our new approach is to move away from a system that uses separate </w:t>
      </w:r>
      <w:r w:rsidR="008E4DA2">
        <w:t xml:space="preserve">departments, and contracted providers working for them to provide </w:t>
      </w:r>
      <w:r w:rsidR="00660DD3">
        <w:t xml:space="preserve">multiple </w:t>
      </w:r>
      <w:r w:rsidR="001A1CED">
        <w:t>‘services’</w:t>
      </w:r>
      <w:r w:rsidR="005F395B">
        <w:t xml:space="preserve"> to</w:t>
      </w:r>
      <w:r w:rsidR="002778D9">
        <w:t xml:space="preserve"> </w:t>
      </w:r>
      <w:r w:rsidR="00860A4B">
        <w:t>people</w:t>
      </w:r>
      <w:r w:rsidR="00F713A3">
        <w:t xml:space="preserve"> experiencing persistent disadvantage</w:t>
      </w:r>
      <w:r w:rsidR="005F395B">
        <w:t>.</w:t>
      </w:r>
      <w:r w:rsidR="00860A4B">
        <w:t xml:space="preserve"> </w:t>
      </w:r>
      <w:r w:rsidR="00CB62A9">
        <w:t>Instead, community</w:t>
      </w:r>
      <w:r w:rsidR="00C97DAA">
        <w:t xml:space="preserve">-based organisations </w:t>
      </w:r>
      <w:r w:rsidR="005F395B">
        <w:t xml:space="preserve">should </w:t>
      </w:r>
      <w:r w:rsidR="00C0698C">
        <w:t xml:space="preserve">work with whānau to </w:t>
      </w:r>
      <w:r w:rsidR="00660DD3">
        <w:t>change their lives through</w:t>
      </w:r>
      <w:r w:rsidR="0087183B">
        <w:t xml:space="preserve"> wh</w:t>
      </w:r>
      <w:r w:rsidR="00630100" w:rsidRPr="00F543C1">
        <w:t>ā</w:t>
      </w:r>
      <w:r w:rsidR="0087183B">
        <w:t>nau-specific</w:t>
      </w:r>
      <w:r w:rsidR="00660DD3">
        <w:t xml:space="preserve"> </w:t>
      </w:r>
      <w:r w:rsidR="00CA6592">
        <w:t xml:space="preserve">assistance provided in the context of </w:t>
      </w:r>
      <w:r w:rsidR="006F0195">
        <w:t>trust</w:t>
      </w:r>
      <w:r w:rsidR="00CA6592">
        <w:t>-</w:t>
      </w:r>
      <w:r w:rsidR="006F0195">
        <w:t>based</w:t>
      </w:r>
      <w:r w:rsidR="004972A4">
        <w:t xml:space="preserve"> relationships </w:t>
      </w:r>
      <w:r w:rsidR="0087183B">
        <w:t xml:space="preserve">- </w:t>
      </w:r>
      <w:r w:rsidR="00660DD3">
        <w:t>some of which may still be administered by central departments.</w:t>
      </w:r>
      <w:r w:rsidR="008D0AA7">
        <w:t xml:space="preserve"> </w:t>
      </w:r>
      <w:r w:rsidR="00CA20E2">
        <w:t xml:space="preserve">In effect, we are proposing a </w:t>
      </w:r>
      <w:r w:rsidR="00E67B0D">
        <w:t>significantly expanded</w:t>
      </w:r>
      <w:r w:rsidR="00F82957">
        <w:t xml:space="preserve"> </w:t>
      </w:r>
      <w:r w:rsidR="00CA20E2">
        <w:t xml:space="preserve">network of </w:t>
      </w:r>
      <w:r w:rsidR="0029511E">
        <w:t>P</w:t>
      </w:r>
      <w:r w:rsidR="00CA20E2">
        <w:t>lace-</w:t>
      </w:r>
      <w:r w:rsidR="0029511E">
        <w:t>B</w:t>
      </w:r>
      <w:r w:rsidR="00CA20E2">
        <w:t xml:space="preserve">ased </w:t>
      </w:r>
      <w:r w:rsidR="0029511E">
        <w:t>I</w:t>
      </w:r>
      <w:r w:rsidR="00CA20E2">
        <w:t>nitiatives (PBIs).</w:t>
      </w:r>
      <w:r w:rsidR="009767B8" w:rsidRPr="009006D7">
        <w:rPr>
          <w:rStyle w:val="FootnoteReference"/>
        </w:rPr>
        <w:footnoteReference w:id="186"/>
      </w:r>
      <w:r w:rsidR="008C4F52" w:rsidRPr="008C4F52">
        <w:rPr>
          <w:rStyle w:val="FootnoteReference"/>
        </w:rPr>
        <w:t xml:space="preserve"> </w:t>
      </w:r>
    </w:p>
    <w:p w14:paraId="1A50135B" w14:textId="28A79D4B" w:rsidR="00A00282" w:rsidRDefault="005767D0" w:rsidP="0086693B">
      <w:pPr>
        <w:pStyle w:val="USBodyText"/>
      </w:pPr>
      <w:r>
        <w:t xml:space="preserve">While we term this a ‘new’ approach, we acknowledge that </w:t>
      </w:r>
      <w:r w:rsidRPr="005767D0">
        <w:t xml:space="preserve">the </w:t>
      </w:r>
      <w:r w:rsidR="00410345">
        <w:t>practice</w:t>
      </w:r>
      <w:r w:rsidRPr="005767D0">
        <w:t xml:space="preserve"> of centring whānau voice is</w:t>
      </w:r>
      <w:r w:rsidR="0086693B">
        <w:t xml:space="preserve"> </w:t>
      </w:r>
      <w:r w:rsidR="00F713A3">
        <w:t>already</w:t>
      </w:r>
      <w:r w:rsidR="00410345">
        <w:t xml:space="preserve"> being used</w:t>
      </w:r>
      <w:r w:rsidRPr="005767D0">
        <w:t xml:space="preserve"> in several different contexts</w:t>
      </w:r>
      <w:r w:rsidR="006B1CA4">
        <w:t xml:space="preserve">. One learning from </w:t>
      </w:r>
      <w:r w:rsidR="002D0091">
        <w:t>COVID-19</w:t>
      </w:r>
      <w:r w:rsidR="006B1CA4">
        <w:t xml:space="preserve"> was the power of local</w:t>
      </w:r>
      <w:r w:rsidR="00410345">
        <w:t xml:space="preserve"> groups with a deep understanding of the needs of people in their</w:t>
      </w:r>
      <w:r w:rsidR="006B1CA4">
        <w:t xml:space="preserve"> </w:t>
      </w:r>
      <w:r w:rsidR="00EC352E">
        <w:t>communit</w:t>
      </w:r>
      <w:r w:rsidR="00F713A3">
        <w:t>y</w:t>
      </w:r>
      <w:r w:rsidR="00410345">
        <w:t xml:space="preserve"> </w:t>
      </w:r>
      <w:r w:rsidR="00EC352E">
        <w:t>to achieve</w:t>
      </w:r>
      <w:r w:rsidR="00410345">
        <w:t xml:space="preserve"> better</w:t>
      </w:r>
      <w:r w:rsidR="00EC352E">
        <w:t xml:space="preserve"> public health outcomes</w:t>
      </w:r>
      <w:r w:rsidR="009821AC">
        <w:t xml:space="preserve">. </w:t>
      </w:r>
      <w:r w:rsidRPr="005767D0">
        <w:t>Whānau Ora</w:t>
      </w:r>
      <w:r w:rsidR="009821AC" w:rsidRPr="009821AC">
        <w:t xml:space="preserve"> has many of the features of what we propose, especially </w:t>
      </w:r>
      <w:r w:rsidR="0086693B">
        <w:t>th</w:t>
      </w:r>
      <w:r w:rsidR="000C0313">
        <w:t>r</w:t>
      </w:r>
      <w:r w:rsidR="0086693B">
        <w:t xml:space="preserve">ough </w:t>
      </w:r>
      <w:r w:rsidR="009821AC" w:rsidRPr="009821AC">
        <w:t>the work it is starting to trial on local commissioning</w:t>
      </w:r>
      <w:r w:rsidR="009821AC">
        <w:t xml:space="preserve"> </w:t>
      </w:r>
      <w:r w:rsidR="009821AC" w:rsidRPr="009821AC">
        <w:t>(</w:t>
      </w:r>
      <w:proofErr w:type="spellStart"/>
      <w:r w:rsidR="009821AC" w:rsidRPr="009821AC">
        <w:t>Te</w:t>
      </w:r>
      <w:proofErr w:type="spellEnd"/>
      <w:r w:rsidR="009821AC" w:rsidRPr="009821AC">
        <w:t xml:space="preserve"> </w:t>
      </w:r>
      <w:proofErr w:type="spellStart"/>
      <w:r w:rsidR="009821AC" w:rsidRPr="009821AC">
        <w:t>Puni</w:t>
      </w:r>
      <w:proofErr w:type="spellEnd"/>
      <w:r w:rsidR="009821AC" w:rsidRPr="009821AC">
        <w:t xml:space="preserve"> </w:t>
      </w:r>
      <w:proofErr w:type="spellStart"/>
      <w:r w:rsidR="009821AC" w:rsidRPr="009821AC">
        <w:t>Kōkiri</w:t>
      </w:r>
      <w:proofErr w:type="spellEnd"/>
      <w:r w:rsidR="009821AC" w:rsidRPr="009821AC">
        <w:t xml:space="preserve"> 2022).</w:t>
      </w:r>
      <w:r w:rsidR="009821AC" w:rsidRPr="009006D7">
        <w:rPr>
          <w:rStyle w:val="FootnoteReference"/>
        </w:rPr>
        <w:footnoteReference w:id="187"/>
      </w:r>
      <w:r w:rsidR="00670C46">
        <w:t xml:space="preserve"> Work on s</w:t>
      </w:r>
      <w:r w:rsidRPr="005767D0">
        <w:t xml:space="preserve">ocial </w:t>
      </w:r>
      <w:r w:rsidR="00670C46">
        <w:t>s</w:t>
      </w:r>
      <w:r w:rsidRPr="005767D0">
        <w:t xml:space="preserve">ector </w:t>
      </w:r>
      <w:r w:rsidR="00670C46">
        <w:t>c</w:t>
      </w:r>
      <w:r w:rsidRPr="005767D0">
        <w:t>ommissioning</w:t>
      </w:r>
      <w:r w:rsidR="00670C46">
        <w:t xml:space="preserve"> is also looking to improve the way services are contracted</w:t>
      </w:r>
      <w:r w:rsidR="002D0091">
        <w:t xml:space="preserve"> </w:t>
      </w:r>
      <w:r w:rsidR="0086693B">
        <w:t xml:space="preserve">“in partnership with tāngata whenua, communities and service partners including NGOs and philanthropic funders” </w:t>
      </w:r>
      <w:r w:rsidR="0086693B">
        <w:fldChar w:fldCharType="begin"/>
      </w:r>
      <w:r w:rsidR="009B0EC4">
        <w:instrText xml:space="preserve"> ADDIN ZOTERO_ITEM CSL_CITATION {"citationID":"viYf8G3g","properties":{"formattedCitation":"(Fry 2022, 15)","plainCitation":"(Fry 2022, 15)","noteIndex":0},"citationItems":[{"id":18461,"uris":["http://zotero.org/groups/4801058/items/Y4XY6L7J"],"itemData":{"id":18461,"type":"report","event-place":"Wellington","publisher":"Productivity Commission","publisher-place":"Wellington","title":"Together alone: A review of joined-up social services","URL":"https://www.productivity.govt.nz/assets/Documents/Together-alone_A-review-of-joined-up-social-services.pdf","author":[{"family":"Fry","given":"Julie"}],"accessed":{"date-parts":[["2023",1,15]]},"issued":{"date-parts":[["2022"]]}},"locator":"15","label":"page"}],"schema":"https://github.com/citation-style-language/schema/raw/master/csl-citation.json"} </w:instrText>
      </w:r>
      <w:r w:rsidR="0086693B">
        <w:fldChar w:fldCharType="separate"/>
      </w:r>
      <w:r w:rsidR="0086693B" w:rsidRPr="0086693B">
        <w:rPr>
          <w:rFonts w:cs="Calibri"/>
        </w:rPr>
        <w:t>(Fry 2022, 15)</w:t>
      </w:r>
      <w:r w:rsidR="0086693B">
        <w:fldChar w:fldCharType="end"/>
      </w:r>
      <w:r w:rsidR="0086693B">
        <w:t>.</w:t>
      </w:r>
      <w:r w:rsidR="00EA64B8" w:rsidRPr="009006D7">
        <w:rPr>
          <w:rStyle w:val="FootnoteReference"/>
        </w:rPr>
        <w:footnoteReference w:id="188"/>
      </w:r>
      <w:r w:rsidR="0086693B">
        <w:t xml:space="preserve"> </w:t>
      </w:r>
    </w:p>
    <w:p w14:paraId="6BC8F9CE" w14:textId="34D45445" w:rsidR="00DF4AC0" w:rsidRDefault="00DF4AC0" w:rsidP="00330F4B">
      <w:pPr>
        <w:pStyle w:val="USBodyText"/>
      </w:pPr>
      <w:r>
        <w:t>Our principal concern is that centralised, specialised agencies that are set up to serve a wide section of the community seem to have limited success i</w:t>
      </w:r>
      <w:r w:rsidR="00932BE3">
        <w:t>n</w:t>
      </w:r>
      <w:r>
        <w:t xml:space="preserve"> turning the changes people want to make in their lives into actionable plans that draw on multiple sources of assistance. We are less concerned with the form of agencies; it is new functions that matter</w:t>
      </w:r>
      <w:r w:rsidR="00D66798">
        <w:t>.</w:t>
      </w:r>
      <w:r w:rsidR="006732A1" w:rsidRPr="009006D7">
        <w:rPr>
          <w:rStyle w:val="FootnoteReference"/>
        </w:rPr>
        <w:footnoteReference w:id="189"/>
      </w:r>
      <w:r w:rsidR="00F425FC">
        <w:t xml:space="preserve"> </w:t>
      </w:r>
    </w:p>
    <w:p w14:paraId="2FD99E47" w14:textId="6A311CCA" w:rsidR="00E44C6F" w:rsidRDefault="00CB50F3" w:rsidP="00330F4B">
      <w:pPr>
        <w:pStyle w:val="USBodyText"/>
      </w:pPr>
      <w:r w:rsidRPr="00F543C1">
        <w:t xml:space="preserve">In our proposed approach, more organisations like Manaaki </w:t>
      </w:r>
      <w:proofErr w:type="spellStart"/>
      <w:r w:rsidRPr="00F543C1">
        <w:t>Tairāwhiti</w:t>
      </w:r>
      <w:proofErr w:type="spellEnd"/>
      <w:r w:rsidRPr="00F543C1">
        <w:t xml:space="preserve"> and the</w:t>
      </w:r>
      <w:r>
        <w:t xml:space="preserve"> South Auckland Social Wellbeing Board </w:t>
      </w:r>
      <w:r w:rsidRPr="00F543C1">
        <w:t xml:space="preserve">would be established, with </w:t>
      </w:r>
      <w:r>
        <w:t>the</w:t>
      </w:r>
      <w:r w:rsidRPr="00F543C1">
        <w:t xml:space="preserve"> role of working directly with people experiencing persistent disadvantage</w:t>
      </w:r>
      <w:r w:rsidR="00E44C6F">
        <w:t xml:space="preserve">. </w:t>
      </w:r>
      <w:r w:rsidRPr="00F543C1">
        <w:t>As the example of these two organisations show</w:t>
      </w:r>
      <w:r>
        <w:t>s</w:t>
      </w:r>
      <w:r w:rsidRPr="00F543C1">
        <w:t>, structure is less important than objectives and way of working</w:t>
      </w:r>
      <w:r w:rsidR="00E44C6F" w:rsidRPr="00F543C1">
        <w:t xml:space="preserve">. </w:t>
      </w:r>
    </w:p>
    <w:p w14:paraId="03955ACE" w14:textId="2C50503D" w:rsidR="00B70489" w:rsidRDefault="00E44C6F" w:rsidP="00330F4B">
      <w:pPr>
        <w:pStyle w:val="USBodyText"/>
      </w:pPr>
      <w:r>
        <w:t xml:space="preserve">We envisage an expanded role for </w:t>
      </w:r>
      <w:r w:rsidRPr="00A8607D">
        <w:t>Whānau Ora</w:t>
      </w:r>
      <w:r w:rsidR="00DA64C0">
        <w:t>.</w:t>
      </w:r>
      <w:r w:rsidR="00410345">
        <w:t xml:space="preserve"> </w:t>
      </w:r>
    </w:p>
    <w:p w14:paraId="270F4443" w14:textId="011E13B6" w:rsidR="00CB50F3" w:rsidRDefault="00B96FD7" w:rsidP="00330F4B">
      <w:pPr>
        <w:pStyle w:val="USBodyText"/>
      </w:pPr>
      <w:r>
        <w:t xml:space="preserve">Developing </w:t>
      </w:r>
      <w:r w:rsidR="00B70489">
        <w:t xml:space="preserve">a new approach </w:t>
      </w:r>
      <w:r>
        <w:t xml:space="preserve">to addressing persistent disadvantage </w:t>
      </w:r>
      <w:r w:rsidR="00D60457">
        <w:t xml:space="preserve">will require </w:t>
      </w:r>
      <w:r w:rsidR="00B70489">
        <w:t>balanc</w:t>
      </w:r>
      <w:r w:rsidR="007253D3">
        <w:t>ing</w:t>
      </w:r>
      <w:r w:rsidR="00B70489">
        <w:t xml:space="preserve"> </w:t>
      </w:r>
      <w:r w:rsidR="00165020" w:rsidRPr="00D65A21">
        <w:t>top-down</w:t>
      </w:r>
      <w:r w:rsidR="00B70489" w:rsidRPr="00D65A21">
        <w:t xml:space="preserve"> </w:t>
      </w:r>
      <w:r w:rsidR="00EF3A7D">
        <w:t xml:space="preserve">control </w:t>
      </w:r>
      <w:r w:rsidR="00165A91">
        <w:t>and</w:t>
      </w:r>
      <w:r w:rsidR="00D60457">
        <w:t xml:space="preserve"> the power of emerging </w:t>
      </w:r>
      <w:r w:rsidR="00D60457" w:rsidRPr="00D65A21">
        <w:t>best practice</w:t>
      </w:r>
      <w:r w:rsidR="00165A91">
        <w:t xml:space="preserve"> at the front</w:t>
      </w:r>
      <w:r w:rsidR="007253D3">
        <w:t xml:space="preserve"> </w:t>
      </w:r>
      <w:r w:rsidR="00165A91">
        <w:t>line</w:t>
      </w:r>
      <w:r w:rsidR="00D60457">
        <w:t xml:space="preserve">. Ministers </w:t>
      </w:r>
      <w:r w:rsidR="00C56D4D">
        <w:t xml:space="preserve">can deliver a top-down </w:t>
      </w:r>
      <w:r w:rsidR="00EF3A7D">
        <w:t>political commi</w:t>
      </w:r>
      <w:r w:rsidR="00C37909">
        <w:t xml:space="preserve">tment </w:t>
      </w:r>
      <w:r w:rsidR="00EF3A7D">
        <w:t xml:space="preserve">to reform, matched by the resources required to </w:t>
      </w:r>
      <w:r w:rsidR="00C37909">
        <w:t>build a better system</w:t>
      </w:r>
      <w:r w:rsidR="00C56D4D">
        <w:t>.</w:t>
      </w:r>
      <w:r w:rsidR="00C37909">
        <w:t xml:space="preserve"> </w:t>
      </w:r>
      <w:r w:rsidR="00CA66B6">
        <w:t>Be</w:t>
      </w:r>
      <w:r w:rsidR="00CA66B6" w:rsidRPr="00D65A21">
        <w:t xml:space="preserve">st </w:t>
      </w:r>
      <w:r w:rsidR="00D65A21" w:rsidRPr="00D65A21">
        <w:t>practice</w:t>
      </w:r>
      <w:r w:rsidR="009C5038">
        <w:t xml:space="preserve"> often develops locally</w:t>
      </w:r>
      <w:r w:rsidR="00CA66B6">
        <w:t xml:space="preserve"> and </w:t>
      </w:r>
      <w:r w:rsidR="009C5038">
        <w:t>organically in response to specific need</w:t>
      </w:r>
      <w:r w:rsidR="002A37E2">
        <w:t>s</w:t>
      </w:r>
      <w:r w:rsidR="009C5038">
        <w:t xml:space="preserve">. </w:t>
      </w:r>
      <w:r w:rsidR="00F3695C">
        <w:t xml:space="preserve">It can be easily swamped by </w:t>
      </w:r>
      <w:r w:rsidR="00891C34">
        <w:t xml:space="preserve">the desire of the centre to </w:t>
      </w:r>
      <w:r w:rsidR="00197F77">
        <w:t>seek uniformity and conformity with established operating systems.</w:t>
      </w:r>
      <w:r w:rsidR="00D65A21" w:rsidRPr="00D65A21">
        <w:t xml:space="preserve"> </w:t>
      </w:r>
    </w:p>
    <w:p w14:paraId="4F56028C" w14:textId="57330668" w:rsidR="00D16405" w:rsidRDefault="00041F3E" w:rsidP="00330F4B">
      <w:pPr>
        <w:pStyle w:val="USBodyText"/>
      </w:pPr>
      <w:r>
        <w:lastRenderedPageBreak/>
        <w:t xml:space="preserve">Our </w:t>
      </w:r>
      <w:r w:rsidR="00D16405">
        <w:t xml:space="preserve">constitutional system requires that public funds </w:t>
      </w:r>
      <w:r>
        <w:t>be</w:t>
      </w:r>
      <w:r w:rsidR="00D16405">
        <w:t xml:space="preserve"> appropriated to a </w:t>
      </w:r>
      <w:r w:rsidR="001A3485">
        <w:t>minister and</w:t>
      </w:r>
      <w:r>
        <w:t xml:space="preserve"> administered by a department</w:t>
      </w:r>
      <w:r w:rsidR="0029511E">
        <w:t>.</w:t>
      </w:r>
      <w:r w:rsidRPr="009006D7">
        <w:rPr>
          <w:rStyle w:val="FootnoteReference"/>
        </w:rPr>
        <w:footnoteReference w:id="190"/>
      </w:r>
      <w:r w:rsidR="009851DE">
        <w:t xml:space="preserve"> </w:t>
      </w:r>
      <w:r w:rsidR="00FA40CC">
        <w:t xml:space="preserve">We envisage that </w:t>
      </w:r>
      <w:r w:rsidR="001A3485">
        <w:t xml:space="preserve">in the case </w:t>
      </w:r>
      <w:r w:rsidR="00E72135">
        <w:t xml:space="preserve">of </w:t>
      </w:r>
      <w:r w:rsidR="001A3485">
        <w:t>addressing persistent disadvantage,</w:t>
      </w:r>
      <w:r w:rsidR="006D6B34">
        <w:t xml:space="preserve"> the department involved should not be responsible for the delivery of services to </w:t>
      </w:r>
      <w:r w:rsidR="0035416C">
        <w:t>individuals</w:t>
      </w:r>
      <w:r w:rsidR="00E67B0D">
        <w:t xml:space="preserve"> and their whānau</w:t>
      </w:r>
      <w:r w:rsidR="0035416C">
        <w:t xml:space="preserve">, either directly or through contracting. Rather, it should have the role of </w:t>
      </w:r>
      <w:r w:rsidR="00F33684">
        <w:t xml:space="preserve">selecting, funding and </w:t>
      </w:r>
      <w:r w:rsidR="00024C4C">
        <w:t xml:space="preserve">co-ordinating a network of </w:t>
      </w:r>
      <w:r w:rsidR="00CA20E2">
        <w:t>PBIs</w:t>
      </w:r>
      <w:r w:rsidR="00024C4C">
        <w:t xml:space="preserve"> that would </w:t>
      </w:r>
      <w:r w:rsidR="00062BF5">
        <w:t>be at the frontline of addressing persistent disadvantage</w:t>
      </w:r>
      <w:r w:rsidR="009725C9">
        <w:t xml:space="preserve">, </w:t>
      </w:r>
    </w:p>
    <w:p w14:paraId="3686F30C" w14:textId="70122BEF" w:rsidR="009A39B3" w:rsidRPr="005515D1" w:rsidRDefault="009A39B3" w:rsidP="009A39B3">
      <w:pPr>
        <w:ind w:left="851"/>
      </w:pPr>
      <w:r w:rsidRPr="005515D1">
        <w:t xml:space="preserve">One challenge in </w:t>
      </w:r>
      <w:r>
        <w:t>assisting</w:t>
      </w:r>
      <w:r w:rsidRPr="005515D1">
        <w:t xml:space="preserve"> people experiencing persistent disadvantage is balanc</w:t>
      </w:r>
      <w:r w:rsidR="00F713A3">
        <w:t>ing</w:t>
      </w:r>
      <w:r w:rsidRPr="005515D1">
        <w:t xml:space="preserve"> the cost</w:t>
      </w:r>
      <w:r>
        <w:t xml:space="preserve"> </w:t>
      </w:r>
      <w:r w:rsidRPr="005515D1">
        <w:t xml:space="preserve">savings that can come from </w:t>
      </w:r>
      <w:r>
        <w:t>assisting</w:t>
      </w:r>
      <w:r w:rsidRPr="005515D1">
        <w:t xml:space="preserve"> at scale (</w:t>
      </w:r>
      <w:r>
        <w:t xml:space="preserve">through </w:t>
      </w:r>
      <w:r w:rsidRPr="005515D1">
        <w:t xml:space="preserve">providers </w:t>
      </w:r>
      <w:r>
        <w:t>delivering</w:t>
      </w:r>
      <w:r w:rsidRPr="005515D1">
        <w:t xml:space="preserve"> a common product to multiple people) and the effectiveness benefits of personalised assistance directly tailored to an individual </w:t>
      </w:r>
      <w:r>
        <w:t xml:space="preserve">or </w:t>
      </w:r>
      <w:r w:rsidRPr="005515D1">
        <w:t xml:space="preserve">whānau. </w:t>
      </w:r>
      <w:r>
        <w:t>In our view, the current system of using large, specialised agencies</w:t>
      </w:r>
      <w:r w:rsidRPr="005515D1">
        <w:t xml:space="preserve"> places too much emphasis on scale. This, however, can be a false economy if the </w:t>
      </w:r>
      <w:r>
        <w:t xml:space="preserve">resulting </w:t>
      </w:r>
      <w:r w:rsidRPr="005515D1">
        <w:t>program</w:t>
      </w:r>
      <w:r>
        <w:t>me</w:t>
      </w:r>
      <w:r w:rsidRPr="005515D1">
        <w:t>s, while cheap to provide, are not effective and need to be followed up with more assistance in the future.</w:t>
      </w:r>
    </w:p>
    <w:p w14:paraId="7226E507" w14:textId="34EA2BAA" w:rsidR="009A39B3" w:rsidRPr="005515D1" w:rsidRDefault="009A39B3" w:rsidP="009A39B3">
      <w:pPr>
        <w:ind w:left="851"/>
      </w:pPr>
      <w:r w:rsidRPr="005515D1">
        <w:t xml:space="preserve">Rather than </w:t>
      </w:r>
      <w:r>
        <w:t xml:space="preserve">only </w:t>
      </w:r>
      <w:r w:rsidRPr="005515D1">
        <w:t>follow</w:t>
      </w:r>
      <w:r>
        <w:t>ing</w:t>
      </w:r>
      <w:r w:rsidRPr="005515D1">
        <w:t xml:space="preserve"> a standard approach, we suggest that </w:t>
      </w:r>
      <w:r>
        <w:t xml:space="preserve">one of the roles of the new department should be </w:t>
      </w:r>
      <w:r w:rsidR="00410345">
        <w:t xml:space="preserve">to </w:t>
      </w:r>
      <w:r>
        <w:t>investigat</w:t>
      </w:r>
      <w:r w:rsidR="00410345">
        <w:t>e</w:t>
      </w:r>
      <w:r>
        <w:t xml:space="preserve"> the appropriate range of assistance that needs to be provided and if there are economies of scale</w:t>
      </w:r>
      <w:r w:rsidR="00410345">
        <w:t xml:space="preserve">. They should </w:t>
      </w:r>
      <w:r>
        <w:t>then commission the appropriate provider or providers. It could be that a government department is an appropriate provider, but this should be decided on a case-by-case basis.</w:t>
      </w:r>
      <w:r w:rsidR="00E60F55">
        <w:t xml:space="preserve"> It might be that in some cases a PBI would be the direct employer of specialist staff working </w:t>
      </w:r>
      <w:r w:rsidR="00410345">
        <w:t xml:space="preserve">with </w:t>
      </w:r>
      <w:r w:rsidR="00975BA1">
        <w:t xml:space="preserve">whānau (e.g., social workers, nurses, budgeting </w:t>
      </w:r>
      <w:r w:rsidR="00CD43EF">
        <w:t>advisers).</w:t>
      </w:r>
    </w:p>
    <w:p w14:paraId="442FD233" w14:textId="541567DB" w:rsidR="006432DF" w:rsidRDefault="006432DF" w:rsidP="006432DF">
      <w:pPr>
        <w:pStyle w:val="USBodyText"/>
      </w:pPr>
      <w:r w:rsidRPr="00F543C1">
        <w:t>Front</w:t>
      </w:r>
      <w:r>
        <w:t>-</w:t>
      </w:r>
      <w:r w:rsidRPr="00F543C1">
        <w:t xml:space="preserve">line workers in these </w:t>
      </w:r>
      <w:r>
        <w:t xml:space="preserve">provider </w:t>
      </w:r>
      <w:r w:rsidRPr="00F543C1">
        <w:t xml:space="preserve">organisations should </w:t>
      </w:r>
      <w:r>
        <w:t xml:space="preserve">also </w:t>
      </w:r>
      <w:r w:rsidRPr="00F543C1">
        <w:t>have accountabilities to people experiencing persistent disadvantage</w:t>
      </w:r>
      <w:r w:rsidR="00E60F55">
        <w:t>.</w:t>
      </w:r>
      <w:r w:rsidRPr="00F543C1">
        <w:t xml:space="preserve"> This would largely be achieved by way of job descriptions and the business models of the organisations.</w:t>
      </w:r>
    </w:p>
    <w:p w14:paraId="28FE6A53" w14:textId="0030F73D" w:rsidR="003C2D3F" w:rsidRDefault="003C2D3F" w:rsidP="00C21C29">
      <w:pPr>
        <w:pStyle w:val="Heading3"/>
      </w:pPr>
      <w:r>
        <w:t xml:space="preserve">A </w:t>
      </w:r>
      <w:r w:rsidR="00A9565E">
        <w:t>new structure</w:t>
      </w:r>
    </w:p>
    <w:p w14:paraId="034CF939" w14:textId="0ABE1005" w:rsidR="008C642E" w:rsidRDefault="00BA6A2B" w:rsidP="006432DF">
      <w:pPr>
        <w:pStyle w:val="USBodyText"/>
      </w:pPr>
      <w:r>
        <w:t xml:space="preserve">In </w:t>
      </w:r>
      <w:r>
        <w:fldChar w:fldCharType="begin"/>
      </w:r>
      <w:r>
        <w:instrText xml:space="preserve"> REF _Ref125548355 \h </w:instrText>
      </w:r>
      <w:r>
        <w:fldChar w:fldCharType="separate"/>
      </w:r>
      <w:r w:rsidR="00E06351" w:rsidRPr="00F543C1">
        <w:t>Figure </w:t>
      </w:r>
      <w:r w:rsidR="00E06351">
        <w:rPr>
          <w:noProof/>
        </w:rPr>
        <w:t>12</w:t>
      </w:r>
      <w:r>
        <w:fldChar w:fldCharType="end"/>
      </w:r>
      <w:r w:rsidR="006B6DBA">
        <w:t xml:space="preserve">, </w:t>
      </w:r>
      <w:r w:rsidR="00D1779C">
        <w:t xml:space="preserve">we presented a new </w:t>
      </w:r>
      <w:r w:rsidR="008C642E">
        <w:t>accountability</w:t>
      </w:r>
      <w:r w:rsidR="00D1779C">
        <w:t xml:space="preserve"> </w:t>
      </w:r>
      <w:r w:rsidR="008C642E">
        <w:t>structure</w:t>
      </w:r>
      <w:r w:rsidR="00D1779C">
        <w:t xml:space="preserve"> for addressing </w:t>
      </w:r>
      <w:r w:rsidR="008C642E">
        <w:t>persistent disadvantage, which placed whānau at the centre.</w:t>
      </w:r>
      <w:r w:rsidR="00A9565E">
        <w:t xml:space="preserve"> It is this accountability structure that we have used to </w:t>
      </w:r>
      <w:r w:rsidR="00B01F1C">
        <w:t>develop our new approach.</w:t>
      </w:r>
      <w:r w:rsidR="008B622C">
        <w:t xml:space="preserve"> In summary:</w:t>
      </w:r>
    </w:p>
    <w:p w14:paraId="35066FAC" w14:textId="5EA2A5E6" w:rsidR="008513D1" w:rsidRDefault="00E33F49" w:rsidP="00C21C29">
      <w:pPr>
        <w:pStyle w:val="USBullet1"/>
      </w:pPr>
      <w:r>
        <w:t>Data held by government agencies</w:t>
      </w:r>
      <w:r w:rsidR="008513D1" w:rsidRPr="008513D1">
        <w:t xml:space="preserve">, along with local provider knowledge, would be used </w:t>
      </w:r>
      <w:r>
        <w:t>to</w:t>
      </w:r>
      <w:r w:rsidR="008513D1" w:rsidRPr="008513D1">
        <w:t xml:space="preserve"> identify whānau who might be eligible for additional assistance</w:t>
      </w:r>
      <w:r w:rsidR="00336DBE">
        <w:t>.</w:t>
      </w:r>
    </w:p>
    <w:p w14:paraId="21FD41FC" w14:textId="5A22C2B1" w:rsidR="00A9565E" w:rsidRDefault="00A9565E" w:rsidP="002E4E55">
      <w:pPr>
        <w:pStyle w:val="USBullet1"/>
      </w:pPr>
      <w:r>
        <w:t xml:space="preserve">Whānau would have a direct relationship with a frontline </w:t>
      </w:r>
      <w:r w:rsidR="00B01F1C">
        <w:t xml:space="preserve">worker, </w:t>
      </w:r>
      <w:r w:rsidR="007253D3">
        <w:t>for now</w:t>
      </w:r>
      <w:r w:rsidR="00B01F1C">
        <w:t xml:space="preserve"> termed </w:t>
      </w:r>
      <w:r w:rsidR="00EF2751">
        <w:t>‘</w:t>
      </w:r>
      <w:r w:rsidR="00B01F1C">
        <w:t xml:space="preserve">lead community </w:t>
      </w:r>
      <w:r w:rsidR="00E07AD2">
        <w:t>workers</w:t>
      </w:r>
      <w:r w:rsidR="00336DBE">
        <w:t>’</w:t>
      </w:r>
      <w:r w:rsidR="00E07AD2">
        <w:t>.</w:t>
      </w:r>
      <w:r w:rsidR="002E4E55" w:rsidRPr="009006D7">
        <w:rPr>
          <w:rStyle w:val="FootnoteReference"/>
        </w:rPr>
        <w:footnoteReference w:id="191"/>
      </w:r>
      <w:r w:rsidR="00E07AD2">
        <w:t xml:space="preserve"> </w:t>
      </w:r>
      <w:r w:rsidR="002E4E55">
        <w:t xml:space="preserve">Their responsibilities would be much broader than those of a traditional ‘navigator’ tasked with helping whānau access available services. </w:t>
      </w:r>
    </w:p>
    <w:p w14:paraId="3AAA6680" w14:textId="7CBD8A3F" w:rsidR="00E0231C" w:rsidRDefault="00E07AD2" w:rsidP="00E0231C">
      <w:pPr>
        <w:pStyle w:val="USBullet1"/>
      </w:pPr>
      <w:r>
        <w:t>L</w:t>
      </w:r>
      <w:r w:rsidR="00F713A3">
        <w:t>ead community workers</w:t>
      </w:r>
      <w:r w:rsidR="00E0231C">
        <w:t xml:space="preserve"> would be employed by a </w:t>
      </w:r>
      <w:r>
        <w:t>PBI</w:t>
      </w:r>
      <w:r w:rsidR="00336DBE">
        <w:t>.</w:t>
      </w:r>
    </w:p>
    <w:p w14:paraId="076749AE" w14:textId="010FEC0A" w:rsidR="00212F0F" w:rsidRDefault="00212F0F" w:rsidP="00E0231C">
      <w:pPr>
        <w:pStyle w:val="USBullet1"/>
      </w:pPr>
      <w:r>
        <w:t>PBIs would have access to the data</w:t>
      </w:r>
      <w:r w:rsidR="007253D3">
        <w:t xml:space="preserve"> and local knowledge</w:t>
      </w:r>
      <w:r>
        <w:t xml:space="preserve"> needed to select the people they will be assisting</w:t>
      </w:r>
      <w:r w:rsidR="00336DBE">
        <w:t>.</w:t>
      </w:r>
    </w:p>
    <w:p w14:paraId="225BF5CA" w14:textId="38C0C1ED" w:rsidR="003C605A" w:rsidRPr="003C605A" w:rsidRDefault="003C605A" w:rsidP="003C605A">
      <w:pPr>
        <w:pStyle w:val="USBullet1"/>
      </w:pPr>
      <w:r w:rsidRPr="003C605A">
        <w:t xml:space="preserve">Together, whānau and the </w:t>
      </w:r>
      <w:r w:rsidR="00187ABC">
        <w:t>lead community worker</w:t>
      </w:r>
      <w:r w:rsidRPr="003C605A">
        <w:t xml:space="preserve"> will develop a plan for a better li</w:t>
      </w:r>
      <w:r w:rsidR="00336DBE">
        <w:t>fe.</w:t>
      </w:r>
    </w:p>
    <w:p w14:paraId="62291443" w14:textId="73EBF912" w:rsidR="00E805BA" w:rsidRDefault="00E07AD2">
      <w:pPr>
        <w:pStyle w:val="USBullet1"/>
      </w:pPr>
      <w:r>
        <w:lastRenderedPageBreak/>
        <w:t>PBIs would be empowered and funded to design prog</w:t>
      </w:r>
      <w:r w:rsidR="004F29CA">
        <w:t>ram</w:t>
      </w:r>
      <w:r w:rsidR="00336DBE">
        <w:t>me</w:t>
      </w:r>
      <w:r w:rsidR="004F29CA">
        <w:t>s of assistance</w:t>
      </w:r>
      <w:r w:rsidR="005739BB">
        <w:t xml:space="preserve"> to put the plans into effect</w:t>
      </w:r>
      <w:r w:rsidR="007253D3">
        <w:t xml:space="preserve">. This </w:t>
      </w:r>
      <w:r w:rsidR="004F29CA">
        <w:t xml:space="preserve">could </w:t>
      </w:r>
      <w:r w:rsidR="007253D3">
        <w:t>involve</w:t>
      </w:r>
      <w:r w:rsidR="004F29CA">
        <w:t xml:space="preserve"> a combination of in-house delivery</w:t>
      </w:r>
      <w:r w:rsidR="0017458D">
        <w:t xml:space="preserve"> and third-party </w:t>
      </w:r>
      <w:r w:rsidR="00187ABC">
        <w:t>provision and</w:t>
      </w:r>
      <w:r w:rsidR="007253D3">
        <w:t xml:space="preserve"> may require</w:t>
      </w:r>
      <w:r w:rsidR="00410345">
        <w:t xml:space="preserve"> commissioning</w:t>
      </w:r>
      <w:r w:rsidR="007253D3">
        <w:t xml:space="preserve"> new forms of assistance</w:t>
      </w:r>
      <w:r w:rsidR="00410345">
        <w:t>.</w:t>
      </w:r>
    </w:p>
    <w:p w14:paraId="19D32C40" w14:textId="22140A0E" w:rsidR="00E07AD2" w:rsidRDefault="00E07AD2">
      <w:pPr>
        <w:pStyle w:val="USBullet1"/>
      </w:pPr>
      <w:r>
        <w:t xml:space="preserve">A new </w:t>
      </w:r>
      <w:r w:rsidR="0017458D">
        <w:t>department would be responsible for selecting, monitoring, and funding the ne</w:t>
      </w:r>
      <w:r w:rsidR="007E490E">
        <w:t>t</w:t>
      </w:r>
      <w:r w:rsidR="0017458D">
        <w:t>work of PBIs. We envisage a portfolio approach, with different types of PBIs established across the country</w:t>
      </w:r>
      <w:r w:rsidR="00212F0F">
        <w:t>.</w:t>
      </w:r>
    </w:p>
    <w:p w14:paraId="074759BD" w14:textId="13DBF3D9" w:rsidR="00212F0F" w:rsidRDefault="00310E45" w:rsidP="00212F0F">
      <w:pPr>
        <w:pStyle w:val="USBodyText"/>
      </w:pPr>
      <w:r>
        <w:rPr>
          <w:highlight w:val="yellow"/>
        </w:rPr>
        <w:fldChar w:fldCharType="begin"/>
      </w:r>
      <w:r>
        <w:rPr>
          <w:highlight w:val="yellow"/>
        </w:rPr>
        <w:instrText xml:space="preserve"> REF _Ref126836881 \h </w:instrText>
      </w:r>
      <w:r>
        <w:rPr>
          <w:highlight w:val="yellow"/>
        </w:rPr>
      </w:r>
      <w:r>
        <w:rPr>
          <w:highlight w:val="yellow"/>
        </w:rPr>
        <w:fldChar w:fldCharType="separate"/>
      </w:r>
      <w:r w:rsidR="00E06351">
        <w:t>Figure </w:t>
      </w:r>
      <w:r w:rsidR="00E06351">
        <w:rPr>
          <w:noProof/>
        </w:rPr>
        <w:t>13</w:t>
      </w:r>
      <w:r>
        <w:rPr>
          <w:highlight w:val="yellow"/>
        </w:rPr>
        <w:fldChar w:fldCharType="end"/>
      </w:r>
      <w:r w:rsidR="0032760B">
        <w:t xml:space="preserve"> </w:t>
      </w:r>
      <w:r w:rsidR="007253D3">
        <w:t xml:space="preserve">sets out an initial </w:t>
      </w:r>
      <w:r w:rsidR="00212F0F">
        <w:t>‘wiring diagram’ that shows what this structure might look like</w:t>
      </w:r>
      <w:r w:rsidR="007253D3">
        <w:t xml:space="preserve">. </w:t>
      </w:r>
      <w:r w:rsidR="00C56480">
        <w:t xml:space="preserve">We expect this to </w:t>
      </w:r>
      <w:r w:rsidR="00212F0F">
        <w:t xml:space="preserve">evolve </w:t>
      </w:r>
      <w:r w:rsidR="00C56480">
        <w:t>over</w:t>
      </w:r>
      <w:r w:rsidR="00212F0F">
        <w:t xml:space="preserve"> time. </w:t>
      </w:r>
    </w:p>
    <w:p w14:paraId="7F80ED23" w14:textId="5EBECE56" w:rsidR="00310E45" w:rsidRDefault="00310E45" w:rsidP="00310E45">
      <w:pPr>
        <w:pStyle w:val="FigureCaption"/>
      </w:pPr>
      <w:bookmarkStart w:id="246" w:name="_Ref126836881"/>
      <w:bookmarkStart w:id="247" w:name="_Toc17129229"/>
      <w:bookmarkStart w:id="248" w:name="_Toc17368415"/>
      <w:bookmarkStart w:id="249" w:name="_Toc17375902"/>
      <w:bookmarkStart w:id="250" w:name="_Toc126841244"/>
      <w:bookmarkStart w:id="251" w:name="_Hlk17387953"/>
      <w:r>
        <w:t>Figure </w:t>
      </w:r>
      <w:r>
        <w:fldChar w:fldCharType="begin"/>
      </w:r>
      <w:r>
        <w:instrText>SEQ Figure \* ARABIC</w:instrText>
      </w:r>
      <w:r>
        <w:fldChar w:fldCharType="separate"/>
      </w:r>
      <w:r w:rsidR="00E06351">
        <w:rPr>
          <w:noProof/>
        </w:rPr>
        <w:t>13</w:t>
      </w:r>
      <w:r>
        <w:fldChar w:fldCharType="end"/>
      </w:r>
      <w:bookmarkEnd w:id="246"/>
      <w:r>
        <w:t xml:space="preserve"> </w:t>
      </w:r>
      <w:bookmarkEnd w:id="247"/>
      <w:bookmarkEnd w:id="248"/>
      <w:bookmarkEnd w:id="249"/>
      <w:r>
        <w:t>Our proposed structure</w:t>
      </w:r>
      <w:bookmarkEnd w:id="250"/>
    </w:p>
    <w:p w14:paraId="10166123" w14:textId="7FD7CD31" w:rsidR="00310E45" w:rsidRDefault="00DA6A31" w:rsidP="00310E45">
      <w:pPr>
        <w:pStyle w:val="USPlaceholder"/>
      </w:pPr>
      <w:r>
        <w:drawing>
          <wp:inline distT="0" distB="0" distL="0" distR="0" wp14:anchorId="14E7D7D3" wp14:editId="28CDB314">
            <wp:extent cx="4968261" cy="2794505"/>
            <wp:effectExtent l="0" t="0" r="3810" b="635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4975296" cy="2798462"/>
                    </a:xfrm>
                    <a:prstGeom prst="rect">
                      <a:avLst/>
                    </a:prstGeom>
                  </pic:spPr>
                </pic:pic>
              </a:graphicData>
            </a:graphic>
          </wp:inline>
        </w:drawing>
      </w:r>
    </w:p>
    <w:p w14:paraId="45993449" w14:textId="2FB2431D" w:rsidR="00310E45" w:rsidRDefault="00310E45" w:rsidP="00310E45">
      <w:pPr>
        <w:pStyle w:val="USSource"/>
      </w:pPr>
      <w:r>
        <w:t>Source: The authors</w:t>
      </w:r>
    </w:p>
    <w:bookmarkEnd w:id="251"/>
    <w:p w14:paraId="03593B85" w14:textId="60D0F300" w:rsidR="00E95631" w:rsidRDefault="003A43DE" w:rsidP="00E95631">
      <w:pPr>
        <w:ind w:left="851"/>
      </w:pPr>
      <w:r>
        <w:t xml:space="preserve">Lead community workers </w:t>
      </w:r>
      <w:r w:rsidR="00E95631">
        <w:t xml:space="preserve">would be empowered to take control of the entire approach to support within carefully defined and monitored limits and be able to </w:t>
      </w:r>
      <w:proofErr w:type="gramStart"/>
      <w:r w:rsidR="00E95631">
        <w:t>make adjustments</w:t>
      </w:r>
      <w:proofErr w:type="gramEnd"/>
      <w:r w:rsidR="00E95631">
        <w:t xml:space="preserve">. For example, they could make a holistic assessment and decide that </w:t>
      </w:r>
      <w:r w:rsidR="00BF4D57">
        <w:t>a</w:t>
      </w:r>
      <w:r w:rsidR="00E95631">
        <w:t xml:space="preserve"> whānau should be eligible for assistance under multiple programmes, instead of requiring individual assessments under each programme, with the attendant data gathering and stress. This assessment </w:t>
      </w:r>
      <w:r w:rsidR="00BF4D57">
        <w:t>w</w:t>
      </w:r>
      <w:r w:rsidR="00E95631">
        <w:t>ould stay in place until revoked, thus removing the need for people to continually prove that they need help. Staff would also be expected to seek ways to address identified service gaps, for example, by escalating to the new ministry described above.</w:t>
      </w:r>
      <w:r w:rsidR="00E95631" w:rsidRPr="009006D7">
        <w:rPr>
          <w:rStyle w:val="FootnoteReference"/>
        </w:rPr>
        <w:footnoteReference w:id="192"/>
      </w:r>
    </w:p>
    <w:p w14:paraId="114D05A2" w14:textId="17DB2906" w:rsidR="00E95631" w:rsidRDefault="00E95631" w:rsidP="00E95631">
      <w:pPr>
        <w:ind w:left="851"/>
      </w:pPr>
      <w:r>
        <w:t xml:space="preserve">The aim would be for the </w:t>
      </w:r>
      <w:r w:rsidR="003A43DE">
        <w:t>lead community worker</w:t>
      </w:r>
      <w:r>
        <w:t xml:space="preserve"> to become the ‘sole car in the driveway’ most of the time.</w:t>
      </w:r>
      <w:r w:rsidRPr="009006D7">
        <w:rPr>
          <w:rStyle w:val="FootnoteReference"/>
        </w:rPr>
        <w:footnoteReference w:id="193"/>
      </w:r>
      <w:r>
        <w:t xml:space="preserve"> They would have principal, and maybe even exclusive, authority to gather information required to plan and deliver care.</w:t>
      </w:r>
      <w:r w:rsidRPr="009006D7">
        <w:rPr>
          <w:rStyle w:val="FootnoteReference"/>
        </w:rPr>
        <w:footnoteReference w:id="194"/>
      </w:r>
      <w:r>
        <w:t xml:space="preserve"> There would be </w:t>
      </w:r>
      <w:r>
        <w:lastRenderedPageBreak/>
        <w:t xml:space="preserve">some cases, for example dealing with family violence callouts, where other agencies would still need to take an active role.   </w:t>
      </w:r>
    </w:p>
    <w:p w14:paraId="52DDC0B0" w14:textId="1CFAC581" w:rsidR="00E95631" w:rsidRDefault="00E95631" w:rsidP="00E95631">
      <w:pPr>
        <w:ind w:left="851"/>
      </w:pPr>
      <w:r>
        <w:t xml:space="preserve">The </w:t>
      </w:r>
      <w:r w:rsidR="003A43DE">
        <w:t>lead community worker</w:t>
      </w:r>
      <w:r>
        <w:t xml:space="preserve"> would also be empowered to authorise additional assistance identified by the whānau they are working with. They would, possibly jointly with the whānau, become a budget holder. The ethos would be to do ‘whatever it takes within the budget’ to improve the lives of the people they are supporting.  </w:t>
      </w:r>
    </w:p>
    <w:p w14:paraId="2035F98E" w14:textId="794D7B97" w:rsidR="00E95631" w:rsidRDefault="00E95631" w:rsidP="00E95631">
      <w:pPr>
        <w:ind w:left="851"/>
        <w:rPr>
          <w:highlight w:val="green"/>
        </w:rPr>
      </w:pPr>
      <w:r>
        <w:t xml:space="preserve">We propose that individual </w:t>
      </w:r>
      <w:r w:rsidR="003A43DE">
        <w:t xml:space="preserve">lead community workers </w:t>
      </w:r>
      <w:r>
        <w:t xml:space="preserve">would be supported by teams of peers and supervisors on a day-to-day basis. We discussed how a similar process already works in </w:t>
      </w:r>
      <w:proofErr w:type="spellStart"/>
      <w:r>
        <w:t>Tairāwhiti</w:t>
      </w:r>
      <w:proofErr w:type="spellEnd"/>
      <w:r>
        <w:t xml:space="preserve"> and South Auckland in section </w:t>
      </w:r>
      <w:r>
        <w:fldChar w:fldCharType="begin"/>
      </w:r>
      <w:r>
        <w:instrText xml:space="preserve"> REF _Ref125976403 \r \h </w:instrText>
      </w:r>
      <w:r>
        <w:fldChar w:fldCharType="separate"/>
      </w:r>
      <w:r w:rsidR="00E06351">
        <w:t>2.5.10</w:t>
      </w:r>
      <w:r>
        <w:fldChar w:fldCharType="end"/>
      </w:r>
      <w:r>
        <w:t>.</w:t>
      </w:r>
    </w:p>
    <w:p w14:paraId="309DD5F1" w14:textId="5919FA66" w:rsidR="00B55DD5" w:rsidRDefault="00DD7604" w:rsidP="00B55DD5">
      <w:pPr>
        <w:ind w:left="851"/>
      </w:pPr>
      <w:r>
        <w:t xml:space="preserve">We envisage that there would </w:t>
      </w:r>
      <w:r w:rsidR="003572AC">
        <w:t xml:space="preserve">be a range of </w:t>
      </w:r>
      <w:r w:rsidR="00CA20E2">
        <w:t>PBIs</w:t>
      </w:r>
      <w:r w:rsidR="003572AC">
        <w:t>. Some might be iwi- or faith-based; other</w:t>
      </w:r>
      <w:r w:rsidR="000116A9">
        <w:t>s</w:t>
      </w:r>
      <w:r w:rsidR="003572AC">
        <w:t xml:space="preserve"> could be newly established charities or arms of existing charities. Some could </w:t>
      </w:r>
      <w:r w:rsidR="00026CC6">
        <w:t>be staffed by public servants (the South Auckland Social Wellbeing Board is an example).</w:t>
      </w:r>
      <w:r w:rsidR="007656E1">
        <w:t xml:space="preserve"> </w:t>
      </w:r>
      <w:r w:rsidR="00B55DD5">
        <w:t xml:space="preserve">The names given to PBIs, their operating models and their cultures should all </w:t>
      </w:r>
      <w:r w:rsidR="00410345">
        <w:t>seek</w:t>
      </w:r>
      <w:r w:rsidR="00B55DD5">
        <w:t xml:space="preserve"> to minimise the risk of stigmatising the whānau they are assisting. They should not be seen as </w:t>
      </w:r>
      <w:r w:rsidR="00187ABC">
        <w:t>being</w:t>
      </w:r>
      <w:r w:rsidR="00B55DD5">
        <w:t xml:space="preserve"> imposed on people by a government that knows best what they need.</w:t>
      </w:r>
    </w:p>
    <w:p w14:paraId="185FD08D" w14:textId="60F40229" w:rsidR="00330F4B" w:rsidRDefault="007656E1" w:rsidP="00070525">
      <w:pPr>
        <w:pStyle w:val="USBodyText"/>
      </w:pPr>
      <w:r>
        <w:t xml:space="preserve">The important point is that they be </w:t>
      </w:r>
      <w:r w:rsidR="00C56480">
        <w:t>closely connected to</w:t>
      </w:r>
      <w:r>
        <w:t xml:space="preserve"> people ex</w:t>
      </w:r>
      <w:r w:rsidR="00816B61">
        <w:t>perienc</w:t>
      </w:r>
      <w:r>
        <w:t xml:space="preserve">ing persistent disadvantage and that their prime accountability be to those people. </w:t>
      </w:r>
    </w:p>
    <w:p w14:paraId="2EE67C02" w14:textId="76DEA8F4" w:rsidR="00586CAA" w:rsidRDefault="0001438B" w:rsidP="00070525">
      <w:pPr>
        <w:pStyle w:val="USBodyText"/>
      </w:pPr>
      <w:r>
        <w:t xml:space="preserve">The role of a PBI would be to exercise devolved power. </w:t>
      </w:r>
      <w:r w:rsidR="008D517F">
        <w:t xml:space="preserve">As we discussed in section </w:t>
      </w:r>
      <w:r w:rsidR="008D517F">
        <w:fldChar w:fldCharType="begin"/>
      </w:r>
      <w:r w:rsidR="008D517F">
        <w:instrText xml:space="preserve"> REF _Ref126761942 \r \h </w:instrText>
      </w:r>
      <w:r w:rsidR="008D517F">
        <w:fldChar w:fldCharType="separate"/>
      </w:r>
      <w:r w:rsidR="00E06351">
        <w:t>3.2.1</w:t>
      </w:r>
      <w:r w:rsidR="008D517F">
        <w:fldChar w:fldCharType="end"/>
      </w:r>
      <w:r w:rsidR="008D517F">
        <w:t xml:space="preserve">, by </w:t>
      </w:r>
      <w:r w:rsidR="0060538F">
        <w:t>‘d</w:t>
      </w:r>
      <w:r w:rsidR="008D517F" w:rsidRPr="008D517F">
        <w:t>evolution of power</w:t>
      </w:r>
      <w:r w:rsidR="0060538F">
        <w:t xml:space="preserve">’, we mean that </w:t>
      </w:r>
      <w:r w:rsidR="008D517F" w:rsidRPr="008D517F">
        <w:t xml:space="preserve">decision rights about what to do are given to </w:t>
      </w:r>
      <w:r w:rsidR="00A01A44">
        <w:t>the PBIs</w:t>
      </w:r>
      <w:r w:rsidR="0060538F">
        <w:t xml:space="preserve"> </w:t>
      </w:r>
      <w:r w:rsidR="008D517F" w:rsidRPr="008D517F">
        <w:t xml:space="preserve">by </w:t>
      </w:r>
      <w:r w:rsidR="002E6A71">
        <w:t>the government</w:t>
      </w:r>
      <w:r w:rsidR="008D517F" w:rsidRPr="008D517F">
        <w:t>, which retain</w:t>
      </w:r>
      <w:r w:rsidR="002E6A71">
        <w:t>s</w:t>
      </w:r>
      <w:r w:rsidR="008D517F" w:rsidRPr="008D517F">
        <w:t xml:space="preserve"> the power to change the terms of devolution.</w:t>
      </w:r>
      <w:r w:rsidR="00D051F5" w:rsidRPr="009006D7">
        <w:rPr>
          <w:rStyle w:val="FootnoteReference"/>
        </w:rPr>
        <w:footnoteReference w:id="195"/>
      </w:r>
      <w:r w:rsidR="0051190C">
        <w:t xml:space="preserve"> In relation to persistent disadvantage, the main power that we propose to be devolved relates to entitlements to assistance</w:t>
      </w:r>
      <w:r w:rsidR="00BE6032">
        <w:t xml:space="preserve"> and the form that assistance takes. This would involve moving away from the current system where individual departments decide eligibility criteria and thresholds on a case-by-case basis</w:t>
      </w:r>
      <w:r w:rsidR="0005654F">
        <w:t xml:space="preserve">. Rather, </w:t>
      </w:r>
      <w:r w:rsidR="00BE6032">
        <w:t xml:space="preserve">PBIs </w:t>
      </w:r>
      <w:r w:rsidR="0005654F">
        <w:t xml:space="preserve">would make </w:t>
      </w:r>
      <w:proofErr w:type="gramStart"/>
      <w:r w:rsidR="00BE6032">
        <w:t>a</w:t>
      </w:r>
      <w:r w:rsidR="0005654F">
        <w:t>n</w:t>
      </w:r>
      <w:proofErr w:type="gramEnd"/>
      <w:r w:rsidR="00BE6032">
        <w:t xml:space="preserve"> holistic assessment of needs based on the changes that whānau want to make to their lives.</w:t>
      </w:r>
      <w:r w:rsidR="0005654F">
        <w:t xml:space="preserve"> From this would come a plan of assistance, which the PBI would be empowered (and funded) to provide.</w:t>
      </w:r>
    </w:p>
    <w:p w14:paraId="00914C6E" w14:textId="597FDC83" w:rsidR="00B03FB4" w:rsidRDefault="00B03FB4" w:rsidP="00070525">
      <w:pPr>
        <w:pStyle w:val="USBodyText"/>
      </w:pPr>
      <w:r>
        <w:t xml:space="preserve">In essence, and at a very broad level, we are proposing that PBIs will be charged with addressing persistent disadvantage in their areas of responsibility. By ‘addressing’ we mean delivering </w:t>
      </w:r>
      <w:r w:rsidR="000A654A">
        <w:t xml:space="preserve">measurable improvements on </w:t>
      </w:r>
      <w:r w:rsidR="00280196">
        <w:t>pre-set dimensions of wellbeing.</w:t>
      </w:r>
      <w:r w:rsidR="00280196" w:rsidRPr="009006D7">
        <w:rPr>
          <w:rStyle w:val="FootnoteReference"/>
        </w:rPr>
        <w:footnoteReference w:id="196"/>
      </w:r>
    </w:p>
    <w:p w14:paraId="607B9A27" w14:textId="75913CDD" w:rsidR="000D5163" w:rsidRDefault="0007391E" w:rsidP="000D5163">
      <w:pPr>
        <w:pStyle w:val="USBodyText"/>
      </w:pPr>
      <w:r>
        <w:t xml:space="preserve">This is a significant change, and one that is not without risk. </w:t>
      </w:r>
      <w:r w:rsidR="00153BD2">
        <w:t xml:space="preserve">It will take time to develop, and we envisage that PBIs will be established </w:t>
      </w:r>
      <w:r w:rsidR="00A569A7">
        <w:t xml:space="preserve">or developed </w:t>
      </w:r>
      <w:r w:rsidR="0027491B">
        <w:t>over time to take responsibility in their areas.</w:t>
      </w:r>
      <w:r w:rsidR="00A966A1" w:rsidRPr="009006D7">
        <w:rPr>
          <w:rStyle w:val="FootnoteReference"/>
        </w:rPr>
        <w:footnoteReference w:id="197"/>
      </w:r>
      <w:r w:rsidR="0027491B">
        <w:t xml:space="preserve"> </w:t>
      </w:r>
      <w:r w:rsidR="000D5163">
        <w:t>Devolving power should be accompanied by PBIs being accountable to both the people they are assisting and the new department for the desired outcome of improvements in lives. (We discuss constitutional and learning accountability below).</w:t>
      </w:r>
    </w:p>
    <w:p w14:paraId="7BAE094D" w14:textId="31404FE5" w:rsidR="0007391E" w:rsidRDefault="00187ABC" w:rsidP="00070525">
      <w:pPr>
        <w:pStyle w:val="USBodyText"/>
      </w:pPr>
      <w:r>
        <w:t xml:space="preserve">Given some existing organisations are already starting to operate in this way, there will be some boundary and transition issues to work through. A key question the Crown will </w:t>
      </w:r>
      <w:r>
        <w:lastRenderedPageBreak/>
        <w:t>need to work through with its Treaty partner is how best to realise the potential of Whānau Ora</w:t>
      </w:r>
      <w:r w:rsidR="00C56480">
        <w:t xml:space="preserve"> in this context</w:t>
      </w:r>
      <w:r>
        <w:t>.</w:t>
      </w:r>
      <w:r w:rsidR="00530B8F" w:rsidRPr="009006D7">
        <w:rPr>
          <w:rStyle w:val="FootnoteReference"/>
        </w:rPr>
        <w:footnoteReference w:id="198"/>
      </w:r>
      <w:r>
        <w:t xml:space="preserve"> </w:t>
      </w:r>
    </w:p>
    <w:p w14:paraId="1F3B86E6" w14:textId="3C1455AA" w:rsidR="00416098" w:rsidRPr="00330F4B" w:rsidRDefault="00040344" w:rsidP="00416098">
      <w:pPr>
        <w:pStyle w:val="USBodyText"/>
      </w:pPr>
      <w:r>
        <w:t xml:space="preserve">To become a PBI will require an organisation, its leadership, its staff and </w:t>
      </w:r>
      <w:r w:rsidR="006E4D7A">
        <w:t xml:space="preserve">even </w:t>
      </w:r>
      <w:r>
        <w:t xml:space="preserve">the people in its community to commit to improving </w:t>
      </w:r>
      <w:r w:rsidR="00704012">
        <w:t xml:space="preserve">the </w:t>
      </w:r>
      <w:r>
        <w:t>lives</w:t>
      </w:r>
      <w:r w:rsidR="00704012">
        <w:t xml:space="preserve"> of people experiencing persistent disadvantage</w:t>
      </w:r>
      <w:r w:rsidR="003A43DE">
        <w:t xml:space="preserve"> and to accept responsibility if th</w:t>
      </w:r>
      <w:r w:rsidR="00416098">
        <w:t xml:space="preserve">is does not occur. </w:t>
      </w:r>
      <w:r w:rsidR="007D65EA">
        <w:t>This means that funding will be tied to results rather than secured in perpetuity.</w:t>
      </w:r>
      <w:r w:rsidR="00C56480" w:rsidRPr="009006D7">
        <w:rPr>
          <w:rStyle w:val="FootnoteReference"/>
        </w:rPr>
        <w:footnoteReference w:id="199"/>
      </w:r>
      <w:r w:rsidR="007D65EA">
        <w:t xml:space="preserve"> </w:t>
      </w:r>
      <w:r w:rsidR="00416098">
        <w:t>We acknowledge, given the complexity of the issues that people</w:t>
      </w:r>
      <w:r w:rsidR="007D65EA">
        <w:t xml:space="preserve"> experiencing persistent disadvantage</w:t>
      </w:r>
      <w:r w:rsidR="00416098">
        <w:t xml:space="preserve"> face, that this is not an exact science</w:t>
      </w:r>
      <w:r w:rsidR="00A966A1">
        <w:t>, and that some people will need ongoing help.</w:t>
      </w:r>
    </w:p>
    <w:p w14:paraId="4799CE9E" w14:textId="77777777" w:rsidR="00800200" w:rsidRPr="00BD65BA" w:rsidRDefault="00587ABD" w:rsidP="00BD65BA">
      <w:pPr>
        <w:pStyle w:val="USBodyText"/>
      </w:pPr>
      <w:r w:rsidRPr="00BD65BA">
        <w:t xml:space="preserve">The core role of the PBIs </w:t>
      </w:r>
      <w:r w:rsidR="001834B2" w:rsidRPr="00BD65BA">
        <w:t xml:space="preserve">would be </w:t>
      </w:r>
      <w:r w:rsidRPr="00BD65BA">
        <w:t>to engage in</w:t>
      </w:r>
      <w:r w:rsidR="00B33E4F" w:rsidRPr="00BD65BA">
        <w:t xml:space="preserve"> </w:t>
      </w:r>
      <w:r w:rsidR="003415A6" w:rsidRPr="00BD65BA">
        <w:t>what m</w:t>
      </w:r>
      <w:r w:rsidR="00B33E4F" w:rsidRPr="00BD65BA">
        <w:t>ight</w:t>
      </w:r>
      <w:r w:rsidR="003415A6" w:rsidRPr="00BD65BA">
        <w:t xml:space="preserve"> be a long-term process of </w:t>
      </w:r>
      <w:r w:rsidR="00B33E4F" w:rsidRPr="00BD65BA">
        <w:t>building trust</w:t>
      </w:r>
      <w:r w:rsidR="00655A2D" w:rsidRPr="00BD65BA">
        <w:t>ed relationship</w:t>
      </w:r>
      <w:r w:rsidR="00AA767D" w:rsidRPr="00BD65BA">
        <w:t>s</w:t>
      </w:r>
      <w:r w:rsidR="00686FCF" w:rsidRPr="00BD65BA">
        <w:t xml:space="preserve"> with whānau</w:t>
      </w:r>
      <w:r w:rsidR="00AA767D" w:rsidRPr="00BD65BA">
        <w:t xml:space="preserve">, </w:t>
      </w:r>
      <w:r w:rsidR="00655A2D" w:rsidRPr="00BD65BA">
        <w:t>understand</w:t>
      </w:r>
      <w:r w:rsidR="0055145B" w:rsidRPr="00BD65BA">
        <w:t>ing</w:t>
      </w:r>
      <w:r w:rsidR="00655A2D" w:rsidRPr="00BD65BA">
        <w:t xml:space="preserve"> </w:t>
      </w:r>
      <w:r w:rsidR="00686FCF" w:rsidRPr="00BD65BA">
        <w:t>their</w:t>
      </w:r>
      <w:r w:rsidR="00ED0436" w:rsidRPr="00BD65BA">
        <w:t xml:space="preserve"> </w:t>
      </w:r>
      <w:r w:rsidR="00655A2D" w:rsidRPr="00BD65BA">
        <w:t>needs</w:t>
      </w:r>
      <w:r w:rsidR="00DD071D" w:rsidRPr="00BD65BA">
        <w:t xml:space="preserve"> and </w:t>
      </w:r>
      <w:proofErr w:type="gramStart"/>
      <w:r w:rsidR="00DD071D" w:rsidRPr="00BD65BA">
        <w:t>priorities</w:t>
      </w:r>
      <w:proofErr w:type="gramEnd"/>
      <w:r w:rsidR="00655A2D" w:rsidRPr="00BD65BA">
        <w:t xml:space="preserve"> and </w:t>
      </w:r>
      <w:r w:rsidR="003415A6" w:rsidRPr="00BD65BA">
        <w:t>working w</w:t>
      </w:r>
      <w:r w:rsidR="00F94CC3" w:rsidRPr="00BD65BA">
        <w:t>i</w:t>
      </w:r>
      <w:r w:rsidR="003415A6" w:rsidRPr="00BD65BA">
        <w:t xml:space="preserve">th </w:t>
      </w:r>
      <w:r w:rsidR="00686FCF" w:rsidRPr="00BD65BA">
        <w:t xml:space="preserve">them </w:t>
      </w:r>
      <w:r w:rsidR="00DD071D" w:rsidRPr="00BD65BA">
        <w:t xml:space="preserve">to </w:t>
      </w:r>
      <w:r w:rsidR="00F94CC3" w:rsidRPr="00BD65BA">
        <w:t>develop</w:t>
      </w:r>
      <w:r w:rsidR="00FC29EB" w:rsidRPr="00BD65BA">
        <w:t xml:space="preserve"> and implement</w:t>
      </w:r>
      <w:r w:rsidR="00F94CC3" w:rsidRPr="00BD65BA">
        <w:t xml:space="preserve"> a plan for improving their lives.</w:t>
      </w:r>
    </w:p>
    <w:p w14:paraId="1D2C154E" w14:textId="3915C9E7" w:rsidR="001B024C" w:rsidRPr="00F543C1" w:rsidRDefault="00FE2F93" w:rsidP="001B024C">
      <w:pPr>
        <w:pStyle w:val="Heading3"/>
      </w:pPr>
      <w:bookmarkStart w:id="252" w:name="_Ref125834867"/>
      <w:bookmarkStart w:id="253" w:name="_Toc126092142"/>
      <w:r>
        <w:t>Introducing a</w:t>
      </w:r>
      <w:r w:rsidR="001B024C" w:rsidRPr="00F543C1">
        <w:t xml:space="preserve"> Social Accountability Act</w:t>
      </w:r>
      <w:bookmarkEnd w:id="252"/>
      <w:bookmarkEnd w:id="253"/>
    </w:p>
    <w:p w14:paraId="7A91B631" w14:textId="0D8813A9" w:rsidR="00640517" w:rsidRDefault="001B024C" w:rsidP="001B024C">
      <w:pPr>
        <w:ind w:left="851"/>
      </w:pPr>
      <w:r w:rsidRPr="00F543C1">
        <w:t>We recommend that legislation should be enacted, modelled on the fiscal responsibility provisions of Part 2 of the Public Finance Act</w:t>
      </w:r>
      <w:r w:rsidR="00F8128B">
        <w:t xml:space="preserve"> </w:t>
      </w:r>
      <w:r w:rsidR="002B34E7">
        <w:t xml:space="preserve">(see </w:t>
      </w:r>
      <w:r w:rsidR="005A2C8A">
        <w:fldChar w:fldCharType="begin"/>
      </w:r>
      <w:r w:rsidR="005A2C8A">
        <w:instrText xml:space="preserve"> REF Box5 \r \h </w:instrText>
      </w:r>
      <w:r w:rsidR="005A2C8A">
        <w:fldChar w:fldCharType="separate"/>
      </w:r>
      <w:r w:rsidR="00E06351">
        <w:t>Box 4</w:t>
      </w:r>
      <w:r w:rsidR="005A2C8A">
        <w:fldChar w:fldCharType="end"/>
      </w:r>
      <w:r w:rsidR="005A2C8A">
        <w:t xml:space="preserve"> </w:t>
      </w:r>
      <w:r w:rsidR="00E92404">
        <w:t xml:space="preserve">on page </w:t>
      </w:r>
      <w:r w:rsidR="004F5AA8">
        <w:fldChar w:fldCharType="begin"/>
      </w:r>
      <w:r w:rsidR="004F5AA8">
        <w:instrText xml:space="preserve"> PAGEREF Box4 \h </w:instrText>
      </w:r>
      <w:r w:rsidR="004F5AA8">
        <w:fldChar w:fldCharType="separate"/>
      </w:r>
      <w:r w:rsidR="00E06351">
        <w:rPr>
          <w:noProof/>
        </w:rPr>
        <w:t>61</w:t>
      </w:r>
      <w:r w:rsidR="004F5AA8">
        <w:fldChar w:fldCharType="end"/>
      </w:r>
      <w:r w:rsidR="002B34E7">
        <w:t>)</w:t>
      </w:r>
      <w:r w:rsidRPr="00F543C1">
        <w:t xml:space="preserve">, that imposes an additional accountability regime addressing persistent disadvantage on </w:t>
      </w:r>
      <w:r w:rsidR="00BE7ECC">
        <w:t>M</w:t>
      </w:r>
      <w:r w:rsidR="00BE7ECC" w:rsidRPr="00F543C1">
        <w:t>inisters</w:t>
      </w:r>
      <w:r w:rsidRPr="00F543C1">
        <w:t>.</w:t>
      </w:r>
      <w:r w:rsidRPr="009006D7">
        <w:rPr>
          <w:rStyle w:val="FootnoteReference"/>
        </w:rPr>
        <w:footnoteReference w:id="200"/>
      </w:r>
      <w:r w:rsidRPr="00F543C1">
        <w:t xml:space="preserve"> We propose ‘the Social Accountability Act’ as a working title.</w:t>
      </w:r>
      <w:r w:rsidR="00640439" w:rsidRPr="009006D7">
        <w:rPr>
          <w:rStyle w:val="FootnoteReference"/>
        </w:rPr>
        <w:footnoteReference w:id="201"/>
      </w:r>
      <w:r w:rsidR="00930966">
        <w:t xml:space="preserve"> It will be up to </w:t>
      </w:r>
      <w:r w:rsidR="007A6DFB">
        <w:t xml:space="preserve">Parliament </w:t>
      </w:r>
      <w:r w:rsidR="00930966">
        <w:t>to decide whether th</w:t>
      </w:r>
      <w:r w:rsidR="0060641D">
        <w:t>e Social Accountability Act supersedes other existing legislation or is see</w:t>
      </w:r>
      <w:r w:rsidR="002D0091">
        <w:t>n</w:t>
      </w:r>
      <w:r w:rsidR="0060641D">
        <w:t xml:space="preserve"> as compl</w:t>
      </w:r>
      <w:r w:rsidR="002D0091">
        <w:t>e</w:t>
      </w:r>
      <w:r w:rsidR="0060641D">
        <w:t>mentary to it.</w:t>
      </w:r>
      <w:r w:rsidR="0060641D" w:rsidRPr="009006D7">
        <w:rPr>
          <w:rStyle w:val="FootnoteReference"/>
        </w:rPr>
        <w:footnoteReference w:id="202"/>
      </w:r>
    </w:p>
    <w:p w14:paraId="3F3A0924" w14:textId="4DE80D88" w:rsidR="001B024C" w:rsidRDefault="00640517" w:rsidP="001B024C">
      <w:pPr>
        <w:ind w:left="851"/>
      </w:pPr>
      <w:r w:rsidRPr="00F543C1">
        <w:t xml:space="preserve">In the New Zealand context, such a comprehensive approach represents </w:t>
      </w:r>
      <w:r>
        <w:t xml:space="preserve">one of </w:t>
      </w:r>
      <w:r w:rsidRPr="00F543C1">
        <w:t>the highest level</w:t>
      </w:r>
      <w:r w:rsidR="002E14A6">
        <w:t>s</w:t>
      </w:r>
      <w:r w:rsidRPr="00F543C1">
        <w:t xml:space="preserve"> of accountability possible, especially if a cross-political party agreement can be achieved, resulting in enduring commitments to the system.</w:t>
      </w:r>
    </w:p>
    <w:p w14:paraId="5782FF57" w14:textId="3720FAF6" w:rsidR="001B024C" w:rsidRPr="00F543C1" w:rsidRDefault="001B024C" w:rsidP="00C27F51">
      <w:pPr>
        <w:ind w:left="851"/>
        <w:rPr>
          <w:iCs/>
          <w:color w:val="30353F"/>
        </w:rPr>
      </w:pPr>
      <w:r w:rsidRPr="00F543C1">
        <w:t>At the core of</w:t>
      </w:r>
      <w:r w:rsidR="00DC77AE">
        <w:t xml:space="preserve"> the</w:t>
      </w:r>
      <w:r w:rsidRPr="00F543C1">
        <w:t xml:space="preserve"> Social Accountability Act should be a requirement to state desired policy outcomes at a sufficient level of detail to allow progress to be assessed. But these outcomes </w:t>
      </w:r>
      <w:r w:rsidR="008135EA">
        <w:t xml:space="preserve">should neither be </w:t>
      </w:r>
      <w:r w:rsidR="00DC0FA7">
        <w:t>aspirational</w:t>
      </w:r>
      <w:r w:rsidR="008135EA">
        <w:t xml:space="preserve"> and thus meaningless</w:t>
      </w:r>
      <w:r w:rsidR="00DC0FA7">
        <w:t xml:space="preserve"> (such as ‘eliminating persistent disadvantage by 20</w:t>
      </w:r>
      <w:r w:rsidR="00822239">
        <w:t xml:space="preserve">30’) </w:t>
      </w:r>
      <w:r w:rsidR="00E92668">
        <w:t>nor focus on only</w:t>
      </w:r>
      <w:r w:rsidR="005754D1">
        <w:t xml:space="preserve"> part of the issue (</w:t>
      </w:r>
      <w:r w:rsidR="00BF2714">
        <w:t>for example, by committing the government to only reduc</w:t>
      </w:r>
      <w:r w:rsidR="006D1F8E">
        <w:t>ing</w:t>
      </w:r>
      <w:r w:rsidR="00BF2714">
        <w:t xml:space="preserve"> the incidence of low income).</w:t>
      </w:r>
      <w:r w:rsidR="00822239">
        <w:t xml:space="preserve"> </w:t>
      </w:r>
    </w:p>
    <w:p w14:paraId="578A85D8" w14:textId="77777777" w:rsidR="001B024C" w:rsidRPr="00F543C1" w:rsidRDefault="001B024C" w:rsidP="001B024C">
      <w:pPr>
        <w:ind w:left="851"/>
      </w:pPr>
      <w:r w:rsidRPr="00F543C1">
        <w:t>Specific features of this regime should include:</w:t>
      </w:r>
    </w:p>
    <w:p w14:paraId="783D961E" w14:textId="77777777" w:rsidR="001B024C" w:rsidRPr="00F543C1" w:rsidRDefault="001B024C" w:rsidP="001B024C">
      <w:pPr>
        <w:numPr>
          <w:ilvl w:val="0"/>
          <w:numId w:val="1"/>
        </w:numPr>
      </w:pPr>
      <w:r w:rsidRPr="00F543C1">
        <w:t xml:space="preserve">The government, at least every three years, must issue a Government Policy Statement (GPS) on persistent disadvantage, with the legislation specifying matters the statement should address, which would include desired, quantified outcomes and policy targets. </w:t>
      </w:r>
    </w:p>
    <w:p w14:paraId="6DB4F741" w14:textId="77777777" w:rsidR="001B024C" w:rsidRPr="00F543C1" w:rsidRDefault="001B024C" w:rsidP="001B024C">
      <w:pPr>
        <w:numPr>
          <w:ilvl w:val="0"/>
          <w:numId w:val="1"/>
        </w:numPr>
      </w:pPr>
      <w:r w:rsidRPr="00F543C1">
        <w:lastRenderedPageBreak/>
        <w:t>Officials,</w:t>
      </w:r>
      <w:r w:rsidRPr="009006D7">
        <w:rPr>
          <w:rStyle w:val="FootnoteReference"/>
        </w:rPr>
        <w:footnoteReference w:id="203"/>
      </w:r>
      <w:r w:rsidRPr="00F543C1">
        <w:t xml:space="preserve"> acting on their best professional judgement, should regularly</w:t>
      </w:r>
      <w:r w:rsidRPr="009006D7">
        <w:rPr>
          <w:rStyle w:val="FootnoteReference"/>
        </w:rPr>
        <w:footnoteReference w:id="204"/>
      </w:r>
      <w:r w:rsidRPr="00F543C1">
        <w:t xml:space="preserve"> publish a report on persistent disadvantage, with the Act specifying the minimum data to be included in that report. </w:t>
      </w:r>
    </w:p>
    <w:p w14:paraId="527E6A47" w14:textId="77777777" w:rsidR="001B024C" w:rsidRPr="00F543C1" w:rsidRDefault="001B024C" w:rsidP="001B024C">
      <w:pPr>
        <w:numPr>
          <w:ilvl w:val="0"/>
          <w:numId w:val="1"/>
        </w:numPr>
      </w:pPr>
      <w:r w:rsidRPr="00F543C1">
        <w:t xml:space="preserve">Adequate, detailed, policy-relevant, trusted time-series qualitative and quantitative data on people experiencing persistent disadvantage be collected, </w:t>
      </w:r>
      <w:proofErr w:type="gramStart"/>
      <w:r w:rsidRPr="00F543C1">
        <w:t>analysed</w:t>
      </w:r>
      <w:proofErr w:type="gramEnd"/>
      <w:r w:rsidRPr="00F543C1">
        <w:t xml:space="preserve"> and made widely available.</w:t>
      </w:r>
    </w:p>
    <w:p w14:paraId="56C014C3" w14:textId="67B742C6" w:rsidR="001B024C" w:rsidRDefault="001B024C" w:rsidP="001B024C">
      <w:pPr>
        <w:pStyle w:val="USBodyText"/>
      </w:pPr>
      <w:r w:rsidRPr="00F543C1">
        <w:t>Section 6B of the Children’s Act</w:t>
      </w:r>
      <w:r w:rsidR="00FB23BD">
        <w:t xml:space="preserve"> 2014</w:t>
      </w:r>
      <w:r w:rsidRPr="00F543C1">
        <w:t xml:space="preserve"> provides a guide for the kinds of policy principles that should guide the development of the GPS.</w:t>
      </w:r>
    </w:p>
    <w:p w14:paraId="0055D61D" w14:textId="77777777" w:rsidR="002B34E7" w:rsidRPr="00F543C1" w:rsidRDefault="002B34E7" w:rsidP="001B024C">
      <w:pPr>
        <w:pStyle w:val="USBodyText"/>
      </w:pPr>
    </w:p>
    <w:tbl>
      <w:tblPr>
        <w:tblStyle w:val="TableDefault"/>
        <w:tblW w:w="0" w:type="auto"/>
        <w:tblBorders>
          <w:top w:val="none" w:sz="0" w:space="0" w:color="auto"/>
          <w:bottom w:val="none" w:sz="0" w:space="0" w:color="auto"/>
          <w:insideH w:val="none" w:sz="0" w:space="0" w:color="auto"/>
        </w:tblBorders>
        <w:shd w:val="clear" w:color="auto" w:fill="C0EFFF" w:themeFill="accent1" w:themeFillTint="33"/>
        <w:tblLook w:val="04A0" w:firstRow="1" w:lastRow="0" w:firstColumn="1" w:lastColumn="0" w:noHBand="0" w:noVBand="1"/>
      </w:tblPr>
      <w:tblGrid>
        <w:gridCol w:w="7654"/>
      </w:tblGrid>
      <w:tr w:rsidR="001B024C" w:rsidRPr="00F543C1" w14:paraId="743A22F1" w14:textId="77777777" w:rsidTr="00E92668">
        <w:trPr>
          <w:cnfStyle w:val="100000000000" w:firstRow="1" w:lastRow="0" w:firstColumn="0" w:lastColumn="0" w:oddVBand="0" w:evenVBand="0" w:oddHBand="0" w:evenHBand="0" w:firstRowFirstColumn="0" w:firstRowLastColumn="0" w:lastRowFirstColumn="0" w:lastRowLastColumn="0"/>
        </w:trPr>
        <w:tc>
          <w:tcPr>
            <w:tcW w:w="7654" w:type="dxa"/>
            <w:shd w:val="clear" w:color="auto" w:fill="C0EFFF" w:themeFill="accent1" w:themeFillTint="33"/>
          </w:tcPr>
          <w:p w14:paraId="66D08159" w14:textId="6A1C6E26" w:rsidR="002850E5" w:rsidRPr="00C63FD8" w:rsidRDefault="002850E5" w:rsidP="00C63FD8">
            <w:pPr>
              <w:pStyle w:val="Box2"/>
            </w:pPr>
            <w:bookmarkStart w:id="254" w:name="_Toc126092158"/>
            <w:bookmarkStart w:id="255" w:name="_Toc126841258"/>
            <w:r w:rsidRPr="00C63FD8">
              <w:t>Section 6B of the Children’s Act</w:t>
            </w:r>
            <w:bookmarkEnd w:id="254"/>
            <w:bookmarkEnd w:id="255"/>
            <w:r w:rsidR="002C007E" w:rsidRPr="00C63FD8">
              <w:t xml:space="preserve"> </w:t>
            </w:r>
          </w:p>
          <w:p w14:paraId="69E88C8F" w14:textId="62EE2C9E" w:rsidR="002850E5" w:rsidRPr="00852078" w:rsidRDefault="002850E5" w:rsidP="00852078">
            <w:pPr>
              <w:pStyle w:val="USBodyText"/>
              <w:spacing w:line="240" w:lineRule="auto"/>
              <w:ind w:left="181"/>
              <w:rPr>
                <w:sz w:val="18"/>
                <w:szCs w:val="18"/>
              </w:rPr>
            </w:pPr>
            <w:r w:rsidRPr="00852078">
              <w:rPr>
                <w:sz w:val="18"/>
                <w:szCs w:val="18"/>
              </w:rPr>
              <w:t>This section of the Act reads as follows:</w:t>
            </w:r>
          </w:p>
          <w:p w14:paraId="3B34ECA5" w14:textId="77777777" w:rsidR="005C1596" w:rsidRPr="00852078" w:rsidRDefault="001B024C" w:rsidP="00852078">
            <w:pPr>
              <w:pStyle w:val="USBodyText"/>
              <w:spacing w:line="240" w:lineRule="auto"/>
              <w:ind w:left="181"/>
              <w:rPr>
                <w:b/>
                <w:bCs/>
                <w:sz w:val="18"/>
                <w:szCs w:val="18"/>
              </w:rPr>
            </w:pPr>
            <w:r w:rsidRPr="00852078">
              <w:rPr>
                <w:b/>
                <w:bCs/>
                <w:sz w:val="18"/>
                <w:szCs w:val="18"/>
              </w:rPr>
              <w:t xml:space="preserve">6B Policy-related principles Minister must have regard to before strategy adopted or </w:t>
            </w:r>
            <w:proofErr w:type="gramStart"/>
            <w:r w:rsidRPr="00852078">
              <w:rPr>
                <w:b/>
                <w:bCs/>
                <w:sz w:val="18"/>
                <w:szCs w:val="18"/>
              </w:rPr>
              <w:t>changed</w:t>
            </w:r>
            <w:proofErr w:type="gramEnd"/>
          </w:p>
          <w:p w14:paraId="0FBD823D" w14:textId="610BF3A5" w:rsidR="001B024C" w:rsidRPr="00F543C1" w:rsidRDefault="001B024C" w:rsidP="00852078">
            <w:pPr>
              <w:pStyle w:val="USBodyText"/>
              <w:spacing w:line="240" w:lineRule="auto"/>
              <w:ind w:left="181"/>
            </w:pPr>
            <w:r w:rsidRPr="00852078">
              <w:rPr>
                <w:sz w:val="18"/>
                <w:szCs w:val="18"/>
              </w:rPr>
              <w:br/>
              <w:t>(1) Before adopting a strategy, or changing a strategy adopted under section 6, the responsible Minister must have regard to the following policy-related principles:</w:t>
            </w:r>
            <w:r w:rsidRPr="00852078">
              <w:rPr>
                <w:sz w:val="18"/>
                <w:szCs w:val="18"/>
              </w:rPr>
              <w:br/>
            </w:r>
            <w:r w:rsidRPr="00852078">
              <w:rPr>
                <w:sz w:val="18"/>
                <w:szCs w:val="18"/>
              </w:rPr>
              <w:br/>
              <w:t xml:space="preserve">(a) </w:t>
            </w:r>
            <w:r w:rsidRPr="00852078">
              <w:rPr>
                <w:sz w:val="18"/>
                <w:szCs w:val="18"/>
              </w:rPr>
              <w:tab/>
              <w:t>policies should be informed by evidence about their expected effectiveness in achieving the social and economic outcomes sought by the strategy:</w:t>
            </w:r>
            <w:r w:rsidRPr="00852078">
              <w:rPr>
                <w:sz w:val="18"/>
                <w:szCs w:val="18"/>
              </w:rPr>
              <w:br/>
            </w:r>
            <w:r w:rsidRPr="00852078">
              <w:rPr>
                <w:sz w:val="18"/>
                <w:szCs w:val="18"/>
              </w:rPr>
              <w:br/>
              <w:t xml:space="preserve">(b) </w:t>
            </w:r>
            <w:r w:rsidRPr="00852078">
              <w:rPr>
                <w:sz w:val="18"/>
                <w:szCs w:val="18"/>
              </w:rPr>
              <w:tab/>
              <w:t>policies should prevent or minimise negative social outcomes and, if they do occur, should address them as early as possible:</w:t>
            </w:r>
            <w:r w:rsidRPr="00852078">
              <w:rPr>
                <w:sz w:val="18"/>
                <w:szCs w:val="18"/>
              </w:rPr>
              <w:br/>
            </w:r>
            <w:r w:rsidRPr="00852078">
              <w:rPr>
                <w:sz w:val="18"/>
                <w:szCs w:val="18"/>
              </w:rPr>
              <w:br/>
              <w:t xml:space="preserve">(c) </w:t>
            </w:r>
            <w:r w:rsidRPr="00852078">
              <w:rPr>
                <w:sz w:val="18"/>
                <w:szCs w:val="18"/>
              </w:rPr>
              <w:tab/>
              <w:t>the Government should evaluate the effectiveness of policies.</w:t>
            </w:r>
            <w:r w:rsidRPr="00852078">
              <w:rPr>
                <w:sz w:val="18"/>
                <w:szCs w:val="18"/>
              </w:rPr>
              <w:br/>
            </w:r>
            <w:r w:rsidRPr="00852078">
              <w:rPr>
                <w:sz w:val="18"/>
                <w:szCs w:val="18"/>
              </w:rPr>
              <w:br/>
              <w:t>(2) In this section, policies means policies implemented, or to be implemented, by the Government to achieve the outcomes sought by the strategy.</w:t>
            </w:r>
          </w:p>
        </w:tc>
      </w:tr>
    </w:tbl>
    <w:p w14:paraId="755B6E02" w14:textId="77777777" w:rsidR="001B024C" w:rsidRPr="00F543C1" w:rsidRDefault="001B024C" w:rsidP="001B024C">
      <w:pPr>
        <w:ind w:left="851"/>
      </w:pPr>
    </w:p>
    <w:p w14:paraId="4F9849AC" w14:textId="28D7014E" w:rsidR="001B024C" w:rsidRPr="00F543C1" w:rsidRDefault="001B024C" w:rsidP="001B024C">
      <w:pPr>
        <w:ind w:left="851"/>
      </w:pPr>
      <w:r w:rsidRPr="00F543C1">
        <w:t xml:space="preserve">To increase </w:t>
      </w:r>
      <w:r w:rsidR="001A58A4">
        <w:t xml:space="preserve">transparency </w:t>
      </w:r>
      <w:r w:rsidR="00EC3FEE">
        <w:t xml:space="preserve">of </w:t>
      </w:r>
      <w:r w:rsidR="00EC3FEE" w:rsidRPr="00F543C1">
        <w:t>polic</w:t>
      </w:r>
      <w:r w:rsidR="00A003D2">
        <w:t>ies</w:t>
      </w:r>
      <w:r w:rsidRPr="00F543C1">
        <w:t xml:space="preserve"> to address persistent disadvantage, we recommend that the Act should require:</w:t>
      </w:r>
    </w:p>
    <w:p w14:paraId="204F2A92" w14:textId="53F8E4A3" w:rsidR="001B024C" w:rsidRPr="00F543C1" w:rsidRDefault="001B024C" w:rsidP="001B024C">
      <w:pPr>
        <w:numPr>
          <w:ilvl w:val="0"/>
          <w:numId w:val="1"/>
        </w:numPr>
      </w:pPr>
      <w:r w:rsidRPr="00F543C1">
        <w:t xml:space="preserve">At least one year prior to the due date for the next </w:t>
      </w:r>
      <w:r w:rsidR="003D0CD6">
        <w:t>GPS</w:t>
      </w:r>
      <w:r w:rsidRPr="00F543C1">
        <w:t>, the responsible Minister to seek the written views of agencies active in social policy on the content of the next Statement.</w:t>
      </w:r>
      <w:r w:rsidRPr="009006D7">
        <w:rPr>
          <w:rStyle w:val="FootnoteReference"/>
        </w:rPr>
        <w:footnoteReference w:id="205"/>
      </w:r>
      <w:r w:rsidRPr="00F543C1">
        <w:t xml:space="preserve"> </w:t>
      </w:r>
    </w:p>
    <w:p w14:paraId="1820E9C6" w14:textId="77777777" w:rsidR="001B024C" w:rsidRPr="00F543C1" w:rsidRDefault="001B024C" w:rsidP="001B024C">
      <w:pPr>
        <w:numPr>
          <w:ilvl w:val="0"/>
          <w:numId w:val="1"/>
        </w:numPr>
      </w:pPr>
      <w:r w:rsidRPr="00F543C1">
        <w:t xml:space="preserve">The Minister to transmit the draft to consulted agencies, seeking their advice and recommendations. </w:t>
      </w:r>
    </w:p>
    <w:p w14:paraId="41B51663" w14:textId="77777777" w:rsidR="001B024C" w:rsidRPr="00F543C1" w:rsidRDefault="001B024C" w:rsidP="001B024C">
      <w:pPr>
        <w:numPr>
          <w:ilvl w:val="0"/>
          <w:numId w:val="1"/>
        </w:numPr>
      </w:pPr>
      <w:r w:rsidRPr="00F543C1">
        <w:t xml:space="preserve">When making the final Statement public, the Minister to release the advice received from the agencies and public submissions. </w:t>
      </w:r>
    </w:p>
    <w:p w14:paraId="5B28BC6A" w14:textId="13815B6E" w:rsidR="001B024C" w:rsidRPr="00F543C1" w:rsidRDefault="001B024C" w:rsidP="001B024C">
      <w:pPr>
        <w:numPr>
          <w:ilvl w:val="0"/>
          <w:numId w:val="1"/>
        </w:numPr>
      </w:pPr>
      <w:r w:rsidRPr="00F543C1">
        <w:t xml:space="preserve">The Minister </w:t>
      </w:r>
      <w:r w:rsidR="006B1C8F" w:rsidRPr="00F543C1">
        <w:t>presents</w:t>
      </w:r>
      <w:r w:rsidRPr="00F543C1">
        <w:t xml:space="preserve"> the Statement to Parliament. </w:t>
      </w:r>
    </w:p>
    <w:p w14:paraId="44D1104A" w14:textId="348BB1C1" w:rsidR="001B024C" w:rsidRPr="00F543C1" w:rsidRDefault="001B024C" w:rsidP="001B024C">
      <w:pPr>
        <w:ind w:left="851"/>
      </w:pPr>
      <w:r w:rsidRPr="00F543C1">
        <w:lastRenderedPageBreak/>
        <w:t xml:space="preserve">To ensure that people experiencing persistent disadvantage and their families and communities have a clear voice in this new approach and to increase external accountability, we recommend </w:t>
      </w:r>
      <w:r w:rsidR="00041E30" w:rsidRPr="00F543C1">
        <w:t>several</w:t>
      </w:r>
      <w:r w:rsidRPr="00F543C1">
        <w:t xml:space="preserve"> additional features:</w:t>
      </w:r>
    </w:p>
    <w:p w14:paraId="236AC24C" w14:textId="77777777" w:rsidR="001B024C" w:rsidRPr="00F543C1" w:rsidRDefault="001B024C" w:rsidP="001B024C">
      <w:pPr>
        <w:numPr>
          <w:ilvl w:val="0"/>
          <w:numId w:val="1"/>
        </w:numPr>
      </w:pPr>
      <w:r w:rsidRPr="00F543C1">
        <w:t>The Minister be required to consult widely before preparing a draft policy statement.</w:t>
      </w:r>
    </w:p>
    <w:p w14:paraId="51ACA82A" w14:textId="77777777" w:rsidR="001B024C" w:rsidRPr="00F543C1" w:rsidRDefault="001B024C" w:rsidP="001B024C">
      <w:pPr>
        <w:numPr>
          <w:ilvl w:val="0"/>
          <w:numId w:val="1"/>
        </w:numPr>
      </w:pPr>
      <w:r w:rsidRPr="00F543C1">
        <w:t>The Minister be required to provide those they are consulting with sufficient resources to allow effective consultation.</w:t>
      </w:r>
      <w:r w:rsidRPr="009006D7">
        <w:rPr>
          <w:rStyle w:val="FootnoteReference"/>
        </w:rPr>
        <w:footnoteReference w:id="206"/>
      </w:r>
    </w:p>
    <w:p w14:paraId="67BC22D4" w14:textId="77777777" w:rsidR="001B024C" w:rsidRPr="00F543C1" w:rsidRDefault="001B024C" w:rsidP="001B024C">
      <w:pPr>
        <w:ind w:left="851"/>
      </w:pPr>
      <w:r w:rsidRPr="00F543C1">
        <w:t xml:space="preserve">We recommend that the principles of consultation set out in Section 82 of the Local Government Act should apply. These are set out in Table 7 below. </w:t>
      </w:r>
    </w:p>
    <w:p w14:paraId="37911B79" w14:textId="22E11DC9" w:rsidR="001B024C" w:rsidRPr="00F543C1" w:rsidRDefault="001B024C" w:rsidP="001B024C">
      <w:pPr>
        <w:pStyle w:val="TableCaption"/>
      </w:pPr>
      <w:bookmarkStart w:id="256" w:name="_Toc126841251"/>
      <w:r w:rsidRPr="00F543C1">
        <w:t xml:space="preserve">Table </w:t>
      </w:r>
      <w:r w:rsidRPr="00F543C1">
        <w:fldChar w:fldCharType="begin"/>
      </w:r>
      <w:r w:rsidRPr="00F543C1">
        <w:instrText>SEQ Table \* ARABIC</w:instrText>
      </w:r>
      <w:r w:rsidRPr="00F543C1">
        <w:fldChar w:fldCharType="separate"/>
      </w:r>
      <w:r w:rsidR="00E06351">
        <w:rPr>
          <w:noProof/>
        </w:rPr>
        <w:t>7</w:t>
      </w:r>
      <w:r w:rsidRPr="00F543C1">
        <w:fldChar w:fldCharType="end"/>
      </w:r>
      <w:r w:rsidRPr="00F543C1">
        <w:t xml:space="preserve"> Principles of consultation</w:t>
      </w:r>
      <w:bookmarkEnd w:id="256"/>
    </w:p>
    <w:p w14:paraId="54D7BF7B" w14:textId="77777777" w:rsidR="001B024C" w:rsidRPr="00F543C1" w:rsidRDefault="001B024C" w:rsidP="001B024C">
      <w:pPr>
        <w:keepNext/>
        <w:spacing w:line="220" w:lineRule="atLeast"/>
        <w:ind w:left="851"/>
        <w:rPr>
          <w:sz w:val="18"/>
          <w:szCs w:val="18"/>
        </w:rPr>
      </w:pPr>
    </w:p>
    <w:tbl>
      <w:tblPr>
        <w:tblStyle w:val="TableDefault"/>
        <w:tblW w:w="8329" w:type="dxa"/>
        <w:tblLook w:val="0460" w:firstRow="1" w:lastRow="1" w:firstColumn="0" w:lastColumn="0" w:noHBand="0" w:noVBand="1"/>
      </w:tblPr>
      <w:tblGrid>
        <w:gridCol w:w="1951"/>
        <w:gridCol w:w="6378"/>
      </w:tblGrid>
      <w:tr w:rsidR="001B024C" w:rsidRPr="00F543C1" w14:paraId="58F4431E" w14:textId="77777777" w:rsidTr="00182528">
        <w:trPr>
          <w:cnfStyle w:val="100000000000" w:firstRow="1" w:lastRow="0" w:firstColumn="0" w:lastColumn="0" w:oddVBand="0" w:evenVBand="0" w:oddHBand="0" w:evenHBand="0" w:firstRowFirstColumn="0" w:firstRowLastColumn="0" w:lastRowFirstColumn="0" w:lastRowLastColumn="0"/>
        </w:trPr>
        <w:tc>
          <w:tcPr>
            <w:tcW w:w="1171" w:type="pct"/>
          </w:tcPr>
          <w:p w14:paraId="73D9B94E" w14:textId="77777777" w:rsidR="001B024C" w:rsidRPr="00F543C1" w:rsidRDefault="001B024C" w:rsidP="00182528">
            <w:pPr>
              <w:keepNext/>
              <w:keepLines/>
              <w:spacing w:before="80" w:after="80" w:line="220" w:lineRule="atLeast"/>
              <w:rPr>
                <w:b/>
                <w:color w:val="FFFFFF"/>
                <w:sz w:val="18"/>
              </w:rPr>
            </w:pPr>
            <w:r w:rsidRPr="00F543C1">
              <w:rPr>
                <w:b/>
                <w:color w:val="FFFFFF"/>
                <w:sz w:val="18"/>
              </w:rPr>
              <w:t>Principle</w:t>
            </w:r>
          </w:p>
        </w:tc>
        <w:tc>
          <w:tcPr>
            <w:tcW w:w="3829" w:type="pct"/>
          </w:tcPr>
          <w:p w14:paraId="02A6ED8F" w14:textId="77777777" w:rsidR="001B024C" w:rsidRPr="00F543C1" w:rsidRDefault="001B024C" w:rsidP="00182528">
            <w:pPr>
              <w:keepNext/>
              <w:keepLines/>
              <w:spacing w:before="80" w:after="80" w:line="220" w:lineRule="atLeast"/>
              <w:rPr>
                <w:b/>
                <w:color w:val="FFFFFF"/>
                <w:sz w:val="18"/>
              </w:rPr>
            </w:pPr>
            <w:r w:rsidRPr="00F543C1">
              <w:rPr>
                <w:b/>
                <w:color w:val="FFFFFF"/>
                <w:sz w:val="18"/>
              </w:rPr>
              <w:t>Description</w:t>
            </w:r>
          </w:p>
        </w:tc>
      </w:tr>
      <w:tr w:rsidR="001B024C" w:rsidRPr="00F543C1" w14:paraId="2675578C" w14:textId="77777777" w:rsidTr="00182528">
        <w:tc>
          <w:tcPr>
            <w:tcW w:w="1171" w:type="pct"/>
          </w:tcPr>
          <w:p w14:paraId="2DBFAA45" w14:textId="77777777" w:rsidR="001B024C" w:rsidRPr="00F543C1" w:rsidRDefault="001B024C" w:rsidP="00182528">
            <w:pPr>
              <w:spacing w:before="60" w:after="60" w:line="220" w:lineRule="atLeast"/>
              <w:rPr>
                <w:sz w:val="18"/>
              </w:rPr>
            </w:pPr>
            <w:r w:rsidRPr="00F543C1">
              <w:rPr>
                <w:sz w:val="18"/>
              </w:rPr>
              <w:t>Access</w:t>
            </w:r>
          </w:p>
        </w:tc>
        <w:tc>
          <w:tcPr>
            <w:tcW w:w="3829" w:type="pct"/>
          </w:tcPr>
          <w:p w14:paraId="2CF3F7C7" w14:textId="33BB9BB1" w:rsidR="001B024C" w:rsidRPr="00F543C1" w:rsidRDefault="001B024C" w:rsidP="00182528">
            <w:pPr>
              <w:spacing w:before="60" w:after="60" w:line="220" w:lineRule="atLeast"/>
              <w:rPr>
                <w:sz w:val="18"/>
              </w:rPr>
            </w:pPr>
            <w:r w:rsidRPr="00F543C1">
              <w:rPr>
                <w:sz w:val="18"/>
              </w:rPr>
              <w:t>People with interest in a decision or matter or who will be affected by it should be given reasonable access to relevant information in a manner and format appropriate to those persons</w:t>
            </w:r>
            <w:r w:rsidR="00712F93">
              <w:rPr>
                <w:sz w:val="18"/>
              </w:rPr>
              <w:t>’</w:t>
            </w:r>
            <w:r w:rsidRPr="00F543C1">
              <w:rPr>
                <w:sz w:val="18"/>
              </w:rPr>
              <w:t xml:space="preserve"> preferences and needs.</w:t>
            </w:r>
          </w:p>
        </w:tc>
      </w:tr>
      <w:tr w:rsidR="001B024C" w:rsidRPr="00F543C1" w14:paraId="3A0FA52A" w14:textId="77777777" w:rsidTr="00182528">
        <w:trPr>
          <w:cnfStyle w:val="000000010000" w:firstRow="0" w:lastRow="0" w:firstColumn="0" w:lastColumn="0" w:oddVBand="0" w:evenVBand="0" w:oddHBand="0" w:evenHBand="1" w:firstRowFirstColumn="0" w:firstRowLastColumn="0" w:lastRowFirstColumn="0" w:lastRowLastColumn="0"/>
        </w:trPr>
        <w:tc>
          <w:tcPr>
            <w:tcW w:w="1171" w:type="pct"/>
          </w:tcPr>
          <w:p w14:paraId="7EAC6FEB" w14:textId="77777777" w:rsidR="001B024C" w:rsidRPr="00F543C1" w:rsidRDefault="001B024C" w:rsidP="00182528">
            <w:pPr>
              <w:spacing w:before="60" w:after="60" w:line="220" w:lineRule="atLeast"/>
              <w:rPr>
                <w:sz w:val="18"/>
              </w:rPr>
            </w:pPr>
            <w:r w:rsidRPr="00F543C1">
              <w:rPr>
                <w:sz w:val="18"/>
              </w:rPr>
              <w:t>Encouragement</w:t>
            </w:r>
          </w:p>
        </w:tc>
        <w:tc>
          <w:tcPr>
            <w:tcW w:w="3829" w:type="pct"/>
          </w:tcPr>
          <w:p w14:paraId="384E9750" w14:textId="77777777" w:rsidR="001B024C" w:rsidRPr="00F543C1" w:rsidRDefault="001B024C" w:rsidP="00182528">
            <w:pPr>
              <w:spacing w:before="60" w:after="60" w:line="220" w:lineRule="atLeast"/>
              <w:rPr>
                <w:sz w:val="18"/>
              </w:rPr>
            </w:pPr>
            <w:r w:rsidRPr="00F543C1">
              <w:rPr>
                <w:sz w:val="18"/>
              </w:rPr>
              <w:t>Affected and interested persons should be encouraged to make their views known.</w:t>
            </w:r>
          </w:p>
        </w:tc>
      </w:tr>
      <w:tr w:rsidR="001B024C" w:rsidRPr="00F543C1" w14:paraId="002FEAA5" w14:textId="77777777" w:rsidTr="00182528">
        <w:tc>
          <w:tcPr>
            <w:tcW w:w="1171" w:type="pct"/>
          </w:tcPr>
          <w:p w14:paraId="05401294" w14:textId="77777777" w:rsidR="001B024C" w:rsidRPr="00F543C1" w:rsidRDefault="001B024C" w:rsidP="00182528">
            <w:pPr>
              <w:spacing w:before="60" w:after="60" w:line="220" w:lineRule="atLeast"/>
              <w:rPr>
                <w:sz w:val="18"/>
              </w:rPr>
            </w:pPr>
            <w:r w:rsidRPr="00F543C1">
              <w:rPr>
                <w:sz w:val="18"/>
              </w:rPr>
              <w:t>Clarity of purpose</w:t>
            </w:r>
          </w:p>
        </w:tc>
        <w:tc>
          <w:tcPr>
            <w:tcW w:w="3829" w:type="pct"/>
          </w:tcPr>
          <w:p w14:paraId="061574D6" w14:textId="77777777" w:rsidR="001B024C" w:rsidRPr="00F543C1" w:rsidRDefault="001B024C" w:rsidP="00182528">
            <w:pPr>
              <w:spacing w:before="60" w:after="60" w:line="220" w:lineRule="atLeast"/>
              <w:rPr>
                <w:sz w:val="18"/>
              </w:rPr>
            </w:pPr>
            <w:r w:rsidRPr="00F543C1">
              <w:rPr>
                <w:sz w:val="18"/>
              </w:rPr>
              <w:t>The authority should make clear the purpose of the consultation and the nature of any subsequent decisions.</w:t>
            </w:r>
          </w:p>
        </w:tc>
      </w:tr>
      <w:tr w:rsidR="001B024C" w:rsidRPr="00F543C1" w14:paraId="5D228BEE" w14:textId="77777777" w:rsidTr="00182528">
        <w:trPr>
          <w:cnfStyle w:val="000000010000" w:firstRow="0" w:lastRow="0" w:firstColumn="0" w:lastColumn="0" w:oddVBand="0" w:evenVBand="0" w:oddHBand="0" w:evenHBand="1" w:firstRowFirstColumn="0" w:firstRowLastColumn="0" w:lastRowFirstColumn="0" w:lastRowLastColumn="0"/>
        </w:trPr>
        <w:tc>
          <w:tcPr>
            <w:tcW w:w="1171" w:type="pct"/>
          </w:tcPr>
          <w:p w14:paraId="4949788F" w14:textId="77777777" w:rsidR="001B024C" w:rsidRPr="00F543C1" w:rsidRDefault="001B024C" w:rsidP="00182528">
            <w:pPr>
              <w:spacing w:before="60" w:after="60" w:line="220" w:lineRule="atLeast"/>
              <w:rPr>
                <w:sz w:val="18"/>
              </w:rPr>
            </w:pPr>
            <w:r w:rsidRPr="00F543C1">
              <w:rPr>
                <w:sz w:val="18"/>
              </w:rPr>
              <w:t xml:space="preserve">Opportunity </w:t>
            </w:r>
          </w:p>
        </w:tc>
        <w:tc>
          <w:tcPr>
            <w:tcW w:w="3829" w:type="pct"/>
          </w:tcPr>
          <w:p w14:paraId="22A2DDC5" w14:textId="1A97EB81" w:rsidR="001B024C" w:rsidRPr="00F543C1" w:rsidRDefault="001B024C" w:rsidP="00182528">
            <w:pPr>
              <w:spacing w:before="60" w:after="60" w:line="220" w:lineRule="atLeast"/>
              <w:rPr>
                <w:sz w:val="18"/>
              </w:rPr>
            </w:pPr>
            <w:r w:rsidRPr="00F543C1">
              <w:rPr>
                <w:sz w:val="18"/>
              </w:rPr>
              <w:t>Affected and interested persons should be given the opportunity to present their views in a manner and format appropriate to those persons</w:t>
            </w:r>
            <w:r w:rsidR="00712F93">
              <w:rPr>
                <w:sz w:val="18"/>
              </w:rPr>
              <w:t>’</w:t>
            </w:r>
            <w:r w:rsidRPr="00F543C1">
              <w:rPr>
                <w:sz w:val="18"/>
              </w:rPr>
              <w:t xml:space="preserve"> preferences and needs.</w:t>
            </w:r>
          </w:p>
        </w:tc>
      </w:tr>
      <w:tr w:rsidR="001B024C" w:rsidRPr="00F543C1" w14:paraId="03DCB896" w14:textId="77777777" w:rsidTr="00182528">
        <w:tc>
          <w:tcPr>
            <w:tcW w:w="1171" w:type="pct"/>
          </w:tcPr>
          <w:p w14:paraId="115F209A" w14:textId="77777777" w:rsidR="001B024C" w:rsidRPr="00F543C1" w:rsidRDefault="001B024C" w:rsidP="00182528">
            <w:pPr>
              <w:spacing w:before="60" w:after="60" w:line="220" w:lineRule="atLeast"/>
              <w:rPr>
                <w:sz w:val="18"/>
              </w:rPr>
            </w:pPr>
            <w:r w:rsidRPr="00F543C1">
              <w:rPr>
                <w:sz w:val="18"/>
              </w:rPr>
              <w:t>Open-mindedness</w:t>
            </w:r>
          </w:p>
        </w:tc>
        <w:tc>
          <w:tcPr>
            <w:tcW w:w="3829" w:type="pct"/>
          </w:tcPr>
          <w:p w14:paraId="09726015" w14:textId="77777777" w:rsidR="001B024C" w:rsidRPr="00F543C1" w:rsidRDefault="001B024C" w:rsidP="00182528">
            <w:pPr>
              <w:spacing w:before="60" w:after="60" w:line="220" w:lineRule="atLeast"/>
              <w:rPr>
                <w:sz w:val="18"/>
              </w:rPr>
            </w:pPr>
            <w:r w:rsidRPr="00F543C1">
              <w:rPr>
                <w:sz w:val="18"/>
              </w:rPr>
              <w:t>The authority should receive submissions with an open mind and give them due consideration.</w:t>
            </w:r>
          </w:p>
        </w:tc>
      </w:tr>
      <w:tr w:rsidR="001B024C" w:rsidRPr="00F543C1" w14:paraId="1844BFB6" w14:textId="77777777" w:rsidTr="00182528">
        <w:trPr>
          <w:cnfStyle w:val="010000000000" w:firstRow="0" w:lastRow="1" w:firstColumn="0" w:lastColumn="0" w:oddVBand="0" w:evenVBand="0" w:oddHBand="0" w:evenHBand="0" w:firstRowFirstColumn="0" w:firstRowLastColumn="0" w:lastRowFirstColumn="0" w:lastRowLastColumn="0"/>
        </w:trPr>
        <w:tc>
          <w:tcPr>
            <w:tcW w:w="1171" w:type="pct"/>
          </w:tcPr>
          <w:p w14:paraId="45A1F363" w14:textId="77777777" w:rsidR="001B024C" w:rsidRPr="00F543C1" w:rsidRDefault="001B024C" w:rsidP="00182528">
            <w:pPr>
              <w:spacing w:before="60" w:after="60" w:line="220" w:lineRule="atLeast"/>
              <w:rPr>
                <w:sz w:val="18"/>
              </w:rPr>
            </w:pPr>
            <w:r w:rsidRPr="00F543C1">
              <w:rPr>
                <w:sz w:val="18"/>
              </w:rPr>
              <w:t xml:space="preserve">Reporting </w:t>
            </w:r>
          </w:p>
        </w:tc>
        <w:tc>
          <w:tcPr>
            <w:tcW w:w="3829" w:type="pct"/>
          </w:tcPr>
          <w:p w14:paraId="7102ECD6" w14:textId="77777777" w:rsidR="001B024C" w:rsidRPr="00F543C1" w:rsidRDefault="001B024C" w:rsidP="00182528">
            <w:pPr>
              <w:spacing w:before="60" w:after="60" w:line="220" w:lineRule="atLeast"/>
              <w:rPr>
                <w:sz w:val="18"/>
              </w:rPr>
            </w:pPr>
            <w:r w:rsidRPr="00F543C1">
              <w:rPr>
                <w:sz w:val="18"/>
              </w:rPr>
              <w:t>The authority should provide submitters with access to a clear record of any decision made, together with access to any material used by the authority to make that decision.</w:t>
            </w:r>
          </w:p>
        </w:tc>
      </w:tr>
    </w:tbl>
    <w:p w14:paraId="207B673C" w14:textId="77777777" w:rsidR="001B024C" w:rsidRPr="00F543C1" w:rsidRDefault="001B024C" w:rsidP="001B024C">
      <w:pPr>
        <w:spacing w:before="120" w:after="360" w:line="220" w:lineRule="atLeast"/>
        <w:ind w:left="851"/>
        <w:rPr>
          <w:sz w:val="18"/>
        </w:rPr>
      </w:pPr>
      <w:r w:rsidRPr="00F543C1">
        <w:rPr>
          <w:sz w:val="18"/>
        </w:rPr>
        <w:t>Source: Local Government Act</w:t>
      </w:r>
    </w:p>
    <w:p w14:paraId="3A1365E5" w14:textId="0901EA28" w:rsidR="009C7D0C" w:rsidRDefault="005E56AB" w:rsidP="001B024C">
      <w:pPr>
        <w:pStyle w:val="USBodyText"/>
      </w:pPr>
      <w:r>
        <w:t>We are suggest</w:t>
      </w:r>
      <w:r w:rsidR="00157FBF">
        <w:t>ing</w:t>
      </w:r>
      <w:r>
        <w:t xml:space="preserve"> wide engagement as a way of </w:t>
      </w:r>
      <w:r w:rsidR="00B97393">
        <w:t xml:space="preserve">ensuring that the life experiences of </w:t>
      </w:r>
      <w:r w:rsidR="00157FBF">
        <w:t>people are brought to the fore in designing policy</w:t>
      </w:r>
      <w:r w:rsidR="00230C57">
        <w:t xml:space="preserve"> objectives and programmes</w:t>
      </w:r>
      <w:r w:rsidR="0089605F">
        <w:t xml:space="preserve"> and assessing their effectiveness</w:t>
      </w:r>
      <w:r w:rsidR="00230C57">
        <w:t xml:space="preserve">. But it will be vital for accountability for the government to be, and be seen to be, taking full responsibility </w:t>
      </w:r>
      <w:r w:rsidR="00130618">
        <w:t xml:space="preserve">for those goals. </w:t>
      </w:r>
    </w:p>
    <w:p w14:paraId="39343287" w14:textId="1EFF0FF1" w:rsidR="001B024C" w:rsidRPr="00F543C1" w:rsidRDefault="00E211B9" w:rsidP="001B024C">
      <w:pPr>
        <w:pStyle w:val="USBodyText"/>
      </w:pPr>
      <w:r w:rsidRPr="00E211B9">
        <w:t>To support policy debate and discussion, there should be a dedicated stream of rese</w:t>
      </w:r>
      <w:r>
        <w:t>ar</w:t>
      </w:r>
      <w:r w:rsidRPr="00E211B9">
        <w:t>ch</w:t>
      </w:r>
      <w:r>
        <w:t>. Topics should include t</w:t>
      </w:r>
      <w:r w:rsidRPr="00E211B9">
        <w:t>he adequacy of funding and both the costs and benefits of alternative policies and service delivery models.</w:t>
      </w:r>
      <w:r>
        <w:t xml:space="preserve"> </w:t>
      </w:r>
      <w:r w:rsidR="001B024C" w:rsidRPr="00F543C1">
        <w:t xml:space="preserve">We recommend </w:t>
      </w:r>
      <w:r w:rsidR="00547429">
        <w:t>that an independent body be used to select and fund an ongoing research programme</w:t>
      </w:r>
      <w:r w:rsidR="001B024C" w:rsidRPr="00F543C1">
        <w:t xml:space="preserve"> into persistent disadvantage.</w:t>
      </w:r>
      <w:r w:rsidR="001B024C" w:rsidRPr="009006D7">
        <w:rPr>
          <w:rStyle w:val="FootnoteReference"/>
        </w:rPr>
        <w:footnoteReference w:id="207"/>
      </w:r>
      <w:r w:rsidR="001B024C" w:rsidRPr="00F543C1">
        <w:t xml:space="preserve"> </w:t>
      </w:r>
    </w:p>
    <w:p w14:paraId="13838531" w14:textId="77A42BF1" w:rsidR="001B024C" w:rsidRPr="00F543C1" w:rsidRDefault="001B024C" w:rsidP="00852078">
      <w:pPr>
        <w:ind w:left="851"/>
        <w:rPr>
          <w:iCs/>
          <w:color w:val="30353F"/>
        </w:rPr>
      </w:pPr>
      <w:r w:rsidRPr="00F543C1">
        <w:t xml:space="preserve">Embedded within the accountability regime should be a requirement that decision-makers demonstrate that they are regularly reviewing who </w:t>
      </w:r>
      <w:proofErr w:type="gramStart"/>
      <w:r w:rsidRPr="00F543C1">
        <w:t>provides assistance</w:t>
      </w:r>
      <w:proofErr w:type="gramEnd"/>
      <w:r w:rsidRPr="00F543C1">
        <w:t xml:space="preserve"> and what they provide to ensure that the most effective approach is being used. The current government-level approach of generally focusing on new spending, while existing </w:t>
      </w:r>
      <w:r w:rsidRPr="00F543C1">
        <w:lastRenderedPageBreak/>
        <w:t>departmental baselines are seldom subject to routine effectiveness checks, should be replaced.</w:t>
      </w:r>
      <w:r w:rsidRPr="009006D7">
        <w:rPr>
          <w:rStyle w:val="FootnoteReference"/>
        </w:rPr>
        <w:footnoteReference w:id="208"/>
      </w:r>
      <w:r w:rsidRPr="00F543C1">
        <w:t xml:space="preserve"> </w:t>
      </w:r>
    </w:p>
    <w:p w14:paraId="37996A70" w14:textId="74C389E4" w:rsidR="001B024C" w:rsidRPr="00F543C1" w:rsidRDefault="001B024C" w:rsidP="001B024C">
      <w:pPr>
        <w:ind w:left="851"/>
        <w:rPr>
          <w:spacing w:val="-2"/>
        </w:rPr>
      </w:pPr>
      <w:r w:rsidRPr="00F543C1">
        <w:rPr>
          <w:spacing w:val="-2"/>
        </w:rPr>
        <w:t>The Treasury has recently acknowledged these issues:</w:t>
      </w:r>
    </w:p>
    <w:p w14:paraId="13952906" w14:textId="278990F2" w:rsidR="001B024C" w:rsidRPr="00F543C1" w:rsidRDefault="001B024C" w:rsidP="001B024C">
      <w:pPr>
        <w:pStyle w:val="Quotation"/>
      </w:pPr>
      <w:r w:rsidRPr="00F543C1">
        <w:t>The current system strongly focuses on the marginal new spending decided on each year, with limited attention given to the value that could be gained by reviewing existing expenditure. The system does not adequately support joined-up work on cross-sector issues, particularly complex, intergenerational issues. The annual government reporting and funding cycle is short, and it can be hard for departments and agencies to focus on long-term wellbeing and sustainability</w:t>
      </w:r>
      <w:r w:rsidRPr="000A7226">
        <w:rPr>
          <w:i w:val="0"/>
          <w:iCs/>
        </w:rPr>
        <w:t>.</w:t>
      </w:r>
      <w:r w:rsidR="000A7226">
        <w:rPr>
          <w:i w:val="0"/>
          <w:iCs/>
        </w:rPr>
        <w:t xml:space="preserve"> </w:t>
      </w:r>
      <w:r w:rsidR="00206F5E" w:rsidRPr="000A7226">
        <w:rPr>
          <w:i w:val="0"/>
          <w:iCs/>
        </w:rPr>
        <w:fldChar w:fldCharType="begin"/>
      </w:r>
      <w:r w:rsidR="009B0EC4">
        <w:rPr>
          <w:i w:val="0"/>
          <w:iCs/>
        </w:rPr>
        <w:instrText xml:space="preserve"> ADDIN ZOTERO_ITEM CSL_CITATION {"citationID":"C0H0Yq3R","properties":{"formattedCitation":"(Government of New Zealand 2022, 11)","plainCitation":"(Government of New Zealand 2022, 11)","noteIndex":0},"citationItems":[{"id":18562,"uris":["http://zotero.org/groups/4801058/items/WCTZ9AQR"],"itemData":{"id":18562,"type":"report","event-place":"Wellington","language":"en","publisher":"The Treasury","publisher-place":"Wellington","source":"Zotero","title":"Budget Policy Statement","author":[{"family":"Government of New Zealand","given":""}],"issued":{"date-parts":[["2022"]]}},"locator":"11","label":"page"}],"schema":"https://github.com/citation-style-language/schema/raw/master/csl-citation.json"} </w:instrText>
      </w:r>
      <w:r w:rsidR="00206F5E" w:rsidRPr="000A7226">
        <w:rPr>
          <w:i w:val="0"/>
          <w:iCs/>
        </w:rPr>
        <w:fldChar w:fldCharType="separate"/>
      </w:r>
      <w:r w:rsidR="007D5E4A" w:rsidRPr="000A7226">
        <w:rPr>
          <w:rFonts w:cs="Calibri"/>
          <w:i w:val="0"/>
          <w:iCs/>
        </w:rPr>
        <w:t>(Government of New Zealand 2022, 11)</w:t>
      </w:r>
      <w:r w:rsidR="00206F5E" w:rsidRPr="000A7226">
        <w:rPr>
          <w:i w:val="0"/>
          <w:iCs/>
        </w:rPr>
        <w:fldChar w:fldCharType="end"/>
      </w:r>
    </w:p>
    <w:p w14:paraId="7F0E1636" w14:textId="03FCD294" w:rsidR="00040110" w:rsidRDefault="0014324F" w:rsidP="001B024C">
      <w:pPr>
        <w:ind w:left="851"/>
      </w:pPr>
      <w:r w:rsidRPr="0014324F">
        <w:t xml:space="preserve">While </w:t>
      </w:r>
      <w:r w:rsidRPr="00B4415A">
        <w:t>full</w:t>
      </w:r>
      <w:r w:rsidR="008E2590" w:rsidRPr="00852078">
        <w:rPr>
          <w:color w:val="30353F"/>
        </w:rPr>
        <w:t xml:space="preserve"> </w:t>
      </w:r>
      <w:r w:rsidR="006F724D" w:rsidRPr="00852078">
        <w:rPr>
          <w:color w:val="30353F"/>
        </w:rPr>
        <w:t>‘zero</w:t>
      </w:r>
      <w:r w:rsidR="008E2590" w:rsidRPr="00852078">
        <w:rPr>
          <w:color w:val="30353F"/>
        </w:rPr>
        <w:t>-based</w:t>
      </w:r>
      <w:r w:rsidR="008E2590" w:rsidRPr="00852078">
        <w:rPr>
          <w:color w:val="30353F"/>
          <w:spacing w:val="-4"/>
        </w:rPr>
        <w:t xml:space="preserve"> </w:t>
      </w:r>
      <w:r w:rsidR="00FC3B27" w:rsidRPr="00852078">
        <w:rPr>
          <w:color w:val="30353F"/>
        </w:rPr>
        <w:t>budgeting</w:t>
      </w:r>
      <w:r w:rsidR="007E565C">
        <w:rPr>
          <w:color w:val="30353F"/>
          <w:spacing w:val="-6"/>
        </w:rPr>
        <w:t>’</w:t>
      </w:r>
      <w:r w:rsidR="00FC3B27">
        <w:rPr>
          <w:color w:val="30353F"/>
          <w:spacing w:val="-6"/>
        </w:rPr>
        <w:t xml:space="preserve"> </w:t>
      </w:r>
      <w:r w:rsidR="00FC3B27" w:rsidRPr="0014324F">
        <w:t>across</w:t>
      </w:r>
      <w:r w:rsidRPr="0014324F">
        <w:t xml:space="preserve"> all program</w:t>
      </w:r>
      <w:r w:rsidR="0067247A">
        <w:t>me</w:t>
      </w:r>
      <w:r w:rsidRPr="0014324F">
        <w:t>s is unlikely to be efficient</w:t>
      </w:r>
      <w:r w:rsidR="00B4415A">
        <w:t>,</w:t>
      </w:r>
      <w:r w:rsidR="008E2590" w:rsidRPr="009006D7">
        <w:rPr>
          <w:rStyle w:val="FootnoteReference"/>
        </w:rPr>
        <w:footnoteReference w:id="209"/>
      </w:r>
      <w:r w:rsidRPr="0014324F">
        <w:t xml:space="preserve"> we can see a strong case for </w:t>
      </w:r>
      <w:r w:rsidR="00040110">
        <w:t>a combination of:</w:t>
      </w:r>
    </w:p>
    <w:p w14:paraId="4A5BE87E" w14:textId="0C8DF0DC" w:rsidR="00040110" w:rsidRDefault="00040110" w:rsidP="00040110">
      <w:pPr>
        <w:pStyle w:val="USBullet1"/>
      </w:pPr>
      <w:r>
        <w:t xml:space="preserve">Automatic </w:t>
      </w:r>
      <w:r w:rsidR="0014324F" w:rsidRPr="0014324F">
        <w:t xml:space="preserve">testing of effectiveness and efficiency before new initiatives become part of established baselines. </w:t>
      </w:r>
    </w:p>
    <w:p w14:paraId="46C76754" w14:textId="1AF332FD" w:rsidR="0014324F" w:rsidRDefault="0067247A" w:rsidP="002850E5">
      <w:pPr>
        <w:pStyle w:val="USBullet1"/>
      </w:pPr>
      <w:r>
        <w:t>R</w:t>
      </w:r>
      <w:r w:rsidR="00040110">
        <w:t xml:space="preserve">egular audits </w:t>
      </w:r>
      <w:r w:rsidR="003B75F4">
        <w:t>of the effectiveness of major program</w:t>
      </w:r>
      <w:r>
        <w:t>me</w:t>
      </w:r>
      <w:r w:rsidR="003B75F4">
        <w:t xml:space="preserve">s within established baselines, undertaken by a well-resourced </w:t>
      </w:r>
      <w:r w:rsidR="00F33047">
        <w:t>i</w:t>
      </w:r>
      <w:r w:rsidR="003B75F4">
        <w:t>ndependent agency</w:t>
      </w:r>
      <w:r w:rsidR="00F33047">
        <w:t xml:space="preserve">, which is required to seek </w:t>
      </w:r>
      <w:r w:rsidR="0014324F" w:rsidRPr="0014324F">
        <w:t xml:space="preserve">public input into </w:t>
      </w:r>
      <w:r w:rsidR="00782F10">
        <w:t xml:space="preserve">both </w:t>
      </w:r>
      <w:r w:rsidR="00F33047">
        <w:t>what should be reviewed</w:t>
      </w:r>
      <w:r w:rsidR="00782F10">
        <w:t xml:space="preserve"> and</w:t>
      </w:r>
      <w:r w:rsidR="000313D1">
        <w:t xml:space="preserve"> </w:t>
      </w:r>
      <w:r w:rsidR="00F33047">
        <w:t xml:space="preserve">the actual audits. </w:t>
      </w:r>
      <w:r w:rsidR="0014324F" w:rsidRPr="0014324F">
        <w:t xml:space="preserve"> </w:t>
      </w:r>
    </w:p>
    <w:p w14:paraId="5C5398F4" w14:textId="7A5065F5" w:rsidR="001B024C" w:rsidRDefault="001B024C" w:rsidP="001B024C">
      <w:pPr>
        <w:ind w:left="851"/>
      </w:pPr>
      <w:r w:rsidRPr="00F543C1">
        <w:t xml:space="preserve">All parties in the social services sector should be held accountable for the desired policy outcomes set in </w:t>
      </w:r>
      <w:r w:rsidR="00945556">
        <w:t xml:space="preserve">this strengthened </w:t>
      </w:r>
      <w:r w:rsidRPr="00F543C1">
        <w:t xml:space="preserve">accountability regime. Government departments, Crown Entities, delivery agencies, NGOs and local government organisations that fail to deliver required outcomes should not be assured of continued funding. </w:t>
      </w:r>
      <w:r w:rsidR="001E43DC">
        <w:t xml:space="preserve">In saying this, we </w:t>
      </w:r>
      <w:r w:rsidR="00936D9F">
        <w:t>are aware</w:t>
      </w:r>
      <w:r w:rsidR="001E43DC">
        <w:t xml:space="preserve"> </w:t>
      </w:r>
      <w:r w:rsidR="00A5750E">
        <w:t xml:space="preserve">of </w:t>
      </w:r>
      <w:r w:rsidR="001E43DC">
        <w:t xml:space="preserve">the many difficulties that have been raised in the past with attempts to introduce </w:t>
      </w:r>
      <w:r w:rsidR="00E463E1">
        <w:t>a focus on ‘managing-for-outcomes’</w:t>
      </w:r>
      <w:r w:rsidR="00EE2F61">
        <w:t xml:space="preserve"> in New Zealand</w:t>
      </w:r>
      <w:r w:rsidR="00E463E1">
        <w:t xml:space="preserve"> </w:t>
      </w:r>
      <w:r w:rsidR="00F80CBE">
        <w:fldChar w:fldCharType="begin"/>
      </w:r>
      <w:r w:rsidR="009B0EC4">
        <w:instrText xml:space="preserve"> ADDIN ZOTERO_ITEM CSL_CITATION {"citationID":"ubJqcB9r","properties":{"formattedCitation":"(Cook 2004; Webber 2004; Norman 2007)","plainCitation":"(Cook 2004; Webber 2004; Norman 2007)","noteIndex":0},"citationItems":[{"id":18628,"uris":["http://zotero.org/groups/4801058/items/L7ZKCBD4"],"itemData":{"id":18628,"type":"report","abstract":"Abstract","event-place":"Wellington","genre":"New Zealand Treasury Working Paper","language":"en","number":"04/15","publisher":"The Treasury","publisher-place":"Wellington","title":"Managing for Outcomes in the New Zealand Public Management System (WP 04/15)","URL":"https://www.treasury.govt.nz/publications/wp/managing-outcomes-new-zealand-public-management-system-wp-04-15","author":[{"family":"Cook","given":"Anna-Luis"}],"accessed":{"date-parts":[["2023",1,26]]},"issued":{"date-parts":[["2004",6,1]]}},"label":"page"},{"id":18630,"uris":["http://zotero.org/groups/4801058/items/PPRSXBDW"],"itemData":{"id":18630,"type":"article-journal","container-title":"Agenda: A Journal of Policy Analysis and Reform","ISSN":"1322-1833","issue":"4","note":"publisher: ANU Press","page":"335-348","source":"JSTOR","title":"Wrestling with Outcomes: The New Zealand Experience","title-short":"Wrestling with Outcomes","volume":"11","author":[{"family":"Webber","given":"David"}],"issued":{"date-parts":[["2004"]]}},"label":"page"},{"id":18633,"uris":["http://zotero.org/groups/4801058/items/W8DXP7QE"],"itemData":{"id":18633,"type":"article-journal","abstract":"After 15 years of extreme focus on outputs, the New Zealand government's performance management system now expects public servants to \"manage for outcomes\" while continuing to be accountable for outputs. This shift in emphasis is analyzed using employment services as an example. The change is a result of outputs' becoming narrowly focused on the easily measurable and doable, and the new system potentially offers a way of combining bottom-line accountability with the motivating power of less measurable outcomes.","container-title":"Public Performance &amp; Management Review","ISSN":"1530-9576","issue":"4","note":"publisher: Taylor &amp; Francis, Ltd.","page":"536-549","source":"JSTOR","title":"Managing Outcomes while Accounting for Outputs: Redefining \"Public Value\" in New Zealand's Performance Management System","title-short":"Managing Outcomes while Accounting for Outputs","volume":"30","author":[{"family":"Norman","given":"Richard"}],"issued":{"date-parts":[["2007"]]}},"label":"page"}],"schema":"https://github.com/citation-style-language/schema/raw/master/csl-citation.json"} </w:instrText>
      </w:r>
      <w:r w:rsidR="00F80CBE">
        <w:fldChar w:fldCharType="separate"/>
      </w:r>
      <w:r w:rsidR="00F80CBE" w:rsidRPr="00F80CBE">
        <w:rPr>
          <w:rFonts w:cs="Calibri"/>
        </w:rPr>
        <w:t>(Cook 2004; Webber 2004; Norman 2007)</w:t>
      </w:r>
      <w:r w:rsidR="00F80CBE">
        <w:fldChar w:fldCharType="end"/>
      </w:r>
      <w:r w:rsidR="00EE2F61">
        <w:t xml:space="preserve">. </w:t>
      </w:r>
      <w:r w:rsidR="00D84955">
        <w:t xml:space="preserve">However, the question always is whether a new system is better than the current, </w:t>
      </w:r>
      <w:r w:rsidR="000313D1">
        <w:t>poorly performing</w:t>
      </w:r>
      <w:r w:rsidR="00D84955">
        <w:t xml:space="preserve"> approach to addressing persistent disadvantage.</w:t>
      </w:r>
    </w:p>
    <w:p w14:paraId="14DC1106" w14:textId="53CAE68B" w:rsidR="00F33047" w:rsidRDefault="001A399D" w:rsidP="001B024C">
      <w:pPr>
        <w:ind w:left="851"/>
      </w:pPr>
      <w:r>
        <w:t>S</w:t>
      </w:r>
      <w:r w:rsidR="00183149">
        <w:t>olution</w:t>
      </w:r>
      <w:r>
        <w:t>s</w:t>
      </w:r>
      <w:r w:rsidR="00183149">
        <w:t xml:space="preserve"> to these difficulties, at least in </w:t>
      </w:r>
      <w:r w:rsidR="00F25184">
        <w:t>relation to persistent disadvantage</w:t>
      </w:r>
      <w:r w:rsidR="00183149">
        <w:t xml:space="preserve"> will include:</w:t>
      </w:r>
    </w:p>
    <w:p w14:paraId="7693484E" w14:textId="20BFD835" w:rsidR="00011F1D" w:rsidRDefault="00183149" w:rsidP="00183149">
      <w:pPr>
        <w:pStyle w:val="USBullet1"/>
      </w:pPr>
      <w:r>
        <w:t xml:space="preserve">Starting slowly and not expecting dramatic improvement overnight. While there should be clear expectations of </w:t>
      </w:r>
      <w:r w:rsidR="002850E5">
        <w:t>ongoing</w:t>
      </w:r>
      <w:r>
        <w:t xml:space="preserve"> improvement</w:t>
      </w:r>
      <w:r w:rsidR="00461103">
        <w:t>, ‘aspirational’ but unrealistic targets should not be set</w:t>
      </w:r>
      <w:r w:rsidR="00011F1D">
        <w:t xml:space="preserve">, especially in the short </w:t>
      </w:r>
      <w:r w:rsidR="00802AB4">
        <w:t>term.</w:t>
      </w:r>
    </w:p>
    <w:p w14:paraId="18459EE2" w14:textId="7F51608C" w:rsidR="00583462" w:rsidRDefault="006E357A" w:rsidP="00183149">
      <w:pPr>
        <w:pStyle w:val="USBullet1"/>
      </w:pPr>
      <w:r>
        <w:t xml:space="preserve">Admitting that persistent disadvantage cannot be addressed using a ‘diagnose, treat, cure, discharge’ model. </w:t>
      </w:r>
      <w:r w:rsidR="000367A8">
        <w:t xml:space="preserve">Some </w:t>
      </w:r>
      <w:r w:rsidR="00326431">
        <w:t>of the underlying conditions that</w:t>
      </w:r>
      <w:r w:rsidR="00C80E0F">
        <w:t xml:space="preserve"> both</w:t>
      </w:r>
      <w:r w:rsidR="00326431">
        <w:t xml:space="preserve"> contribute to </w:t>
      </w:r>
      <w:r w:rsidR="00C80E0F">
        <w:t xml:space="preserve">and reflect </w:t>
      </w:r>
      <w:r w:rsidR="00DF11DD">
        <w:t>disadvantage</w:t>
      </w:r>
      <w:r w:rsidR="00D17B06">
        <w:t xml:space="preserve"> </w:t>
      </w:r>
      <w:r w:rsidR="00EC7AE1">
        <w:t>–</w:t>
      </w:r>
      <w:r w:rsidR="005B380E">
        <w:t xml:space="preserve"> </w:t>
      </w:r>
      <w:r w:rsidR="00EC7AE1">
        <w:t>for example,</w:t>
      </w:r>
      <w:r w:rsidR="00694720" w:rsidRPr="00694720">
        <w:t xml:space="preserve"> alcohol and drug dependence</w:t>
      </w:r>
      <w:r w:rsidR="00583462" w:rsidRPr="00583462">
        <w:t xml:space="preserve"> </w:t>
      </w:r>
      <w:r w:rsidR="00EC7AE1">
        <w:t>–</w:t>
      </w:r>
      <w:r w:rsidR="00D17B06">
        <w:t xml:space="preserve"> </w:t>
      </w:r>
      <w:r w:rsidR="00583462" w:rsidRPr="00583462">
        <w:t>may</w:t>
      </w:r>
      <w:r w:rsidR="00EC7AE1">
        <w:t xml:space="preserve"> require</w:t>
      </w:r>
      <w:r w:rsidR="00583462" w:rsidRPr="00583462">
        <w:t xml:space="preserve"> </w:t>
      </w:r>
      <w:r w:rsidR="00D17B06">
        <w:t>varying degrees of support over time</w:t>
      </w:r>
      <w:r w:rsidR="00802AB4">
        <w:t>.</w:t>
      </w:r>
      <w:r w:rsidR="00735512" w:rsidRPr="009006D7">
        <w:rPr>
          <w:rStyle w:val="FootnoteReference"/>
        </w:rPr>
        <w:footnoteReference w:id="210"/>
      </w:r>
    </w:p>
    <w:p w14:paraId="4B940A9D" w14:textId="7B4548F7" w:rsidR="00183149" w:rsidRDefault="008967D8" w:rsidP="00183149">
      <w:pPr>
        <w:pStyle w:val="USBullet1"/>
      </w:pPr>
      <w:r>
        <w:t xml:space="preserve">Using </w:t>
      </w:r>
      <w:proofErr w:type="gramStart"/>
      <w:r w:rsidR="00BF61B3">
        <w:t>externally</w:t>
      </w:r>
      <w:r w:rsidR="002850E5">
        <w:t>-</w:t>
      </w:r>
      <w:r w:rsidR="00BF61B3">
        <w:t>developed</w:t>
      </w:r>
      <w:proofErr w:type="gramEnd"/>
      <w:r w:rsidR="00BF61B3">
        <w:t xml:space="preserve"> reporting framework</w:t>
      </w:r>
      <w:r w:rsidR="003C3158">
        <w:t>s</w:t>
      </w:r>
      <w:r w:rsidR="00BF61B3">
        <w:t xml:space="preserve"> and independent monitoring </w:t>
      </w:r>
      <w:r>
        <w:t>to reduce the ability of agencies to hide poor performance</w:t>
      </w:r>
      <w:r w:rsidR="002850E5">
        <w:t>.</w:t>
      </w:r>
      <w:r w:rsidR="00DD77B1" w:rsidRPr="009006D7">
        <w:rPr>
          <w:rStyle w:val="FootnoteReference"/>
        </w:rPr>
        <w:footnoteReference w:id="211"/>
      </w:r>
      <w:r w:rsidR="00583462">
        <w:t xml:space="preserve"> </w:t>
      </w:r>
    </w:p>
    <w:p w14:paraId="17FB9873" w14:textId="5642E11A" w:rsidR="001B024C" w:rsidRDefault="001B024C" w:rsidP="001B024C">
      <w:pPr>
        <w:ind w:left="851"/>
      </w:pPr>
      <w:r w:rsidRPr="00F543C1">
        <w:t>Addressing persistent disadvantage is likely to be expensive, at least in the short</w:t>
      </w:r>
      <w:r w:rsidR="00BC0940">
        <w:t xml:space="preserve"> </w:t>
      </w:r>
      <w:r w:rsidRPr="00F543C1">
        <w:t xml:space="preserve">term. The accountability system should therefore ensure </w:t>
      </w:r>
      <w:r w:rsidR="00D36DB4">
        <w:t xml:space="preserve">robust debate about adequacy of </w:t>
      </w:r>
      <w:r w:rsidR="00D36DB4">
        <w:lastRenderedPageBreak/>
        <w:t>funding and</w:t>
      </w:r>
      <w:r w:rsidRPr="00F543C1">
        <w:t xml:space="preserve"> the costs and benefits of alternative service delivery models. W</w:t>
      </w:r>
      <w:r w:rsidR="00604301">
        <w:t>hile a</w:t>
      </w:r>
      <w:r w:rsidRPr="00F543C1">
        <w:t xml:space="preserve"> requirement to provide ‘value</w:t>
      </w:r>
      <w:r w:rsidR="00BC0940">
        <w:t xml:space="preserve"> </w:t>
      </w:r>
      <w:r w:rsidRPr="00F543C1">
        <w:t>for</w:t>
      </w:r>
      <w:r w:rsidR="00BC0940">
        <w:t xml:space="preserve"> </w:t>
      </w:r>
      <w:r w:rsidRPr="00F543C1">
        <w:t>money’ is often interpreted as a call for crude cost-cutting</w:t>
      </w:r>
      <w:r w:rsidR="00604301">
        <w:t>, i</w:t>
      </w:r>
      <w:r w:rsidRPr="00F543C1">
        <w:t>n our view</w:t>
      </w:r>
      <w:r w:rsidR="00E01BF8">
        <w:t xml:space="preserve"> it is better understood as involving </w:t>
      </w:r>
      <w:r w:rsidRPr="00F543C1">
        <w:t>examining the difference between benefits and cost (net benefits) of different options</w:t>
      </w:r>
      <w:r w:rsidR="00D556BB">
        <w:t xml:space="preserve">. In </w:t>
      </w:r>
      <w:r w:rsidR="0053505B">
        <w:t xml:space="preserve">the case of persistent disadvantage, that </w:t>
      </w:r>
      <w:r w:rsidR="00D556BB">
        <w:t xml:space="preserve">will </w:t>
      </w:r>
      <w:r w:rsidR="0053505B">
        <w:t>involve taking a long-term view</w:t>
      </w:r>
      <w:r w:rsidRPr="00F543C1">
        <w:t xml:space="preserve">. Ensuring that </w:t>
      </w:r>
      <w:r w:rsidR="00204642">
        <w:t xml:space="preserve">wider </w:t>
      </w:r>
      <w:r w:rsidRPr="00F543C1">
        <w:t>costs and benefits, not just monetary ones</w:t>
      </w:r>
      <w:r w:rsidR="00D36DB4">
        <w:t>,</w:t>
      </w:r>
      <w:r w:rsidRPr="00F543C1">
        <w:t xml:space="preserve"> are counted is also important. </w:t>
      </w:r>
    </w:p>
    <w:p w14:paraId="1C57EF17" w14:textId="41EA7F24" w:rsidR="00722DFC" w:rsidRDefault="00722DFC" w:rsidP="00C21C29">
      <w:pPr>
        <w:pStyle w:val="Heading3"/>
      </w:pPr>
      <w:bookmarkStart w:id="257" w:name="_Ref126753589"/>
      <w:r>
        <w:t>A new lead department</w:t>
      </w:r>
      <w:bookmarkEnd w:id="257"/>
    </w:p>
    <w:p w14:paraId="4781CD19" w14:textId="15BC8C1D" w:rsidR="00722DFC" w:rsidRDefault="001E0168" w:rsidP="00722DFC">
      <w:pPr>
        <w:pStyle w:val="USBodyText"/>
      </w:pPr>
      <w:r>
        <w:t>We recommend that a new department should be established to support the new minister.</w:t>
      </w:r>
      <w:r w:rsidR="00E9707C" w:rsidRPr="009006D7">
        <w:rPr>
          <w:rStyle w:val="FootnoteReference"/>
        </w:rPr>
        <w:footnoteReference w:id="212"/>
      </w:r>
      <w:r w:rsidR="00AE58D4">
        <w:t xml:space="preserve"> </w:t>
      </w:r>
      <w:r>
        <w:t xml:space="preserve">We suggest that this department should not </w:t>
      </w:r>
      <w:r w:rsidR="00E9707C">
        <w:t xml:space="preserve">have </w:t>
      </w:r>
      <w:r w:rsidR="00722DFC" w:rsidRPr="003978E7">
        <w:t>other social assistance delivery functions</w:t>
      </w:r>
      <w:r w:rsidR="00722DFC">
        <w:t>.</w:t>
      </w:r>
    </w:p>
    <w:p w14:paraId="3C70D5BA" w14:textId="72C63BBC" w:rsidR="00AE58D4" w:rsidRDefault="00AE58D4" w:rsidP="00722DFC">
      <w:pPr>
        <w:pStyle w:val="USBodyText"/>
      </w:pPr>
      <w:r>
        <w:t xml:space="preserve">We see this department having </w:t>
      </w:r>
      <w:proofErr w:type="gramStart"/>
      <w:r>
        <w:t>a number of</w:t>
      </w:r>
      <w:proofErr w:type="gramEnd"/>
      <w:r>
        <w:t xml:space="preserve"> separate roles.</w:t>
      </w:r>
      <w:r w:rsidR="005A55A2" w:rsidRPr="009006D7">
        <w:rPr>
          <w:rStyle w:val="FootnoteReference"/>
        </w:rPr>
        <w:footnoteReference w:id="213"/>
      </w:r>
    </w:p>
    <w:p w14:paraId="59A611D8" w14:textId="1954D818" w:rsidR="00722DFC" w:rsidRDefault="00F75407" w:rsidP="00C21C29">
      <w:pPr>
        <w:pStyle w:val="USBodyText"/>
      </w:pPr>
      <w:r>
        <w:t>It should provide policy advice on addressing persistent disadvantage, with a focus on cross-departmental activities and multi-disciplinary approaches. It should also have a research and evaluation function</w:t>
      </w:r>
      <w:r w:rsidR="004A2B44">
        <w:t>.</w:t>
      </w:r>
    </w:p>
    <w:p w14:paraId="53077C89" w14:textId="24095C71" w:rsidR="00722DFC" w:rsidRDefault="004A2B44" w:rsidP="004A2B44">
      <w:pPr>
        <w:pStyle w:val="USBodyText"/>
      </w:pPr>
      <w:r>
        <w:t xml:space="preserve">The department should be responsible for exercising </w:t>
      </w:r>
      <w:r w:rsidR="00722DFC">
        <w:t>independent monitoring activities, as required under the proposed Social Accountability Act</w:t>
      </w:r>
      <w:r>
        <w:t>.</w:t>
      </w:r>
    </w:p>
    <w:p w14:paraId="6051D48D" w14:textId="2CF5073B" w:rsidR="005A55A2" w:rsidRDefault="005A55A2" w:rsidP="00C21C29">
      <w:pPr>
        <w:pStyle w:val="USBodyText"/>
      </w:pPr>
      <w:r>
        <w:t>On the operational side, the department should have two roles.</w:t>
      </w:r>
    </w:p>
    <w:p w14:paraId="61417147" w14:textId="39F9488F" w:rsidR="00722DFC" w:rsidRDefault="005A55A2" w:rsidP="00C21C29">
      <w:pPr>
        <w:pStyle w:val="USBodyText"/>
      </w:pPr>
      <w:r>
        <w:t xml:space="preserve">The first is to identify </w:t>
      </w:r>
      <w:r w:rsidR="000600AC">
        <w:t>the group of people experiencing persistent disadvantage and those who might be at risk of doing so, a</w:t>
      </w:r>
      <w:r w:rsidR="005F6B3A">
        <w:t>t</w:t>
      </w:r>
      <w:r w:rsidR="000600AC">
        <w:t xml:space="preserve"> a very granular level</w:t>
      </w:r>
      <w:r w:rsidR="005F6B3A">
        <w:t xml:space="preserve"> (possibly down to individuals</w:t>
      </w:r>
      <w:r w:rsidR="002D0091">
        <w:t>)</w:t>
      </w:r>
      <w:r w:rsidR="000600AC">
        <w:t xml:space="preserve">. They should have access to </w:t>
      </w:r>
      <w:r w:rsidR="00722DFC">
        <w:t>data held by other departments (with appropriate safeguards)</w:t>
      </w:r>
      <w:r w:rsidR="000600AC">
        <w:t>.</w:t>
      </w:r>
      <w:r w:rsidR="005F6B3A">
        <w:t xml:space="preserve"> This would be a very sensitive </w:t>
      </w:r>
      <w:r w:rsidR="002465FF">
        <w:t>function</w:t>
      </w:r>
      <w:r w:rsidR="005F6B3A">
        <w:t xml:space="preserve"> </w:t>
      </w:r>
      <w:r w:rsidR="002D0091">
        <w:t>which</w:t>
      </w:r>
      <w:r w:rsidR="005F6B3A">
        <w:t xml:space="preserve"> need</w:t>
      </w:r>
      <w:r w:rsidR="002D0091">
        <w:t>s</w:t>
      </w:r>
      <w:r w:rsidR="005F6B3A">
        <w:t xml:space="preserve"> to </w:t>
      </w:r>
      <w:r w:rsidR="002465FF">
        <w:t>b</w:t>
      </w:r>
      <w:r w:rsidR="005F6B3A">
        <w:t xml:space="preserve">e </w:t>
      </w:r>
      <w:r w:rsidR="002465FF">
        <w:t>undertaken</w:t>
      </w:r>
      <w:r w:rsidR="005F6B3A">
        <w:t xml:space="preserve"> with extreme care to avoid </w:t>
      </w:r>
      <w:r w:rsidR="002465FF">
        <w:t>stigmati</w:t>
      </w:r>
      <w:r w:rsidR="002D0091">
        <w:t>s</w:t>
      </w:r>
      <w:r w:rsidR="002465FF">
        <w:t>ation or victim-blaming.</w:t>
      </w:r>
    </w:p>
    <w:p w14:paraId="676AF37C" w14:textId="209F0B1F" w:rsidR="00722DFC" w:rsidRPr="00F543C1" w:rsidRDefault="009429A0" w:rsidP="00C21C29">
      <w:pPr>
        <w:pStyle w:val="USBodyText"/>
      </w:pPr>
      <w:r>
        <w:t>The second operational task</w:t>
      </w:r>
      <w:r w:rsidR="002465FF">
        <w:t xml:space="preserve"> </w:t>
      </w:r>
      <w:r>
        <w:t xml:space="preserve">would be appointing, </w:t>
      </w:r>
      <w:proofErr w:type="gramStart"/>
      <w:r>
        <w:t>funding</w:t>
      </w:r>
      <w:proofErr w:type="gramEnd"/>
      <w:r>
        <w:t xml:space="preserve"> and </w:t>
      </w:r>
      <w:r w:rsidR="00425CA0">
        <w:t>monitoring a</w:t>
      </w:r>
      <w:r>
        <w:t xml:space="preserve"> network of PBIs. These PBIs </w:t>
      </w:r>
      <w:r w:rsidR="00425CA0">
        <w:t>would</w:t>
      </w:r>
      <w:r w:rsidR="00722DFC">
        <w:t xml:space="preserve"> employ </w:t>
      </w:r>
      <w:r w:rsidR="00425CA0">
        <w:t xml:space="preserve">the </w:t>
      </w:r>
      <w:r w:rsidR="00722DFC">
        <w:t>lead community workers who will work with whānau experiencing persistent disadvantage</w:t>
      </w:r>
      <w:r w:rsidR="00425CA0">
        <w:t xml:space="preserve">. As part of this, the lead department should be charged with championing the development of a contracting system for outcomes to engage </w:t>
      </w:r>
      <w:r w:rsidR="00185AC3">
        <w:t xml:space="preserve">PBIs and for PBIs to use when engaging </w:t>
      </w:r>
      <w:r w:rsidR="00425CA0">
        <w:t>NGOs</w:t>
      </w:r>
      <w:r w:rsidR="00185AC3">
        <w:t xml:space="preserve"> to assist them</w:t>
      </w:r>
      <w:r w:rsidR="00425CA0">
        <w:t>.</w:t>
      </w:r>
      <w:r w:rsidR="00045F83" w:rsidRPr="009006D7">
        <w:rPr>
          <w:rStyle w:val="FootnoteReference"/>
        </w:rPr>
        <w:footnoteReference w:id="214"/>
      </w:r>
      <w:r w:rsidR="00425CA0">
        <w:t xml:space="preserve"> The work should be realistic and be targeted at improvements, not perfection</w:t>
      </w:r>
      <w:r w:rsidR="00185AC3">
        <w:t>.</w:t>
      </w:r>
      <w:r w:rsidR="00425CA0">
        <w:t xml:space="preserve"> A ‘test, learn and adapt’ approach should be applied.</w:t>
      </w:r>
      <w:r w:rsidR="00BA44C1" w:rsidRPr="009006D7">
        <w:rPr>
          <w:rStyle w:val="FootnoteReference"/>
        </w:rPr>
        <w:footnoteReference w:id="215"/>
      </w:r>
    </w:p>
    <w:p w14:paraId="2A143292" w14:textId="38ECA75F" w:rsidR="001B024C" w:rsidRDefault="001B024C" w:rsidP="001B024C">
      <w:pPr>
        <w:pStyle w:val="Heading3"/>
      </w:pPr>
      <w:bookmarkStart w:id="258" w:name="_Ref125966770"/>
      <w:bookmarkStart w:id="259" w:name="_Toc126092143"/>
      <w:r w:rsidRPr="00F543C1">
        <w:t>Empower</w:t>
      </w:r>
      <w:r w:rsidR="00FE2F93">
        <w:t>ing</w:t>
      </w:r>
      <w:r w:rsidRPr="00F543C1">
        <w:t xml:space="preserve"> front</w:t>
      </w:r>
      <w:r w:rsidR="00876BBD">
        <w:t>-</w:t>
      </w:r>
      <w:r w:rsidRPr="00F543C1">
        <w:t>line workers</w:t>
      </w:r>
      <w:bookmarkEnd w:id="258"/>
      <w:bookmarkEnd w:id="259"/>
      <w:r w:rsidR="00D007D2">
        <w:t xml:space="preserve"> </w:t>
      </w:r>
    </w:p>
    <w:p w14:paraId="6E65FAC9" w14:textId="7E38C110" w:rsidR="00861632" w:rsidRPr="002E14A6" w:rsidRDefault="001F4C8C" w:rsidP="00861632">
      <w:pPr>
        <w:ind w:left="851"/>
      </w:pPr>
      <w:r w:rsidRPr="002E14A6">
        <w:fldChar w:fldCharType="begin"/>
      </w:r>
      <w:r w:rsidRPr="002E14A6">
        <w:instrText xml:space="preserve"> REF _Ref124862686 \h </w:instrText>
      </w:r>
      <w:r w:rsidR="002E14A6">
        <w:instrText xml:space="preserve"> \* MERGEFORMAT </w:instrText>
      </w:r>
      <w:r w:rsidRPr="002E14A6">
        <w:fldChar w:fldCharType="separate"/>
      </w:r>
      <w:r w:rsidR="00E06351" w:rsidRPr="00F543C1">
        <w:t>Figure </w:t>
      </w:r>
      <w:r w:rsidR="00E06351">
        <w:t>5</w:t>
      </w:r>
      <w:r w:rsidRPr="002E14A6">
        <w:fldChar w:fldCharType="end"/>
      </w:r>
      <w:r w:rsidR="00520EF5" w:rsidRPr="002E14A6">
        <w:t xml:space="preserve"> on page </w:t>
      </w:r>
      <w:r w:rsidR="00520EF5" w:rsidRPr="002E14A6">
        <w:fldChar w:fldCharType="begin"/>
      </w:r>
      <w:r w:rsidR="00520EF5" w:rsidRPr="002E14A6">
        <w:instrText xml:space="preserve"> PAGEREF _Ref125735284 \h </w:instrText>
      </w:r>
      <w:r w:rsidR="00520EF5" w:rsidRPr="002E14A6">
        <w:fldChar w:fldCharType="separate"/>
      </w:r>
      <w:r w:rsidR="00E06351">
        <w:rPr>
          <w:noProof/>
        </w:rPr>
        <w:t>22</w:t>
      </w:r>
      <w:r w:rsidR="00520EF5" w:rsidRPr="002E14A6">
        <w:fldChar w:fldCharType="end"/>
      </w:r>
      <w:r w:rsidRPr="002E14A6">
        <w:t xml:space="preserve"> </w:t>
      </w:r>
      <w:r w:rsidR="002D2D01" w:rsidRPr="002E14A6">
        <w:t>show</w:t>
      </w:r>
      <w:r w:rsidR="002D2D01">
        <w:t>s</w:t>
      </w:r>
      <w:r w:rsidR="002D2D01" w:rsidRPr="002E14A6">
        <w:t xml:space="preserve"> </w:t>
      </w:r>
      <w:r w:rsidR="00DF4084" w:rsidRPr="002E14A6">
        <w:t xml:space="preserve">that </w:t>
      </w:r>
      <w:r w:rsidR="004059EE" w:rsidRPr="002E14A6">
        <w:t>addressing persistent disadvantage more effectively require</w:t>
      </w:r>
      <w:r w:rsidR="00373312" w:rsidRPr="002E14A6">
        <w:t>s</w:t>
      </w:r>
      <w:r w:rsidR="004059EE" w:rsidRPr="002E14A6">
        <w:t xml:space="preserve"> a</w:t>
      </w:r>
      <w:r w:rsidR="00C0471A" w:rsidRPr="002E14A6">
        <w:t>n</w:t>
      </w:r>
      <w:r w:rsidR="004059EE" w:rsidRPr="002E14A6">
        <w:t xml:space="preserve"> </w:t>
      </w:r>
      <w:r w:rsidR="00C0471A" w:rsidRPr="002E14A6">
        <w:t xml:space="preserve">empowered and capable </w:t>
      </w:r>
      <w:r w:rsidR="004059EE" w:rsidRPr="002E14A6">
        <w:t xml:space="preserve">workforce. </w:t>
      </w:r>
      <w:r w:rsidR="00861632" w:rsidRPr="002E14A6">
        <w:t xml:space="preserve">This is especially the case for the </w:t>
      </w:r>
      <w:r w:rsidR="00070525">
        <w:t>lead community worker</w:t>
      </w:r>
      <w:r w:rsidR="00861632" w:rsidRPr="002E14A6">
        <w:t xml:space="preserve"> role we are proposing.</w:t>
      </w:r>
    </w:p>
    <w:p w14:paraId="091FE4F4" w14:textId="1748D32E" w:rsidR="00640517" w:rsidRPr="002E14A6" w:rsidRDefault="00640517" w:rsidP="00136ABB">
      <w:pPr>
        <w:ind w:left="851"/>
      </w:pPr>
      <w:r w:rsidRPr="002E14A6">
        <w:lastRenderedPageBreak/>
        <w:t>As key front</w:t>
      </w:r>
      <w:r w:rsidR="005C5BC2" w:rsidRPr="002E14A6">
        <w:t xml:space="preserve">-line </w:t>
      </w:r>
      <w:r w:rsidRPr="002E14A6">
        <w:t xml:space="preserve">staff, </w:t>
      </w:r>
      <w:r w:rsidR="00070525">
        <w:t>lead community worker</w:t>
      </w:r>
      <w:r w:rsidRPr="002E14A6">
        <w:t xml:space="preserve">s </w:t>
      </w:r>
      <w:r w:rsidR="005C5BC2" w:rsidRPr="002E14A6">
        <w:t xml:space="preserve">should have the skills, support, </w:t>
      </w:r>
      <w:proofErr w:type="gramStart"/>
      <w:r w:rsidR="005C5BC2" w:rsidRPr="002E14A6">
        <w:t>authority</w:t>
      </w:r>
      <w:proofErr w:type="gramEnd"/>
      <w:r w:rsidR="005C5BC2" w:rsidRPr="002E14A6">
        <w:t xml:space="preserve"> and tools to allow them to assist people in changing their lives. </w:t>
      </w:r>
    </w:p>
    <w:p w14:paraId="384A05E8" w14:textId="42059A7E" w:rsidR="005C5BC2" w:rsidRPr="002E14A6" w:rsidRDefault="00640517" w:rsidP="00136ABB">
      <w:pPr>
        <w:ind w:left="851"/>
      </w:pPr>
      <w:r w:rsidRPr="002E14A6">
        <w:t>Because they will be accountable to the people they are working with, t</w:t>
      </w:r>
      <w:r w:rsidR="005C5BC2" w:rsidRPr="002E14A6">
        <w:t xml:space="preserve">hey should be able to easily answer in the affirmative questions like: </w:t>
      </w:r>
      <w:r w:rsidR="002E14A6">
        <w:t>“D</w:t>
      </w:r>
      <w:r w:rsidR="005C5BC2" w:rsidRPr="002E14A6">
        <w:t>o you understand how I want my life to change?</w:t>
      </w:r>
      <w:r w:rsidR="002E14A6">
        <w:t>”</w:t>
      </w:r>
      <w:r w:rsidR="005C5BC2" w:rsidRPr="002E14A6">
        <w:t xml:space="preserve"> and respond with specific, practical suggestions to </w:t>
      </w:r>
      <w:r w:rsidR="002E14A6">
        <w:t>“H</w:t>
      </w:r>
      <w:r w:rsidR="005C5BC2" w:rsidRPr="002E14A6">
        <w:t>ow can you support me to improve my life?</w:t>
      </w:r>
      <w:r w:rsidR="002E14A6">
        <w:t>”</w:t>
      </w:r>
      <w:r w:rsidRPr="009006D7">
        <w:rPr>
          <w:rStyle w:val="FootnoteReference"/>
        </w:rPr>
        <w:footnoteReference w:id="216"/>
      </w:r>
      <w:r w:rsidR="005C5BC2" w:rsidRPr="002E14A6">
        <w:t xml:space="preserve"> </w:t>
      </w:r>
    </w:p>
    <w:p w14:paraId="1B65D02C" w14:textId="1D181500" w:rsidR="00640517" w:rsidRPr="002E14A6" w:rsidRDefault="00640517" w:rsidP="00136ABB">
      <w:pPr>
        <w:ind w:left="851"/>
      </w:pPr>
      <w:r w:rsidRPr="002E14A6">
        <w:t xml:space="preserve">One specific role we envisage </w:t>
      </w:r>
      <w:r w:rsidR="002E14A6">
        <w:t xml:space="preserve">is </w:t>
      </w:r>
      <w:r w:rsidRPr="002E14A6">
        <w:t xml:space="preserve">for </w:t>
      </w:r>
      <w:r w:rsidR="00070525">
        <w:t>lead community worker</w:t>
      </w:r>
      <w:r w:rsidRPr="002E14A6">
        <w:t xml:space="preserve">s </w:t>
      </w:r>
      <w:r w:rsidR="00942D71" w:rsidRPr="002E14A6">
        <w:t>work</w:t>
      </w:r>
      <w:r w:rsidR="002E14A6">
        <w:t>ing</w:t>
      </w:r>
      <w:r w:rsidR="00942D71" w:rsidRPr="002E14A6">
        <w:t xml:space="preserve"> with </w:t>
      </w:r>
      <w:r w:rsidRPr="002E14A6">
        <w:t xml:space="preserve">whānau </w:t>
      </w:r>
      <w:r w:rsidR="003324DD" w:rsidRPr="002E14A6">
        <w:t xml:space="preserve">to develop </w:t>
      </w:r>
      <w:r w:rsidR="00BB7AA1" w:rsidRPr="002E14A6">
        <w:t xml:space="preserve">a </w:t>
      </w:r>
      <w:r w:rsidRPr="002E14A6">
        <w:t xml:space="preserve">documented </w:t>
      </w:r>
      <w:r w:rsidR="00BB7AA1" w:rsidRPr="002E14A6">
        <w:t xml:space="preserve">plan </w:t>
      </w:r>
      <w:r w:rsidRPr="002E14A6">
        <w:t>about the changes they want to make to their lives</w:t>
      </w:r>
      <w:r w:rsidR="00BB7AA1" w:rsidRPr="002E14A6">
        <w:t>. Part of that plan will undoubtedly include access to services available from a range of providers.</w:t>
      </w:r>
      <w:r w:rsidR="00D43AF2" w:rsidRPr="002E14A6">
        <w:t xml:space="preserve"> But we envisage </w:t>
      </w:r>
      <w:r w:rsidR="00070525">
        <w:t>lead community worker</w:t>
      </w:r>
      <w:r w:rsidR="00942D71" w:rsidRPr="002E14A6">
        <w:t xml:space="preserve">s having </w:t>
      </w:r>
      <w:r w:rsidR="008C1A4C" w:rsidRPr="002E14A6">
        <w:t xml:space="preserve">the authority to make, with support and within limits, decisions about what </w:t>
      </w:r>
      <w:r w:rsidRPr="002E14A6">
        <w:t xml:space="preserve">additional or modified </w:t>
      </w:r>
      <w:r w:rsidR="008C1A4C" w:rsidRPr="002E14A6">
        <w:t xml:space="preserve">assistance should be </w:t>
      </w:r>
      <w:r w:rsidR="00C06DE8">
        <w:t xml:space="preserve">provided </w:t>
      </w:r>
      <w:r w:rsidR="008C1A4C" w:rsidRPr="002E14A6">
        <w:t>o people experiencing persistent disadvantage.</w:t>
      </w:r>
    </w:p>
    <w:p w14:paraId="14F957AA" w14:textId="39FB3502" w:rsidR="00C05239" w:rsidRPr="00640517" w:rsidRDefault="00640517" w:rsidP="00136ABB">
      <w:pPr>
        <w:ind w:left="851"/>
      </w:pPr>
      <w:r w:rsidRPr="002E14A6">
        <w:t xml:space="preserve">Front-line workers should also have an accountability to their employers to always be alert to ways to improve the systems they operate. Those employers (including supervisors, managers, executives, and Ministers) should be accountable for ensuring that identified reforms are examined and implemented if they will increase productivity. We discuss this proposal in more detail in section </w:t>
      </w:r>
      <w:r w:rsidRPr="002E14A6">
        <w:fldChar w:fldCharType="begin"/>
      </w:r>
      <w:r w:rsidRPr="002E14A6">
        <w:instrText xml:space="preserve"> REF _Ref125963551 \r \h </w:instrText>
      </w:r>
      <w:r w:rsidR="002E14A6">
        <w:instrText xml:space="preserve"> \* MERGEFORMAT </w:instrText>
      </w:r>
      <w:r w:rsidRPr="002E14A6">
        <w:fldChar w:fldCharType="separate"/>
      </w:r>
      <w:r w:rsidR="00E06351">
        <w:t>4.7.3</w:t>
      </w:r>
      <w:r w:rsidRPr="002E14A6">
        <w:fldChar w:fldCharType="end"/>
      </w:r>
      <w:r w:rsidRPr="002E14A6">
        <w:t>.</w:t>
      </w:r>
    </w:p>
    <w:p w14:paraId="02577F0F" w14:textId="29ACA63A" w:rsidR="001B024C" w:rsidRPr="00F543C1" w:rsidRDefault="00FA5578" w:rsidP="00DD5548">
      <w:pPr>
        <w:pStyle w:val="USBodyText"/>
      </w:pPr>
      <w:r>
        <w:t xml:space="preserve">At this stage, we have only presented a high-level sketch of the </w:t>
      </w:r>
      <w:r w:rsidR="00070525">
        <w:t>lead community worker</w:t>
      </w:r>
      <w:r>
        <w:t xml:space="preserve"> role. </w:t>
      </w:r>
      <w:r w:rsidR="00640517">
        <w:t xml:space="preserve">There are many details that would be required to be finalised before our proposal could be </w:t>
      </w:r>
      <w:r>
        <w:t>implemented</w:t>
      </w:r>
      <w:r w:rsidR="00640517">
        <w:t>, including</w:t>
      </w:r>
      <w:r w:rsidR="001B024C" w:rsidRPr="00F543C1">
        <w:t>:</w:t>
      </w:r>
    </w:p>
    <w:p w14:paraId="71B204EA" w14:textId="5CC65662" w:rsidR="001B024C" w:rsidRPr="00F543C1" w:rsidRDefault="00AB441D" w:rsidP="001B024C">
      <w:pPr>
        <w:numPr>
          <w:ilvl w:val="0"/>
          <w:numId w:val="1"/>
        </w:numPr>
      </w:pPr>
      <w:r>
        <w:t>j</w:t>
      </w:r>
      <w:r w:rsidR="000715E5">
        <w:t>o</w:t>
      </w:r>
      <w:r w:rsidR="001B024C" w:rsidRPr="00F543C1">
        <w:t>b descriptions of front-line staff</w:t>
      </w:r>
    </w:p>
    <w:p w14:paraId="55737421" w14:textId="0C107820" w:rsidR="001B024C" w:rsidRPr="00F543C1" w:rsidRDefault="000715E5" w:rsidP="001B024C">
      <w:pPr>
        <w:numPr>
          <w:ilvl w:val="0"/>
          <w:numId w:val="1"/>
        </w:numPr>
      </w:pPr>
      <w:r>
        <w:t>d</w:t>
      </w:r>
      <w:r w:rsidRPr="00F543C1">
        <w:t xml:space="preserve">iscretion </w:t>
      </w:r>
      <w:r w:rsidR="001B024C" w:rsidRPr="00F543C1">
        <w:t xml:space="preserve">exercised by front-line </w:t>
      </w:r>
      <w:proofErr w:type="gramStart"/>
      <w:r w:rsidR="001B024C" w:rsidRPr="00F543C1">
        <w:t>staff</w:t>
      </w:r>
      <w:proofErr w:type="gramEnd"/>
    </w:p>
    <w:p w14:paraId="493AEEC7" w14:textId="09C3E8AE" w:rsidR="001B024C" w:rsidRPr="00F543C1" w:rsidRDefault="000715E5" w:rsidP="001B024C">
      <w:pPr>
        <w:numPr>
          <w:ilvl w:val="0"/>
          <w:numId w:val="1"/>
        </w:numPr>
      </w:pPr>
      <w:r>
        <w:t>c</w:t>
      </w:r>
      <w:r w:rsidRPr="00F543C1">
        <w:t>omplaints</w:t>
      </w:r>
      <w:r w:rsidR="001B024C" w:rsidRPr="00F543C1">
        <w:t xml:space="preserve">, escalation, and review procedures operated by departments and NGOs, including the courts and other specialist </w:t>
      </w:r>
      <w:proofErr w:type="gramStart"/>
      <w:r w:rsidR="001B024C" w:rsidRPr="00F543C1">
        <w:t>tribunals</w:t>
      </w:r>
      <w:proofErr w:type="gramEnd"/>
    </w:p>
    <w:p w14:paraId="74E72B7F" w14:textId="1582CDC3" w:rsidR="001B024C" w:rsidRPr="00F543C1" w:rsidRDefault="000715E5" w:rsidP="001B024C">
      <w:pPr>
        <w:numPr>
          <w:ilvl w:val="0"/>
          <w:numId w:val="1"/>
        </w:numPr>
      </w:pPr>
      <w:r>
        <w:t>p</w:t>
      </w:r>
      <w:r w:rsidRPr="00F543C1">
        <w:t xml:space="preserve">rofessional </w:t>
      </w:r>
      <w:r w:rsidR="001B024C" w:rsidRPr="00F543C1">
        <w:t>standards of front-line staff</w:t>
      </w:r>
      <w:r w:rsidR="00AB441D">
        <w:t xml:space="preserve"> and</w:t>
      </w:r>
    </w:p>
    <w:p w14:paraId="5329A37D" w14:textId="450F68A4" w:rsidR="00B80A8E" w:rsidRPr="00F543C1" w:rsidRDefault="000715E5" w:rsidP="00C06DE8">
      <w:pPr>
        <w:numPr>
          <w:ilvl w:val="0"/>
          <w:numId w:val="1"/>
        </w:numPr>
      </w:pPr>
      <w:r>
        <w:t>c</w:t>
      </w:r>
      <w:r w:rsidRPr="00F543C1">
        <w:t xml:space="preserve">ontracts </w:t>
      </w:r>
      <w:r w:rsidR="001B024C" w:rsidRPr="00F543C1">
        <w:t>between departments and NGOs.</w:t>
      </w:r>
    </w:p>
    <w:p w14:paraId="06795B88" w14:textId="6C982527" w:rsidR="001B024C" w:rsidRPr="00F543C1" w:rsidRDefault="00573D0A" w:rsidP="001B024C">
      <w:pPr>
        <w:pStyle w:val="Heading2"/>
      </w:pPr>
      <w:bookmarkStart w:id="260" w:name="_Toc126141833"/>
      <w:bookmarkStart w:id="261" w:name="_Toc126141930"/>
      <w:bookmarkStart w:id="262" w:name="_Toc126141836"/>
      <w:bookmarkStart w:id="263" w:name="_Toc126141933"/>
      <w:bookmarkStart w:id="264" w:name="_Toc126141837"/>
      <w:bookmarkStart w:id="265" w:name="_Toc126141934"/>
      <w:bookmarkStart w:id="266" w:name="_Toc126141839"/>
      <w:bookmarkStart w:id="267" w:name="_Toc126141936"/>
      <w:bookmarkStart w:id="268" w:name="_Toc125536882"/>
      <w:bookmarkStart w:id="269" w:name="_Ref125642871"/>
      <w:bookmarkStart w:id="270" w:name="_Ref125979114"/>
      <w:bookmarkStart w:id="271" w:name="_Toc126092145"/>
      <w:bookmarkStart w:id="272" w:name="_Toc126841227"/>
      <w:bookmarkEnd w:id="260"/>
      <w:bookmarkEnd w:id="261"/>
      <w:bookmarkEnd w:id="262"/>
      <w:bookmarkEnd w:id="263"/>
      <w:bookmarkEnd w:id="264"/>
      <w:bookmarkEnd w:id="265"/>
      <w:bookmarkEnd w:id="266"/>
      <w:bookmarkEnd w:id="267"/>
      <w:r>
        <w:t>Making c</w:t>
      </w:r>
      <w:r w:rsidR="001B024C" w:rsidRPr="00F543C1">
        <w:t>onstitutional accountability</w:t>
      </w:r>
      <w:bookmarkEnd w:id="268"/>
      <w:bookmarkEnd w:id="269"/>
      <w:r w:rsidR="001B024C" w:rsidRPr="00F543C1">
        <w:t xml:space="preserve"> </w:t>
      </w:r>
      <w:r>
        <w:t>more proportionate and effective</w:t>
      </w:r>
      <w:bookmarkEnd w:id="270"/>
      <w:bookmarkEnd w:id="271"/>
      <w:bookmarkEnd w:id="272"/>
    </w:p>
    <w:p w14:paraId="791428D9" w14:textId="2BEF6CF5" w:rsidR="00824D5C" w:rsidRDefault="00824D5C" w:rsidP="00824D5C">
      <w:pPr>
        <w:ind w:left="851"/>
      </w:pPr>
      <w:r>
        <w:rPr>
          <w:iCs/>
          <w:color w:val="30353F"/>
        </w:rPr>
        <w:t xml:space="preserve">Constitutional accountability is about promoting honesty, </w:t>
      </w:r>
      <w:proofErr w:type="gramStart"/>
      <w:r>
        <w:rPr>
          <w:iCs/>
          <w:color w:val="30353F"/>
        </w:rPr>
        <w:t>transparency</w:t>
      </w:r>
      <w:proofErr w:type="gramEnd"/>
      <w:r>
        <w:rPr>
          <w:iCs/>
          <w:color w:val="30353F"/>
        </w:rPr>
        <w:t xml:space="preserve"> and integrity. It is often focused on preventing those exercising power from unjustly enriching themselves through fraud. It reduce</w:t>
      </w:r>
      <w:r w:rsidR="00140CC4">
        <w:rPr>
          <w:iCs/>
          <w:color w:val="30353F"/>
        </w:rPr>
        <w:t>s</w:t>
      </w:r>
      <w:r>
        <w:rPr>
          <w:iCs/>
          <w:color w:val="30353F"/>
        </w:rPr>
        <w:t xml:space="preserve"> waste.    </w:t>
      </w:r>
    </w:p>
    <w:p w14:paraId="157011AF" w14:textId="339B98B2" w:rsidR="00824D5C" w:rsidRPr="00F543C1" w:rsidRDefault="00824D5C" w:rsidP="000B12B8">
      <w:pPr>
        <w:pStyle w:val="USBodyText"/>
      </w:pPr>
      <w:r>
        <w:t xml:space="preserve">There is no question that these are important considerations. </w:t>
      </w:r>
      <w:r w:rsidRPr="00F543C1">
        <w:t xml:space="preserve">Waste, </w:t>
      </w:r>
      <w:proofErr w:type="gramStart"/>
      <w:r w:rsidRPr="00F543C1">
        <w:t>fraud</w:t>
      </w:r>
      <w:proofErr w:type="gramEnd"/>
      <w:r w:rsidRPr="00F543C1">
        <w:t xml:space="preserve"> and abuse take valuable resources away from assisting people </w:t>
      </w:r>
      <w:r w:rsidR="00CA78CC">
        <w:t>in changing</w:t>
      </w:r>
      <w:r w:rsidRPr="00F543C1">
        <w:t xml:space="preserve"> their lives and proportionate and cost-effective prevention, detection and remediation procedures should be part of all </w:t>
      </w:r>
      <w:r w:rsidR="00917B3A">
        <w:t>assistance programmes</w:t>
      </w:r>
      <w:r w:rsidRPr="00F543C1">
        <w:t xml:space="preserve">. An assistance system that demonstrates that it is achieved honestly will also increase its legitimacy with the wider community. </w:t>
      </w:r>
    </w:p>
    <w:p w14:paraId="42704CC5" w14:textId="0DDA29B8" w:rsidR="00A41654" w:rsidRDefault="008C5525" w:rsidP="000B12B8">
      <w:pPr>
        <w:pStyle w:val="USBodyText"/>
      </w:pPr>
      <w:r>
        <w:t>But t</w:t>
      </w:r>
      <w:r w:rsidR="001B024C" w:rsidRPr="00F543C1">
        <w:t>he current public accountability system in Aotearoa places disproportionate weight on ensuring honesty and ethical behaviour.</w:t>
      </w:r>
      <w:r>
        <w:t xml:space="preserve"> These efforts are also not </w:t>
      </w:r>
      <w:r w:rsidR="00C45146">
        <w:t>as effective as they could be.</w:t>
      </w:r>
    </w:p>
    <w:p w14:paraId="057F2F85" w14:textId="4EC243F9" w:rsidR="007C60B6" w:rsidRDefault="007C60B6" w:rsidP="00DD5548">
      <w:pPr>
        <w:ind w:left="851"/>
      </w:pPr>
      <w:r w:rsidRPr="00F543C1">
        <w:lastRenderedPageBreak/>
        <w:t>More generally, reducing the effort applied to instruments of pseudo accountability – such as voluminous reports that look impressive (but often fail to address desired outcomes) – would free up resources that could be applied to more effective accountability tools and processes. The ideal is to provide all interested stakeholders with just enough information on what agencies do to allow</w:t>
      </w:r>
      <w:r w:rsidR="00AB441D">
        <w:t xml:space="preserve"> effective</w:t>
      </w:r>
      <w:r w:rsidRPr="00F543C1">
        <w:t xml:space="preserve"> scrutiny. </w:t>
      </w:r>
    </w:p>
    <w:p w14:paraId="74E26A01" w14:textId="59D00300" w:rsidR="00AA2667" w:rsidRDefault="007075DD" w:rsidP="007075DD">
      <w:pPr>
        <w:pStyle w:val="Heading3"/>
      </w:pPr>
      <w:bookmarkStart w:id="273" w:name="_Toc126092146"/>
      <w:r>
        <w:t>Reducing the weight given to constitutional accountability</w:t>
      </w:r>
      <w:bookmarkEnd w:id="273"/>
    </w:p>
    <w:p w14:paraId="5AC2A349" w14:textId="311E9EAF" w:rsidR="006445A0" w:rsidRDefault="007075DD" w:rsidP="007075DD">
      <w:pPr>
        <w:pStyle w:val="USBodyText"/>
      </w:pPr>
      <w:r>
        <w:t>As discussed in section 4.</w:t>
      </w:r>
      <w:r w:rsidR="00B66639">
        <w:t>5</w:t>
      </w:r>
      <w:r>
        <w:t xml:space="preserve">, </w:t>
      </w:r>
      <w:r w:rsidR="008C405C">
        <w:t>New Zealand’s</w:t>
      </w:r>
      <w:r w:rsidR="005B1244">
        <w:t xml:space="preserve"> current system </w:t>
      </w:r>
      <w:r w:rsidR="00E71861">
        <w:t xml:space="preserve">focuses too heavily on constitutional accountability at the expense of other forms. </w:t>
      </w:r>
    </w:p>
    <w:p w14:paraId="746F3CE8" w14:textId="60F2B97C" w:rsidR="007075DD" w:rsidRDefault="00E71861" w:rsidP="007075DD">
      <w:pPr>
        <w:pStyle w:val="USBodyText"/>
      </w:pPr>
      <w:r>
        <w:t>We</w:t>
      </w:r>
      <w:r w:rsidR="00721B41">
        <w:t xml:space="preserve"> recommend reducing the government’s</w:t>
      </w:r>
      <w:r w:rsidR="00A054B4">
        <w:t xml:space="preserve"> emphasis on constitutional accountability </w:t>
      </w:r>
      <w:r w:rsidR="00721B41">
        <w:t xml:space="preserve">and increasing </w:t>
      </w:r>
      <w:r w:rsidR="00C9541E">
        <w:t>the relative effort expended on democratic accountability and accountability as learning.</w:t>
      </w:r>
    </w:p>
    <w:p w14:paraId="581D64DF" w14:textId="1277ED52" w:rsidR="007B7663" w:rsidRPr="007075DD" w:rsidRDefault="007B7663" w:rsidP="000B12B8">
      <w:pPr>
        <w:pStyle w:val="Heading3"/>
      </w:pPr>
      <w:bookmarkStart w:id="274" w:name="_Toc126092147"/>
      <w:r>
        <w:t>Improving the effectiveness of constitutional accountability</w:t>
      </w:r>
      <w:bookmarkEnd w:id="274"/>
    </w:p>
    <w:p w14:paraId="05102D04" w14:textId="15188080" w:rsidR="00F4075B" w:rsidRDefault="00F4075B" w:rsidP="001B024C">
      <w:pPr>
        <w:ind w:left="851"/>
      </w:pPr>
      <w:r>
        <w:t>At the same time, we also recommend improving the effectiveness of constitutional accountability.</w:t>
      </w:r>
    </w:p>
    <w:p w14:paraId="7A6496F6" w14:textId="38092C67" w:rsidR="001B024C" w:rsidRPr="00F543C1" w:rsidRDefault="001B024C" w:rsidP="001B024C">
      <w:pPr>
        <w:ind w:left="851"/>
      </w:pPr>
      <w:r w:rsidRPr="00F543C1">
        <w:t>Parliament and its officers</w:t>
      </w:r>
      <w:r w:rsidR="00C160B0">
        <w:t>,</w:t>
      </w:r>
      <w:r w:rsidRPr="00F543C1">
        <w:t xml:space="preserve"> like the Auditor-General and the Ombudsman</w:t>
      </w:r>
      <w:r w:rsidR="00C160B0">
        <w:t>,</w:t>
      </w:r>
      <w:r w:rsidRPr="00F543C1">
        <w:t xml:space="preserve"> </w:t>
      </w:r>
      <w:r w:rsidR="00AA57C6">
        <w:t>currently</w:t>
      </w:r>
      <w:r w:rsidR="00AA57C6" w:rsidRPr="00F543C1">
        <w:t xml:space="preserve"> </w:t>
      </w:r>
      <w:r w:rsidRPr="00F543C1">
        <w:t xml:space="preserve">have wide investigative powers. </w:t>
      </w:r>
    </w:p>
    <w:p w14:paraId="00004B3D" w14:textId="6BE1060F" w:rsidR="001B024C" w:rsidRPr="00F543C1" w:rsidRDefault="002B6879" w:rsidP="001B024C">
      <w:pPr>
        <w:ind w:left="851"/>
      </w:pPr>
      <w:r>
        <w:t>O</w:t>
      </w:r>
      <w:r w:rsidR="001B024C" w:rsidRPr="00F543C1">
        <w:t>rganisations like the Office of the Controller and Auditor-General have both the powers and capacity to hold the executive to account</w:t>
      </w:r>
      <w:r>
        <w:t xml:space="preserve">, </w:t>
      </w:r>
      <w:r w:rsidR="00CB120B">
        <w:t>but</w:t>
      </w:r>
      <w:r w:rsidR="001B024C" w:rsidRPr="00F543C1">
        <w:t xml:space="preserve"> </w:t>
      </w:r>
      <w:r w:rsidR="00AA57C6">
        <w:t>they are</w:t>
      </w:r>
      <w:r w:rsidR="001B024C" w:rsidRPr="00F543C1">
        <w:t xml:space="preserve"> creature</w:t>
      </w:r>
      <w:r w:rsidR="00AA57C6">
        <w:t>s</w:t>
      </w:r>
      <w:r w:rsidR="001B024C" w:rsidRPr="00F543C1">
        <w:t xml:space="preserve"> of the New Zealand Parliament</w:t>
      </w:r>
      <w:r w:rsidR="00A054B4">
        <w:t xml:space="preserve"> which</w:t>
      </w:r>
      <w:r w:rsidR="001B024C" w:rsidRPr="00F543C1">
        <w:t>, as we have seen, is dominated by the Executive the Auditor-General is seeking to hold to account.</w:t>
      </w:r>
      <w:r>
        <w:t xml:space="preserve"> </w:t>
      </w:r>
    </w:p>
    <w:p w14:paraId="26531DFB" w14:textId="77777777" w:rsidR="001B024C" w:rsidRPr="00F543C1" w:rsidRDefault="001B024C" w:rsidP="001B024C">
      <w:pPr>
        <w:ind w:left="851"/>
      </w:pPr>
      <w:r w:rsidRPr="00F543C1">
        <w:t xml:space="preserve">Parliament currently undertakes a significant accountability role itself, especially through the work of Select Committees within the annual budget cycle. But again, the dominance of the majority party on all Select Committees reduces their independence, as does the level of resourcing and effort applied by parliamentarians to scrutiny relative to serving constituencies or other political activities. </w:t>
      </w:r>
    </w:p>
    <w:p w14:paraId="5DB1F036" w14:textId="4F4E7371" w:rsidR="001B024C" w:rsidRPr="00F543C1" w:rsidRDefault="003A0C6D" w:rsidP="001B024C">
      <w:pPr>
        <w:ind w:left="851"/>
      </w:pPr>
      <w:r>
        <w:t>But t</w:t>
      </w:r>
      <w:r w:rsidR="001B024C" w:rsidRPr="00F543C1">
        <w:t>here is</w:t>
      </w:r>
      <w:r w:rsidR="009B2A92">
        <w:t xml:space="preserve"> also</w:t>
      </w:r>
      <w:r w:rsidR="001B024C" w:rsidRPr="00F543C1">
        <w:t xml:space="preserve"> an imbalance between the effort that is expended in creating accountability documents and the analysis of those documents by truly interested independent parties. </w:t>
      </w:r>
    </w:p>
    <w:p w14:paraId="0E5940EE" w14:textId="1127D38A" w:rsidR="001B024C" w:rsidRPr="00F543C1" w:rsidRDefault="001B024C" w:rsidP="001B024C">
      <w:pPr>
        <w:ind w:left="851"/>
      </w:pPr>
      <w:r w:rsidRPr="00F543C1">
        <w:t xml:space="preserve">As a first step to address this, we recommend that </w:t>
      </w:r>
      <w:r w:rsidR="00BB78A5">
        <w:t xml:space="preserve">Select </w:t>
      </w:r>
      <w:r w:rsidRPr="00F543C1">
        <w:t xml:space="preserve">Committees be granted more analytical resources so that they have a capacity at least equal to that of the agencies they are reviewing. </w:t>
      </w:r>
    </w:p>
    <w:p w14:paraId="111CA0DD" w14:textId="77777777" w:rsidR="001B024C" w:rsidRPr="00F543C1" w:rsidRDefault="001B024C" w:rsidP="001B024C">
      <w:pPr>
        <w:ind w:left="851"/>
      </w:pPr>
      <w:r w:rsidRPr="00F543C1">
        <w:t>We note that in a recent letter to the Speaker in the context of the triennial review of standing orders, the Parliamentary Commissioner for the Environment made two suggestions that he thought could be made quickly to improve scrutiny of the Executive by Parliament:</w:t>
      </w:r>
    </w:p>
    <w:p w14:paraId="1253ECD2" w14:textId="63C39120" w:rsidR="001B024C" w:rsidRPr="00F543C1" w:rsidRDefault="001B024C" w:rsidP="001B024C">
      <w:pPr>
        <w:spacing w:before="120"/>
        <w:ind w:left="1276" w:right="425"/>
        <w:rPr>
          <w:i/>
          <w:color w:val="30353F"/>
        </w:rPr>
      </w:pPr>
      <w:r w:rsidRPr="00F543C1">
        <w:rPr>
          <w:i/>
          <w:color w:val="30353F"/>
        </w:rPr>
        <w:t>1. Select committees could ask for the Government to provide them with financial and nonfinancial information aggregated by outcome. This would be in addition to information contained in appropriation document</w:t>
      </w:r>
      <w:r w:rsidR="009B2A92">
        <w:rPr>
          <w:i/>
          <w:color w:val="30353F"/>
        </w:rPr>
        <w:t>s</w:t>
      </w:r>
      <w:r w:rsidRPr="00F543C1">
        <w:rPr>
          <w:i/>
          <w:color w:val="30353F"/>
        </w:rPr>
        <w:t xml:space="preserve"> and annual reports. It would provide select committees with some of the information that they need to apply a whole-of-government (or whole-of-sector) lens to their scrutiny. </w:t>
      </w:r>
    </w:p>
    <w:p w14:paraId="38B0E00C" w14:textId="56A5761F" w:rsidR="001B024C" w:rsidRPr="00F543C1" w:rsidRDefault="001B024C" w:rsidP="001B024C">
      <w:pPr>
        <w:spacing w:before="120"/>
        <w:ind w:left="1276" w:right="425"/>
        <w:rPr>
          <w:i/>
          <w:color w:val="30353F"/>
        </w:rPr>
      </w:pPr>
      <w:r w:rsidRPr="00F543C1">
        <w:rPr>
          <w:i/>
          <w:color w:val="30353F"/>
        </w:rPr>
        <w:lastRenderedPageBreak/>
        <w:t xml:space="preserve">2. Select committees could make more use of independent advisors to help them craft probing questions, make sense of the responses they receive, and act as a source of independent advice more generally. This applies equally to any specific inquiries a committee is making, to its scrutiny of estimates, to its annual review of agency performance or to any legislation it may be examining. </w:t>
      </w:r>
      <w:r w:rsidRPr="00F543C1">
        <w:rPr>
          <w:i/>
          <w:color w:val="30353F"/>
        </w:rPr>
        <w:fldChar w:fldCharType="begin"/>
      </w:r>
      <w:r w:rsidR="009B0EC4">
        <w:rPr>
          <w:i/>
          <w:color w:val="30353F"/>
        </w:rPr>
        <w:instrText xml:space="preserve"> ADDIN ZOTERO_ITEM CSL_CITATION {"citationID":"u26n0OCb","properties":{"formattedCitation":"(Upton 2022b)","plainCitation":"(Upton 2022b)","noteIndex":0},"citationItems":[{"id":18444,"uris":["http://zotero.org/groups/4801058/items/9FBBLDK7"],"itemData":{"id":18444,"type":"personal_communication","title":"Letter to the Speaker","URL":"https://www.parliament.nz/resource/en-NZ/53SCSO_EVI_122709_SO131/e0ecb3888ea4dc1f10723a874ab9848acc610b7a","author":[{"family":"Upton","given":"Simon"}],"issued":{"date-parts":[["2022"]]}}}],"schema":"https://github.com/citation-style-language/schema/raw/master/csl-citation.json"} </w:instrText>
      </w:r>
      <w:r w:rsidRPr="00F543C1">
        <w:rPr>
          <w:i/>
          <w:color w:val="30353F"/>
        </w:rPr>
        <w:fldChar w:fldCharType="separate"/>
      </w:r>
      <w:r w:rsidRPr="00F543C1">
        <w:rPr>
          <w:rFonts w:cs="Calibri"/>
          <w:i/>
          <w:color w:val="30353F"/>
        </w:rPr>
        <w:t>(</w:t>
      </w:r>
      <w:r w:rsidRPr="00EA3922">
        <w:rPr>
          <w:rFonts w:cs="Calibri"/>
          <w:iCs/>
          <w:color w:val="30353F"/>
        </w:rPr>
        <w:t>Upton</w:t>
      </w:r>
      <w:r w:rsidRPr="00F543C1">
        <w:rPr>
          <w:rFonts w:cs="Calibri"/>
          <w:i/>
          <w:color w:val="30353F"/>
        </w:rPr>
        <w:t xml:space="preserve"> 2022b)</w:t>
      </w:r>
      <w:r w:rsidRPr="00F543C1">
        <w:rPr>
          <w:i/>
          <w:color w:val="30353F"/>
        </w:rPr>
        <w:fldChar w:fldCharType="end"/>
      </w:r>
    </w:p>
    <w:p w14:paraId="74900931" w14:textId="114A3C55" w:rsidR="001B024C" w:rsidRPr="00F543C1" w:rsidRDefault="001B024C" w:rsidP="001B024C">
      <w:pPr>
        <w:ind w:left="851"/>
      </w:pPr>
      <w:r w:rsidRPr="00F543C1">
        <w:t>We support these suggestions. The Office of the Clerk has a reputation for political neutrality that could be used here. We</w:t>
      </w:r>
      <w:r w:rsidR="00681609">
        <w:t>, therefore,</w:t>
      </w:r>
      <w:r w:rsidRPr="00F543C1">
        <w:t xml:space="preserve"> recommend that the Office be provided with more resources to provide </w:t>
      </w:r>
      <w:r w:rsidR="00041E30" w:rsidRPr="00F543C1">
        <w:t>politically neutral</w:t>
      </w:r>
      <w:r w:rsidRPr="00F543C1">
        <w:t xml:space="preserve"> support to Select Committees.  </w:t>
      </w:r>
    </w:p>
    <w:p w14:paraId="54BD9F06" w14:textId="5DBA37B1" w:rsidR="001B024C" w:rsidRDefault="001B024C" w:rsidP="001B024C">
      <w:pPr>
        <w:ind w:left="851"/>
      </w:pPr>
      <w:r w:rsidRPr="00F543C1">
        <w:t>Regarding independent external assistance</w:t>
      </w:r>
      <w:r w:rsidR="00681609">
        <w:t>,</w:t>
      </w:r>
      <w:r w:rsidRPr="00F543C1">
        <w:t xml:space="preserve"> we see this as involving more than hiring external experts, although that has a role. We also see merit in </w:t>
      </w:r>
      <w:r w:rsidR="00681609">
        <w:t xml:space="preserve">Select </w:t>
      </w:r>
      <w:r w:rsidRPr="00F543C1">
        <w:t xml:space="preserve">Committees providing resources to independent organisations with interest in their areas of work to provide an additional voice. </w:t>
      </w:r>
    </w:p>
    <w:p w14:paraId="098A9DB2" w14:textId="2F709427" w:rsidR="001B024C" w:rsidRPr="00F543C1" w:rsidRDefault="001915BE" w:rsidP="0054141C">
      <w:pPr>
        <w:ind w:left="851"/>
      </w:pPr>
      <w:r>
        <w:t>The systems of regulation</w:t>
      </w:r>
      <w:r w:rsidRPr="00E24D47">
        <w:t xml:space="preserve"> </w:t>
      </w:r>
      <w:r>
        <w:t>to which those providers are currently subject, such as the disclosure provisions</w:t>
      </w:r>
      <w:r w:rsidRPr="00E24D47">
        <w:t xml:space="preserve"> </w:t>
      </w:r>
      <w:r>
        <w:t>in the Charities Act, should be relied on to do most of the work required to ensure probity.</w:t>
      </w:r>
      <w:r w:rsidR="00A04C87" w:rsidRPr="009006D7">
        <w:rPr>
          <w:rStyle w:val="FootnoteReference"/>
        </w:rPr>
        <w:footnoteReference w:id="217"/>
      </w:r>
      <w:r>
        <w:t xml:space="preserve"> </w:t>
      </w:r>
      <w:bookmarkStart w:id="275" w:name="_Toc125536883"/>
      <w:bookmarkStart w:id="276" w:name="_Ref125539002"/>
      <w:bookmarkStart w:id="277" w:name="_Toc126092148"/>
      <w:r w:rsidR="00B96C18">
        <w:t>Strengthening a</w:t>
      </w:r>
      <w:r w:rsidR="001B024C" w:rsidRPr="00F543C1">
        <w:t xml:space="preserve">ccountability as </w:t>
      </w:r>
      <w:proofErr w:type="gramStart"/>
      <w:r w:rsidR="001B024C" w:rsidRPr="00F543C1">
        <w:t>learning</w:t>
      </w:r>
      <w:bookmarkEnd w:id="275"/>
      <w:bookmarkEnd w:id="276"/>
      <w:bookmarkEnd w:id="277"/>
      <w:proofErr w:type="gramEnd"/>
    </w:p>
    <w:p w14:paraId="002252D5" w14:textId="55180C94" w:rsidR="00ED274D" w:rsidRDefault="00ED274D" w:rsidP="001B024C">
      <w:pPr>
        <w:ind w:left="851"/>
      </w:pPr>
      <w:r>
        <w:t>The third dimension of accountability, learning, has an efficiency and effectiveness focus</w:t>
      </w:r>
      <w:r w:rsidR="00681609">
        <w:t>, and i</w:t>
      </w:r>
      <w:r>
        <w:t xml:space="preserve">t </w:t>
      </w:r>
      <w:r w:rsidR="00D43C98">
        <w:t xml:space="preserve">involves </w:t>
      </w:r>
      <w:r w:rsidR="0090736E">
        <w:t xml:space="preserve">assessing past </w:t>
      </w:r>
      <w:r w:rsidR="00D43C98">
        <w:t xml:space="preserve">experiences </w:t>
      </w:r>
      <w:r w:rsidR="00041E30">
        <w:t>to</w:t>
      </w:r>
      <w:r w:rsidR="0090736E">
        <w:t xml:space="preserve"> </w:t>
      </w:r>
      <w:r w:rsidR="00D43C98">
        <w:t>improve future</w:t>
      </w:r>
      <w:r w:rsidR="00020499">
        <w:t xml:space="preserve"> efforts and outcomes</w:t>
      </w:r>
      <w:r w:rsidR="00D43C98">
        <w:t>.</w:t>
      </w:r>
    </w:p>
    <w:p w14:paraId="487CD72A" w14:textId="4B8BE6AF" w:rsidR="00177FC3" w:rsidRDefault="001B024C" w:rsidP="001B024C">
      <w:pPr>
        <w:ind w:left="851"/>
      </w:pPr>
      <w:r w:rsidRPr="00F543C1">
        <w:t xml:space="preserve">Matthew Palmer and Dean Knight suggest that it is important to consider the learning potential of all accountability relationships rather than seeking additional mechanisms that only focus on this dimension </w:t>
      </w:r>
      <w:r w:rsidRPr="00F543C1">
        <w:fldChar w:fldCharType="begin"/>
      </w:r>
      <w:r w:rsidR="009B0EC4">
        <w:instrText xml:space="preserve"> ADDIN ZOTERO_ITEM CSL_CITATION {"citationID":"tYRGheyn","properties":{"formattedCitation":"(Palmer and Knight 2022, 167)","plainCitation":"(Palmer and Knight 2022, 167)","noteIndex":0},"citationItems":[{"id":18446,"uris":["http://zotero.org/groups/4801058/items/VJID95CY"],"itemData":{"id":18446,"type":"book","abstract":"\"This book examines New Zealand's constitution, through the lens of constitutional realism. It looks at the practices, habits, conventions and norms of constitutional life. It focuses on the structures, processes and culture that govern the exercise of public power - a perspective that is necessary to explore and account for a lived, rather than textual, constitution. New Zealand's constitution is unique. One of three remaining unwritten democratic constitutions in the world, it is characterised by a charming set of anachronistic contrasts. \"Unwritten\", but much found in various written sources. Built on a network of Westminster constitutional conventions but generously tailored to local conditions. Proudly independent, yet perhaps a purer Westminster model than its British parent. Flexible and vulnerable, while oddly enduring. It looks to the centralised authority that comes with a strong executive, strict parliamentary sovereignty, and a unitary state. However, its populace insists on egalitarian values and representative democracy, with elections fiercely conducted nowadays under a system of proportional representation. The interests of indigenous Maori are protected largely through democratic majority rule. A reputation for upholding the rule of law, yet few institutional safeguards to ensure compliance\"--","call-number":"KUQ1750","collection-title":"Constitutional systems of the world","event-place":"Oxford, UK ; New York, NY","ISBN":"978-1-84946-904-3","number-of-pages":"1","publisher":"Hart Publishing, an imprint of Bloomsbury Publishing","publisher-place":"Oxford, UK ; New York, NY","source":"Library of Congress ISBN","title":"The Constitution of New Zealand: a contextual analysis","title-short":"The Constitution of New Zealand","author":[{"family":"Palmer","given":"Matthew"},{"family":"Knight","given":"Dean R."}],"issued":{"date-parts":[["2022"]]}},"locator":"167","label":"page"}],"schema":"https://github.com/citation-style-language/schema/raw/master/csl-citation.json"} </w:instrText>
      </w:r>
      <w:r w:rsidRPr="00F543C1">
        <w:fldChar w:fldCharType="separate"/>
      </w:r>
      <w:r w:rsidRPr="00F543C1">
        <w:rPr>
          <w:rFonts w:cs="Calibri"/>
        </w:rPr>
        <w:t>(Palmer and Knight 2022, 167)</w:t>
      </w:r>
      <w:r w:rsidRPr="00F543C1">
        <w:fldChar w:fldCharType="end"/>
      </w:r>
      <w:r w:rsidRPr="00F543C1">
        <w:t xml:space="preserve">. </w:t>
      </w:r>
    </w:p>
    <w:p w14:paraId="782A4476" w14:textId="1329EA84" w:rsidR="00177FC3" w:rsidRDefault="00055F3D" w:rsidP="001B024C">
      <w:pPr>
        <w:ind w:left="851"/>
      </w:pPr>
      <w:r>
        <w:t>Therefore, effective learning systems often involve using information</w:t>
      </w:r>
      <w:r w:rsidR="00177FC3">
        <w:t xml:space="preserve"> collected as part of </w:t>
      </w:r>
      <w:bookmarkStart w:id="278" w:name="_Hlk125749784"/>
      <w:r w:rsidR="00177FC3">
        <w:t xml:space="preserve">democratic and </w:t>
      </w:r>
      <w:r w:rsidR="00BD2268">
        <w:t xml:space="preserve">constitutional </w:t>
      </w:r>
      <w:bookmarkEnd w:id="278"/>
      <w:r w:rsidR="00BD2268">
        <w:t>accounting and appl</w:t>
      </w:r>
      <w:r w:rsidR="00020499">
        <w:t>ying</w:t>
      </w:r>
      <w:r w:rsidR="00BD2268">
        <w:t xml:space="preserve"> it for an additional purpose.</w:t>
      </w:r>
      <w:r w:rsidR="00E55FCD">
        <w:t xml:space="preserve"> There is thus an overlap between the dimensions: learning requirements need to be embedded in the design of </w:t>
      </w:r>
      <w:r w:rsidR="00E55FCD" w:rsidRPr="00E55FCD">
        <w:t xml:space="preserve">democratic and constitutional </w:t>
      </w:r>
      <w:r w:rsidR="00E55FCD">
        <w:t xml:space="preserve">accountability mechanisms rather than be a separate </w:t>
      </w:r>
      <w:r>
        <w:t>add-</w:t>
      </w:r>
      <w:r w:rsidR="00E55FCD">
        <w:t>on.</w:t>
      </w:r>
    </w:p>
    <w:p w14:paraId="58EEC4BF" w14:textId="3CE80925" w:rsidR="00E55FCD" w:rsidRDefault="004D2A5C" w:rsidP="001B024C">
      <w:pPr>
        <w:ind w:left="851"/>
      </w:pPr>
      <w:r>
        <w:t>In the case of democratic accountability systems that promote an ongoing focus on program</w:t>
      </w:r>
      <w:r w:rsidR="00D46BC5">
        <w:t>me</w:t>
      </w:r>
      <w:r>
        <w:t xml:space="preserve"> effective</w:t>
      </w:r>
      <w:r w:rsidR="00D85FA6">
        <w:t>nes</w:t>
      </w:r>
      <w:r>
        <w:t>s</w:t>
      </w:r>
      <w:r w:rsidR="006911BD">
        <w:t>, lessons learned from existing program</w:t>
      </w:r>
      <w:r w:rsidR="000B2100">
        <w:t>mes</w:t>
      </w:r>
      <w:r w:rsidR="006911BD">
        <w:t xml:space="preserve"> – what works and what does not – need to be incorporated into the design of new program</w:t>
      </w:r>
      <w:r w:rsidR="000B2100">
        <w:t>mes</w:t>
      </w:r>
      <w:r w:rsidR="006911BD">
        <w:t xml:space="preserve"> </w:t>
      </w:r>
      <w:r w:rsidR="000B2100">
        <w:t xml:space="preserve">to make them </w:t>
      </w:r>
      <w:r w:rsidR="006911BD">
        <w:t>more effective.</w:t>
      </w:r>
    </w:p>
    <w:p w14:paraId="5B90AD80" w14:textId="70BD4B32" w:rsidR="006911BD" w:rsidRDefault="00FA6C75" w:rsidP="001B024C">
      <w:pPr>
        <w:ind w:left="851"/>
      </w:pPr>
      <w:r>
        <w:t>The reporting of past activities in constitutional accountability systems – like annual reports – can the</w:t>
      </w:r>
      <w:r w:rsidR="000B2100">
        <w:t>n</w:t>
      </w:r>
      <w:r>
        <w:t xml:space="preserve"> be used to ask questions about </w:t>
      </w:r>
      <w:r w:rsidR="00CF04AD">
        <w:t>what should</w:t>
      </w:r>
      <w:r w:rsidR="006F0A1E">
        <w:t xml:space="preserve"> </w:t>
      </w:r>
      <w:r w:rsidR="00CF04AD">
        <w:t>happen in the future.</w:t>
      </w:r>
    </w:p>
    <w:p w14:paraId="134CB7D3" w14:textId="77777777" w:rsidR="001B024C" w:rsidRPr="00F543C1" w:rsidRDefault="001B024C" w:rsidP="001B024C">
      <w:pPr>
        <w:pStyle w:val="Heading3"/>
      </w:pPr>
      <w:bookmarkStart w:id="279" w:name="_Ref125963551"/>
      <w:bookmarkStart w:id="280" w:name="_Toc126092149"/>
      <w:r w:rsidRPr="00F543C1">
        <w:t>Embedding systems thinking at all levels</w:t>
      </w:r>
      <w:bookmarkEnd w:id="279"/>
      <w:bookmarkEnd w:id="280"/>
    </w:p>
    <w:p w14:paraId="0134CC88" w14:textId="7BEEE8A6" w:rsidR="001B024C" w:rsidRPr="00F543C1" w:rsidRDefault="00E967C8" w:rsidP="001B024C">
      <w:pPr>
        <w:ind w:left="851"/>
      </w:pPr>
      <w:r>
        <w:t>I</w:t>
      </w:r>
      <w:r w:rsidR="00CF04AD">
        <w:t xml:space="preserve">n </w:t>
      </w:r>
      <w:r w:rsidR="007A0F7D">
        <w:t>addition</w:t>
      </w:r>
      <w:r w:rsidR="00CF04AD">
        <w:t xml:space="preserve"> to our recommendations about accountability systems made above, we also </w:t>
      </w:r>
      <w:r w:rsidR="006F0A1E">
        <w:t>propose</w:t>
      </w:r>
      <w:r w:rsidR="007A0F7D">
        <w:t xml:space="preserve"> a</w:t>
      </w:r>
      <w:r w:rsidR="001B024C" w:rsidRPr="00F543C1">
        <w:t xml:space="preserve"> widespread shift to a systems-thinking approach </w:t>
      </w:r>
      <w:r w:rsidR="006F0A1E">
        <w:t>to</w:t>
      </w:r>
      <w:r w:rsidR="006F0A1E" w:rsidRPr="00F543C1">
        <w:t xml:space="preserve"> </w:t>
      </w:r>
      <w:r w:rsidR="001B024C" w:rsidRPr="00F543C1">
        <w:t>increase the ability of the social assistance system to learn and improve.</w:t>
      </w:r>
    </w:p>
    <w:p w14:paraId="61973DB1" w14:textId="1C476EE0" w:rsidR="001B024C" w:rsidRPr="00F543C1" w:rsidRDefault="001B024C" w:rsidP="001B024C">
      <w:pPr>
        <w:ind w:left="851"/>
      </w:pPr>
      <w:r w:rsidRPr="00F543C1">
        <w:lastRenderedPageBreak/>
        <w:t xml:space="preserve">Systems thinking is about </w:t>
      </w:r>
      <w:r w:rsidR="00055F3D">
        <w:t xml:space="preserve">the </w:t>
      </w:r>
      <w:r w:rsidR="00DD045A">
        <w:t>ongoing</w:t>
      </w:r>
      <w:r w:rsidR="00DD045A" w:rsidRPr="00F543C1">
        <w:t xml:space="preserve"> </w:t>
      </w:r>
      <w:r w:rsidRPr="00F543C1">
        <w:t xml:space="preserve">examination of operations to determine what improvements are possible and then making any required changes </w:t>
      </w:r>
      <w:r w:rsidRPr="00F543C1">
        <w:fldChar w:fldCharType="begin"/>
      </w:r>
      <w:r w:rsidR="009B0EC4">
        <w:instrText xml:space="preserve"> ADDIN ZOTERO_ITEM CSL_CITATION {"citationID":"2AeunKWl","properties":{"formattedCitation":"(Fry and Wilson 2022b)","plainCitation":"(Fry and Wilson 2022b)","noteIndex":0},"citationItems":[{"id":16043,"uris":["http://zotero.org/groups/4623831/items/LYYU544M"],"itemData":{"id":16043,"type":"speech","title":"Manaaki Tairāwhiti: a way forward","author":[{"family":"Fry","given":"Julie"},{"family":"Wilson","given":"Peter"}],"issued":{"date-parts":[["2022"]]}}}],"schema":"https://github.com/citation-style-language/schema/raw/master/csl-citation.json"} </w:instrText>
      </w:r>
      <w:r w:rsidRPr="00F543C1">
        <w:fldChar w:fldCharType="separate"/>
      </w:r>
      <w:r w:rsidR="00EA71C7" w:rsidRPr="00EA71C7">
        <w:rPr>
          <w:rFonts w:cs="Calibri"/>
        </w:rPr>
        <w:t>(Fry and Wilson 2022b)</w:t>
      </w:r>
      <w:r w:rsidRPr="00F543C1">
        <w:fldChar w:fldCharType="end"/>
      </w:r>
      <w:r w:rsidRPr="00F543C1">
        <w:t xml:space="preserve">. </w:t>
      </w:r>
    </w:p>
    <w:p w14:paraId="0226A9AA" w14:textId="6B244940" w:rsidR="001B024C" w:rsidRDefault="00EC55EC" w:rsidP="001B024C">
      <w:pPr>
        <w:ind w:left="851"/>
      </w:pPr>
      <w:r>
        <w:t xml:space="preserve">Ongoing </w:t>
      </w:r>
      <w:r w:rsidR="001B024C" w:rsidRPr="00F543C1">
        <w:t>monitor</w:t>
      </w:r>
      <w:r>
        <w:t xml:space="preserve">ing of </w:t>
      </w:r>
      <w:r w:rsidR="001B024C" w:rsidRPr="00F543C1">
        <w:t>the systems they operate to identify required changes</w:t>
      </w:r>
      <w:r>
        <w:t xml:space="preserve"> should be something that f</w:t>
      </w:r>
      <w:r w:rsidRPr="00F543C1">
        <w:t>ront</w:t>
      </w:r>
      <w:r>
        <w:t>-</w:t>
      </w:r>
      <w:r w:rsidRPr="00F543C1">
        <w:t xml:space="preserve">line </w:t>
      </w:r>
      <w:r>
        <w:t>staff</w:t>
      </w:r>
      <w:r w:rsidRPr="00F543C1">
        <w:t xml:space="preserve"> should </w:t>
      </w:r>
      <w:r>
        <w:t>be</w:t>
      </w:r>
      <w:r w:rsidRPr="00F543C1">
        <w:t xml:space="preserve"> accountab</w:t>
      </w:r>
      <w:r w:rsidR="00FC5BA4">
        <w:t>le</w:t>
      </w:r>
      <w:r w:rsidRPr="00F543C1">
        <w:t xml:space="preserve"> </w:t>
      </w:r>
      <w:r w:rsidR="00FC5BA4">
        <w:t>for to their employers</w:t>
      </w:r>
      <w:r w:rsidR="001B024C" w:rsidRPr="00F543C1">
        <w:t xml:space="preserve">. Those employers (including supervisors, managers, </w:t>
      </w:r>
      <w:proofErr w:type="gramStart"/>
      <w:r w:rsidR="001B024C" w:rsidRPr="00F543C1">
        <w:t>executives</w:t>
      </w:r>
      <w:proofErr w:type="gramEnd"/>
      <w:r w:rsidR="001B024C" w:rsidRPr="00F543C1">
        <w:t xml:space="preserve"> and Ministers) should be accountable for </w:t>
      </w:r>
      <w:r w:rsidR="002D1250">
        <w:t>undertaking an active program</w:t>
      </w:r>
      <w:r w:rsidR="00D46BC5">
        <w:t>me</w:t>
      </w:r>
      <w:r w:rsidR="002D1250">
        <w:t xml:space="preserve"> of research and policy analysis that is continually seeking improvements.</w:t>
      </w:r>
      <w:r w:rsidR="002472E9" w:rsidRPr="002472E9">
        <w:rPr>
          <w:lang w:val="en-US"/>
        </w:rPr>
        <w:t xml:space="preserve"> </w:t>
      </w:r>
      <w:r w:rsidR="002472E9">
        <w:rPr>
          <w:lang w:val="en-US"/>
        </w:rPr>
        <w:t xml:space="preserve">Under the existing accountability system in New Zealand, systems-level challenges are often identified by front-line workers, but they rarely lead to systems change, as we discussed in the case study on Manaaki </w:t>
      </w:r>
      <w:proofErr w:type="spellStart"/>
      <w:r w:rsidR="002472E9">
        <w:rPr>
          <w:lang w:val="en-US"/>
        </w:rPr>
        <w:t>Tairāwhiti</w:t>
      </w:r>
      <w:proofErr w:type="spellEnd"/>
      <w:r w:rsidR="002472E9">
        <w:rPr>
          <w:lang w:val="en-US"/>
        </w:rPr>
        <w:t xml:space="preserve"> and the South Auckland </w:t>
      </w:r>
      <w:r w:rsidR="002D5A06">
        <w:rPr>
          <w:lang w:val="en-US"/>
        </w:rPr>
        <w:t>S</w:t>
      </w:r>
      <w:r w:rsidR="002472E9">
        <w:rPr>
          <w:lang w:val="en-US"/>
        </w:rPr>
        <w:t>ocial Wel</w:t>
      </w:r>
      <w:r w:rsidR="002D5A06">
        <w:rPr>
          <w:lang w:val="en-US"/>
        </w:rPr>
        <w:t>lbeing</w:t>
      </w:r>
      <w:r w:rsidR="002472E9">
        <w:rPr>
          <w:lang w:val="en-US"/>
        </w:rPr>
        <w:t xml:space="preserve"> Board in section </w:t>
      </w:r>
      <w:r w:rsidR="002472E9">
        <w:rPr>
          <w:lang w:val="en-US"/>
        </w:rPr>
        <w:fldChar w:fldCharType="begin"/>
      </w:r>
      <w:r w:rsidR="002472E9">
        <w:rPr>
          <w:lang w:val="en-US"/>
        </w:rPr>
        <w:instrText xml:space="preserve"> REF _Ref125976403 \r \h </w:instrText>
      </w:r>
      <w:r w:rsidR="002472E9">
        <w:rPr>
          <w:lang w:val="en-US"/>
        </w:rPr>
      </w:r>
      <w:r w:rsidR="002472E9">
        <w:rPr>
          <w:lang w:val="en-US"/>
        </w:rPr>
        <w:fldChar w:fldCharType="separate"/>
      </w:r>
      <w:r w:rsidR="00E06351">
        <w:rPr>
          <w:lang w:val="en-US"/>
        </w:rPr>
        <w:t>2.5.10</w:t>
      </w:r>
      <w:r w:rsidR="002472E9">
        <w:rPr>
          <w:lang w:val="en-US"/>
        </w:rPr>
        <w:fldChar w:fldCharType="end"/>
      </w:r>
      <w:r w:rsidR="002472E9">
        <w:rPr>
          <w:lang w:val="en-US"/>
        </w:rPr>
        <w:t xml:space="preserve">. The result is multiple </w:t>
      </w:r>
      <w:r w:rsidR="00CB120B">
        <w:rPr>
          <w:lang w:val="en-US"/>
        </w:rPr>
        <w:t>local level</w:t>
      </w:r>
      <w:r w:rsidR="002472E9">
        <w:rPr>
          <w:lang w:val="en-US"/>
        </w:rPr>
        <w:t xml:space="preserve"> ‘workarounds’ are developed, some of which can strain existing accountability regimes as staff test the li</w:t>
      </w:r>
      <w:r w:rsidR="00210821">
        <w:rPr>
          <w:lang w:val="en-US"/>
        </w:rPr>
        <w:t>mi</w:t>
      </w:r>
      <w:r w:rsidR="002472E9">
        <w:rPr>
          <w:lang w:val="en-US"/>
        </w:rPr>
        <w:t xml:space="preserve">ts of their powers. </w:t>
      </w:r>
    </w:p>
    <w:p w14:paraId="3763D9C4" w14:textId="2B1E8924" w:rsidR="00D05C74" w:rsidRDefault="00D05C74" w:rsidP="00D05C74">
      <w:pPr>
        <w:pStyle w:val="USBodyText"/>
      </w:pPr>
      <w:r w:rsidRPr="00F543C1">
        <w:t xml:space="preserve">We see </w:t>
      </w:r>
      <w:r w:rsidR="00031653">
        <w:t>embedded systems thinking</w:t>
      </w:r>
      <w:r w:rsidR="00031653" w:rsidRPr="00F543C1">
        <w:t xml:space="preserve"> </w:t>
      </w:r>
      <w:r w:rsidRPr="00F543C1">
        <w:t>as being achieved as a by-product of the augmented accountability regime that we propose. As well as specifying desired high-level policy objectives, we recommend that Minister</w:t>
      </w:r>
      <w:r w:rsidR="00C44320">
        <w:t>s</w:t>
      </w:r>
      <w:r w:rsidRPr="00F543C1">
        <w:t xml:space="preserve"> would be required to report the activities that they and their advisers have undertaken to improve the system of assistance. An example is found in the requirements in the </w:t>
      </w:r>
      <w:proofErr w:type="spellStart"/>
      <w:r w:rsidRPr="00F543C1">
        <w:t>Pae</w:t>
      </w:r>
      <w:proofErr w:type="spellEnd"/>
      <w:r w:rsidRPr="00F543C1">
        <w:t xml:space="preserve"> Ora (Healthy Futures) Act for the </w:t>
      </w:r>
      <w:r w:rsidR="00983D2B">
        <w:t>M</w:t>
      </w:r>
      <w:r w:rsidR="00983D2B" w:rsidRPr="00F543C1">
        <w:t xml:space="preserve">inister </w:t>
      </w:r>
      <w:r w:rsidRPr="00F543C1">
        <w:t>to prepare a series of health strategies</w:t>
      </w:r>
      <w:r w:rsidR="00A849D9">
        <w:t>: see</w:t>
      </w:r>
      <w:r w:rsidR="00062596">
        <w:t xml:space="preserve"> </w:t>
      </w:r>
      <w:r w:rsidR="00501AF6">
        <w:fldChar w:fldCharType="begin"/>
      </w:r>
      <w:r w:rsidR="00501AF6">
        <w:instrText xml:space="preserve"> REF Box8 \r \h </w:instrText>
      </w:r>
      <w:r w:rsidR="00501AF6">
        <w:fldChar w:fldCharType="separate"/>
      </w:r>
      <w:r w:rsidR="00E06351">
        <w:t>Box 8</w:t>
      </w:r>
      <w:r w:rsidR="00501AF6">
        <w:fldChar w:fldCharType="end"/>
      </w:r>
      <w:r w:rsidR="00501AF6">
        <w:t>.</w:t>
      </w:r>
      <w:r w:rsidR="00501AF6">
        <w:fldChar w:fldCharType="begin"/>
      </w:r>
      <w:r w:rsidR="00501AF6">
        <w:instrText xml:space="preserve"> PAGEREF Box8 \h </w:instrText>
      </w:r>
      <w:r w:rsidR="00501AF6">
        <w:fldChar w:fldCharType="separate"/>
      </w:r>
      <w:r w:rsidR="00E06351">
        <w:rPr>
          <w:noProof/>
        </w:rPr>
        <w:t>107</w:t>
      </w:r>
      <w:r w:rsidR="00501AF6">
        <w:fldChar w:fldCharType="end"/>
      </w:r>
    </w:p>
    <w:p w14:paraId="0599844C" w14:textId="77777777" w:rsidR="006A4998" w:rsidRPr="00F543C1" w:rsidRDefault="006A4998" w:rsidP="00D05C74">
      <w:pPr>
        <w:pStyle w:val="USBodyText"/>
      </w:pPr>
    </w:p>
    <w:tbl>
      <w:tblPr>
        <w:tblStyle w:val="TableDefault"/>
        <w:tblW w:w="8080" w:type="dxa"/>
        <w:tblBorders>
          <w:top w:val="none" w:sz="0" w:space="0" w:color="auto"/>
          <w:bottom w:val="none" w:sz="0" w:space="0" w:color="auto"/>
          <w:insideH w:val="none" w:sz="0" w:space="0" w:color="auto"/>
        </w:tblBorders>
        <w:shd w:val="clear" w:color="auto" w:fill="C0EFFF" w:themeFill="accent1" w:themeFillTint="33"/>
        <w:tblLook w:val="04A0" w:firstRow="1" w:lastRow="0" w:firstColumn="1" w:lastColumn="0" w:noHBand="0" w:noVBand="1"/>
      </w:tblPr>
      <w:tblGrid>
        <w:gridCol w:w="8080"/>
      </w:tblGrid>
      <w:tr w:rsidR="00D05C74" w:rsidRPr="00F543C1" w14:paraId="02E67DEC" w14:textId="77777777" w:rsidTr="00325E5A">
        <w:trPr>
          <w:cnfStyle w:val="100000000000" w:firstRow="1" w:lastRow="0" w:firstColumn="0" w:lastColumn="0" w:oddVBand="0" w:evenVBand="0" w:oddHBand="0" w:evenHBand="0" w:firstRowFirstColumn="0" w:firstRowLastColumn="0" w:lastRowFirstColumn="0" w:lastRowLastColumn="0"/>
        </w:trPr>
        <w:tc>
          <w:tcPr>
            <w:tcW w:w="0" w:type="dxa"/>
            <w:shd w:val="clear" w:color="auto" w:fill="C0EFFF" w:themeFill="accent1" w:themeFillTint="33"/>
          </w:tcPr>
          <w:p w14:paraId="455F5F06" w14:textId="79EE29F0" w:rsidR="00802BBD" w:rsidRPr="00C63FD8" w:rsidRDefault="00A856F8" w:rsidP="00501AF6">
            <w:pPr>
              <w:pStyle w:val="Box2"/>
            </w:pPr>
            <w:bookmarkStart w:id="281" w:name="Box8"/>
            <w:bookmarkStart w:id="282" w:name="_Toc126092159"/>
            <w:bookmarkStart w:id="283" w:name="_Toc126841259"/>
            <w:bookmarkStart w:id="284" w:name="Box9"/>
            <w:bookmarkEnd w:id="281"/>
            <w:r w:rsidRPr="00C63FD8">
              <w:t xml:space="preserve">Section 41 of the </w:t>
            </w:r>
            <w:proofErr w:type="spellStart"/>
            <w:r w:rsidR="002472E9" w:rsidRPr="00C63FD8">
              <w:t>Pae</w:t>
            </w:r>
            <w:proofErr w:type="spellEnd"/>
            <w:r w:rsidR="002472E9" w:rsidRPr="00C63FD8">
              <w:t xml:space="preserve"> Ora (Healthy Futures) Act</w:t>
            </w:r>
            <w:bookmarkEnd w:id="282"/>
            <w:bookmarkEnd w:id="283"/>
            <w:r w:rsidR="002472E9" w:rsidRPr="00C63FD8">
              <w:t xml:space="preserve"> </w:t>
            </w:r>
          </w:p>
          <w:bookmarkEnd w:id="284"/>
          <w:p w14:paraId="4524C9C7" w14:textId="77777777" w:rsidR="00325E5A" w:rsidRPr="00852078" w:rsidRDefault="00756C8C" w:rsidP="00852078">
            <w:pPr>
              <w:pStyle w:val="USBodyText"/>
              <w:spacing w:line="240" w:lineRule="auto"/>
              <w:ind w:left="0"/>
              <w:rPr>
                <w:sz w:val="18"/>
                <w:szCs w:val="18"/>
              </w:rPr>
            </w:pPr>
            <w:r w:rsidRPr="00852078">
              <w:rPr>
                <w:sz w:val="18"/>
                <w:szCs w:val="18"/>
              </w:rPr>
              <w:t>This section of the Act reads as follows:</w:t>
            </w:r>
            <w:r w:rsidR="004B72DC" w:rsidRPr="00852078">
              <w:rPr>
                <w:sz w:val="18"/>
                <w:szCs w:val="18"/>
              </w:rPr>
              <w:t xml:space="preserve"> </w:t>
            </w:r>
          </w:p>
          <w:p w14:paraId="0CA5FCE3" w14:textId="1996B184" w:rsidR="00D05C74" w:rsidRPr="00852078" w:rsidRDefault="00D05C74" w:rsidP="00852078">
            <w:pPr>
              <w:pStyle w:val="USBodyText"/>
              <w:spacing w:line="240" w:lineRule="auto"/>
              <w:ind w:left="0"/>
              <w:rPr>
                <w:b/>
                <w:bCs/>
                <w:sz w:val="18"/>
                <w:szCs w:val="18"/>
              </w:rPr>
            </w:pPr>
            <w:r w:rsidRPr="00852078">
              <w:rPr>
                <w:b/>
                <w:bCs/>
                <w:sz w:val="18"/>
                <w:szCs w:val="18"/>
              </w:rPr>
              <w:t>Section 41 New Zealand Health Strategy</w:t>
            </w:r>
          </w:p>
          <w:p w14:paraId="56E34B48" w14:textId="77777777" w:rsidR="00D05C74" w:rsidRPr="00852078" w:rsidRDefault="00D05C74" w:rsidP="00852078">
            <w:pPr>
              <w:pStyle w:val="USBodyText"/>
              <w:spacing w:line="240" w:lineRule="auto"/>
              <w:ind w:left="0"/>
              <w:rPr>
                <w:sz w:val="18"/>
                <w:szCs w:val="18"/>
              </w:rPr>
            </w:pPr>
            <w:r w:rsidRPr="00852078">
              <w:rPr>
                <w:sz w:val="18"/>
                <w:szCs w:val="18"/>
              </w:rPr>
              <w:t>The New Zealand Health Strategy must—</w:t>
            </w:r>
          </w:p>
          <w:p w14:paraId="68CBF98C" w14:textId="77777777" w:rsidR="00D05C74" w:rsidRPr="00852078" w:rsidRDefault="00D05C74" w:rsidP="00852078">
            <w:pPr>
              <w:pStyle w:val="USBodyText"/>
              <w:numPr>
                <w:ilvl w:val="0"/>
                <w:numId w:val="14"/>
              </w:numPr>
              <w:spacing w:line="240" w:lineRule="auto"/>
              <w:rPr>
                <w:sz w:val="18"/>
                <w:szCs w:val="18"/>
              </w:rPr>
            </w:pPr>
            <w:r w:rsidRPr="00852078">
              <w:rPr>
                <w:sz w:val="18"/>
                <w:szCs w:val="18"/>
              </w:rPr>
              <w:t>contain an assessment of the current state of health outcomes and health sector performance; and</w:t>
            </w:r>
          </w:p>
          <w:p w14:paraId="74315B61" w14:textId="77777777" w:rsidR="00D05C74" w:rsidRPr="00852078" w:rsidRDefault="00D05C74" w:rsidP="00852078">
            <w:pPr>
              <w:pStyle w:val="USBodyText"/>
              <w:numPr>
                <w:ilvl w:val="0"/>
                <w:numId w:val="14"/>
              </w:numPr>
              <w:spacing w:line="240" w:lineRule="auto"/>
              <w:rPr>
                <w:sz w:val="18"/>
                <w:szCs w:val="18"/>
              </w:rPr>
            </w:pPr>
            <w:r w:rsidRPr="00852078">
              <w:rPr>
                <w:sz w:val="18"/>
                <w:szCs w:val="18"/>
              </w:rPr>
              <w:t>contain an assessment of the medium and long-term trends and risks that will affect health outcomes and health sector performance in the next 5 to 10 years; and</w:t>
            </w:r>
          </w:p>
          <w:p w14:paraId="248B8B2E" w14:textId="77777777" w:rsidR="00D05C74" w:rsidRPr="00852078" w:rsidRDefault="00D05C74" w:rsidP="00852078">
            <w:pPr>
              <w:pStyle w:val="USBodyText"/>
              <w:numPr>
                <w:ilvl w:val="0"/>
                <w:numId w:val="14"/>
              </w:numPr>
              <w:spacing w:line="240" w:lineRule="auto"/>
              <w:rPr>
                <w:sz w:val="18"/>
                <w:szCs w:val="18"/>
              </w:rPr>
            </w:pPr>
            <w:r w:rsidRPr="00852078">
              <w:rPr>
                <w:sz w:val="18"/>
                <w:szCs w:val="18"/>
              </w:rPr>
              <w:t>set out opportunities and priorities for improving the health sector over at least the next 5 to 10 years, including workforce development.</w:t>
            </w:r>
          </w:p>
          <w:p w14:paraId="18672FC4" w14:textId="77777777" w:rsidR="00D05C74" w:rsidRPr="00852078" w:rsidRDefault="00D05C74" w:rsidP="00852078">
            <w:pPr>
              <w:pStyle w:val="USBodyText"/>
              <w:spacing w:line="240" w:lineRule="auto"/>
              <w:ind w:left="0"/>
              <w:rPr>
                <w:b/>
                <w:bCs/>
                <w:sz w:val="18"/>
                <w:szCs w:val="18"/>
              </w:rPr>
            </w:pPr>
            <w:r w:rsidRPr="00852078">
              <w:rPr>
                <w:b/>
                <w:bCs/>
                <w:sz w:val="18"/>
                <w:szCs w:val="18"/>
              </w:rPr>
              <w:t>Section 48 Review and progress of health strategy</w:t>
            </w:r>
          </w:p>
          <w:p w14:paraId="49A033B1" w14:textId="77777777" w:rsidR="00D05C74" w:rsidRPr="00852078" w:rsidRDefault="00D05C74" w:rsidP="00852078">
            <w:pPr>
              <w:pStyle w:val="USBodyText"/>
              <w:spacing w:line="240" w:lineRule="auto"/>
              <w:ind w:left="0"/>
              <w:rPr>
                <w:sz w:val="18"/>
                <w:szCs w:val="18"/>
              </w:rPr>
            </w:pPr>
            <w:r w:rsidRPr="00852078">
              <w:rPr>
                <w:sz w:val="18"/>
                <w:szCs w:val="18"/>
              </w:rPr>
              <w:t>The Minister must—</w:t>
            </w:r>
          </w:p>
          <w:p w14:paraId="21EBDDB3" w14:textId="77777777" w:rsidR="00D05C74" w:rsidRPr="00852078" w:rsidRDefault="00D05C74" w:rsidP="00852078">
            <w:pPr>
              <w:pStyle w:val="USBodyText"/>
              <w:numPr>
                <w:ilvl w:val="0"/>
                <w:numId w:val="13"/>
              </w:numPr>
              <w:spacing w:line="240" w:lineRule="auto"/>
              <w:rPr>
                <w:sz w:val="18"/>
                <w:szCs w:val="18"/>
              </w:rPr>
            </w:pPr>
            <w:r w:rsidRPr="00852078">
              <w:rPr>
                <w:sz w:val="18"/>
                <w:szCs w:val="18"/>
              </w:rPr>
              <w:t>regularly monitor and review all health strategies; and</w:t>
            </w:r>
          </w:p>
          <w:p w14:paraId="70A4F20B" w14:textId="77777777" w:rsidR="00D05C74" w:rsidRPr="00F543C1" w:rsidRDefault="00D05C74" w:rsidP="00852078">
            <w:pPr>
              <w:pStyle w:val="USBodyText"/>
              <w:numPr>
                <w:ilvl w:val="0"/>
                <w:numId w:val="13"/>
              </w:numPr>
              <w:spacing w:line="240" w:lineRule="auto"/>
            </w:pPr>
            <w:r w:rsidRPr="00852078">
              <w:rPr>
                <w:sz w:val="18"/>
                <w:szCs w:val="18"/>
              </w:rPr>
              <w:t>assess how the health sector has performed against the health strategies.</w:t>
            </w:r>
          </w:p>
        </w:tc>
      </w:tr>
    </w:tbl>
    <w:p w14:paraId="5F7965D4" w14:textId="77777777" w:rsidR="00D05C74" w:rsidRPr="00F543C1" w:rsidRDefault="00D05C74" w:rsidP="00D05C74">
      <w:pPr>
        <w:pStyle w:val="USBodyText"/>
      </w:pPr>
    </w:p>
    <w:p w14:paraId="66569427" w14:textId="77777777" w:rsidR="007910C1" w:rsidRDefault="00D05C74" w:rsidP="00FA5578">
      <w:pPr>
        <w:pStyle w:val="USBodyText"/>
      </w:pPr>
      <w:r w:rsidRPr="00F543C1">
        <w:t>In the regime we recommend, Ministers would be required to state the opportunities for improvement that are available and report progress on the work they have commissioned to investigate their possible implementation.</w:t>
      </w:r>
    </w:p>
    <w:p w14:paraId="576603D7" w14:textId="77777777" w:rsidR="007910C1" w:rsidRDefault="007910C1">
      <w:pPr>
        <w:spacing w:after="160" w:line="259" w:lineRule="auto"/>
      </w:pPr>
      <w:r>
        <w:br w:type="page"/>
      </w:r>
    </w:p>
    <w:p w14:paraId="11D3F019" w14:textId="77777777" w:rsidR="00056EAF" w:rsidRPr="00F543C1" w:rsidRDefault="00056EAF" w:rsidP="00056EAF">
      <w:pPr>
        <w:pStyle w:val="Heading1"/>
      </w:pPr>
      <w:bookmarkStart w:id="285" w:name="_Toc126064056"/>
      <w:bookmarkStart w:id="286" w:name="_Toc126064124"/>
      <w:bookmarkStart w:id="287" w:name="_Toc124264481"/>
      <w:bookmarkStart w:id="288" w:name="_Toc124264628"/>
      <w:bookmarkStart w:id="289" w:name="_Toc124511828"/>
      <w:bookmarkStart w:id="290" w:name="_Toc124511963"/>
      <w:bookmarkStart w:id="291" w:name="_Toc124512048"/>
      <w:bookmarkStart w:id="292" w:name="_Toc124849934"/>
      <w:bookmarkStart w:id="293" w:name="_Toc124849935"/>
      <w:bookmarkStart w:id="294" w:name="_Toc124849936"/>
      <w:bookmarkStart w:id="295" w:name="_Toc124849937"/>
      <w:bookmarkStart w:id="296" w:name="_Toc124849938"/>
      <w:bookmarkStart w:id="297" w:name="_Toc124849939"/>
      <w:bookmarkStart w:id="298" w:name="_Toc124849940"/>
      <w:bookmarkStart w:id="299" w:name="_Toc124849941"/>
      <w:bookmarkStart w:id="300" w:name="_Toc124849942"/>
      <w:bookmarkStart w:id="301" w:name="_Toc124849943"/>
      <w:bookmarkStart w:id="302" w:name="_Toc124849944"/>
      <w:bookmarkStart w:id="303" w:name="_Toc124849945"/>
      <w:bookmarkStart w:id="304" w:name="_Toc124849946"/>
      <w:bookmarkStart w:id="305" w:name="_Toc124849947"/>
      <w:bookmarkStart w:id="306" w:name="_Toc124849948"/>
      <w:bookmarkStart w:id="307" w:name="_Toc124849949"/>
      <w:bookmarkStart w:id="308" w:name="_Toc124849950"/>
      <w:bookmarkStart w:id="309" w:name="_Toc124849951"/>
      <w:bookmarkStart w:id="310" w:name="_Toc124849952"/>
      <w:bookmarkStart w:id="311" w:name="_Toc124849953"/>
      <w:bookmarkStart w:id="312" w:name="_Toc124849954"/>
      <w:bookmarkStart w:id="313" w:name="_Toc124849955"/>
      <w:bookmarkStart w:id="314" w:name="_Toc124849956"/>
      <w:bookmarkStart w:id="315" w:name="_Toc124849957"/>
      <w:bookmarkStart w:id="316" w:name="_Toc124849958"/>
      <w:bookmarkStart w:id="317" w:name="_Toc124849959"/>
      <w:bookmarkStart w:id="318" w:name="_Toc124849960"/>
      <w:bookmarkStart w:id="319" w:name="_Toc124849961"/>
      <w:bookmarkStart w:id="320" w:name="_Toc124849962"/>
      <w:bookmarkStart w:id="321" w:name="_Toc124849963"/>
      <w:bookmarkStart w:id="322" w:name="_Toc124849964"/>
      <w:bookmarkStart w:id="323" w:name="_Toc124849965"/>
      <w:bookmarkStart w:id="324" w:name="_Toc124849966"/>
      <w:bookmarkStart w:id="325" w:name="_Toc124849967"/>
      <w:bookmarkStart w:id="326" w:name="_Toc124849968"/>
      <w:bookmarkStart w:id="327" w:name="_Toc124849969"/>
      <w:bookmarkStart w:id="328" w:name="_Toc124849970"/>
      <w:bookmarkStart w:id="329" w:name="_Toc124849971"/>
      <w:bookmarkStart w:id="330" w:name="_Toc124849972"/>
      <w:bookmarkStart w:id="331" w:name="_Toc124849973"/>
      <w:bookmarkStart w:id="332" w:name="_Toc124849974"/>
      <w:bookmarkStart w:id="333" w:name="_Toc124849975"/>
      <w:bookmarkStart w:id="334" w:name="_Toc124849976"/>
      <w:bookmarkStart w:id="335" w:name="_Toc124849977"/>
      <w:bookmarkStart w:id="336" w:name="_Toc124849978"/>
      <w:bookmarkStart w:id="337" w:name="_Toc124849979"/>
      <w:bookmarkStart w:id="338" w:name="_Toc124849980"/>
      <w:bookmarkStart w:id="339" w:name="_Toc124849981"/>
      <w:bookmarkStart w:id="340" w:name="_Toc124849982"/>
      <w:bookmarkStart w:id="341" w:name="_Toc124849983"/>
      <w:bookmarkStart w:id="342" w:name="_Toc124849984"/>
      <w:bookmarkStart w:id="343" w:name="_Toc124849985"/>
      <w:bookmarkStart w:id="344" w:name="_Toc124849986"/>
      <w:bookmarkStart w:id="345" w:name="_Toc124849987"/>
      <w:bookmarkStart w:id="346" w:name="_Toc124849988"/>
      <w:bookmarkStart w:id="347" w:name="_Toc124849989"/>
      <w:bookmarkStart w:id="348" w:name="_Toc124849990"/>
      <w:bookmarkStart w:id="349" w:name="_Toc124849991"/>
      <w:bookmarkStart w:id="350" w:name="_Toc124849992"/>
      <w:bookmarkStart w:id="351" w:name="_Toc124849993"/>
      <w:bookmarkStart w:id="352" w:name="_Toc124849994"/>
      <w:bookmarkStart w:id="353" w:name="_Toc124849995"/>
      <w:bookmarkStart w:id="354" w:name="_Toc124849996"/>
      <w:bookmarkStart w:id="355" w:name="_Toc124849997"/>
      <w:bookmarkStart w:id="356" w:name="_Toc124849998"/>
      <w:bookmarkStart w:id="357" w:name="_Toc124849999"/>
      <w:bookmarkStart w:id="358" w:name="_Toc124850000"/>
      <w:bookmarkStart w:id="359" w:name="_Toc124850001"/>
      <w:bookmarkStart w:id="360" w:name="_Toc124850002"/>
      <w:bookmarkStart w:id="361" w:name="_Toc124850003"/>
      <w:bookmarkStart w:id="362" w:name="_Toc124850004"/>
      <w:bookmarkStart w:id="363" w:name="_Toc124850005"/>
      <w:bookmarkStart w:id="364" w:name="_Toc124850006"/>
      <w:bookmarkStart w:id="365" w:name="_Toc124850007"/>
      <w:bookmarkStart w:id="366" w:name="_Toc124850008"/>
      <w:bookmarkStart w:id="367" w:name="_Toc124850009"/>
      <w:bookmarkStart w:id="368" w:name="_Toc124850010"/>
      <w:bookmarkStart w:id="369" w:name="_Toc124850011"/>
      <w:bookmarkStart w:id="370" w:name="_Toc124850012"/>
      <w:bookmarkStart w:id="371" w:name="_Toc124850013"/>
      <w:bookmarkStart w:id="372" w:name="_Toc124850014"/>
      <w:bookmarkStart w:id="373" w:name="_Toc124850015"/>
      <w:bookmarkStart w:id="374" w:name="_Toc124850016"/>
      <w:bookmarkStart w:id="375" w:name="_Toc124850017"/>
      <w:bookmarkStart w:id="376" w:name="_Toc124850018"/>
      <w:bookmarkStart w:id="377" w:name="_Toc124850019"/>
      <w:bookmarkStart w:id="378" w:name="_Toc124850020"/>
      <w:bookmarkStart w:id="379" w:name="_Toc124850021"/>
      <w:bookmarkStart w:id="380" w:name="_Toc124850022"/>
      <w:bookmarkStart w:id="381" w:name="_Toc124850023"/>
      <w:bookmarkStart w:id="382" w:name="_Toc124850024"/>
      <w:bookmarkStart w:id="383" w:name="_Toc124850025"/>
      <w:bookmarkStart w:id="384" w:name="_Toc124850026"/>
      <w:bookmarkStart w:id="385" w:name="_Toc124850027"/>
      <w:bookmarkStart w:id="386" w:name="_Toc124850028"/>
      <w:bookmarkStart w:id="387" w:name="_Toc124850029"/>
      <w:bookmarkStart w:id="388" w:name="_Toc124850030"/>
      <w:bookmarkStart w:id="389" w:name="_Toc118228054"/>
      <w:bookmarkStart w:id="390" w:name="_Toc118228129"/>
      <w:bookmarkStart w:id="391" w:name="_Toc118228055"/>
      <w:bookmarkStart w:id="392" w:name="_Toc118228130"/>
      <w:bookmarkStart w:id="393" w:name="_Toc118228056"/>
      <w:bookmarkStart w:id="394" w:name="_Toc118228131"/>
      <w:bookmarkStart w:id="395" w:name="_Toc118228057"/>
      <w:bookmarkStart w:id="396" w:name="_Toc118228132"/>
      <w:bookmarkStart w:id="397" w:name="_Toc118228058"/>
      <w:bookmarkStart w:id="398" w:name="_Toc118228133"/>
      <w:bookmarkStart w:id="399" w:name="_Toc124850031"/>
      <w:bookmarkStart w:id="400" w:name="_Toc124850032"/>
      <w:bookmarkStart w:id="401" w:name="_Toc124850033"/>
      <w:bookmarkStart w:id="402" w:name="_Toc124850034"/>
      <w:bookmarkStart w:id="403" w:name="_Toc124850035"/>
      <w:bookmarkStart w:id="404" w:name="_Toc124850036"/>
      <w:bookmarkStart w:id="405" w:name="_Toc118228062"/>
      <w:bookmarkStart w:id="406" w:name="_Toc118228137"/>
      <w:bookmarkStart w:id="407" w:name="_Toc118228063"/>
      <w:bookmarkStart w:id="408" w:name="_Toc118228138"/>
      <w:bookmarkStart w:id="409" w:name="_Toc118228064"/>
      <w:bookmarkStart w:id="410" w:name="_Toc118228139"/>
      <w:bookmarkStart w:id="411" w:name="_Toc118228065"/>
      <w:bookmarkStart w:id="412" w:name="_Toc118228140"/>
      <w:bookmarkStart w:id="413" w:name="_Toc118228066"/>
      <w:bookmarkStart w:id="414" w:name="_Toc118228141"/>
      <w:bookmarkStart w:id="415" w:name="_Toc118228067"/>
      <w:bookmarkStart w:id="416" w:name="_Toc118228142"/>
      <w:bookmarkStart w:id="417" w:name="_Toc118228068"/>
      <w:bookmarkStart w:id="418" w:name="_Toc118228143"/>
      <w:bookmarkStart w:id="419" w:name="_Toc118228069"/>
      <w:bookmarkStart w:id="420" w:name="_Toc118228144"/>
      <w:bookmarkStart w:id="421" w:name="_Toc118228070"/>
      <w:bookmarkStart w:id="422" w:name="_Toc118228145"/>
      <w:bookmarkStart w:id="423" w:name="_Toc118228071"/>
      <w:bookmarkStart w:id="424" w:name="_Toc118228146"/>
      <w:bookmarkStart w:id="425" w:name="_Toc118228072"/>
      <w:bookmarkStart w:id="426" w:name="_Toc118228147"/>
      <w:bookmarkStart w:id="427" w:name="_Toc118228073"/>
      <w:bookmarkStart w:id="428" w:name="_Toc118228148"/>
      <w:bookmarkStart w:id="429" w:name="_Toc118228074"/>
      <w:bookmarkStart w:id="430" w:name="_Toc118228149"/>
      <w:bookmarkStart w:id="431" w:name="_Toc118228075"/>
      <w:bookmarkStart w:id="432" w:name="_Toc118228150"/>
      <w:bookmarkStart w:id="433" w:name="_Toc118228076"/>
      <w:bookmarkStart w:id="434" w:name="_Toc118228151"/>
      <w:bookmarkStart w:id="435" w:name="_Toc118228077"/>
      <w:bookmarkStart w:id="436" w:name="_Toc118228152"/>
      <w:bookmarkStart w:id="437" w:name="_Toc118228078"/>
      <w:bookmarkStart w:id="438" w:name="_Toc118228153"/>
      <w:bookmarkStart w:id="439" w:name="_Toc118228079"/>
      <w:bookmarkStart w:id="440" w:name="_Toc118228154"/>
      <w:bookmarkStart w:id="441" w:name="_Toc118228080"/>
      <w:bookmarkStart w:id="442" w:name="_Toc118228155"/>
      <w:bookmarkStart w:id="443" w:name="_Toc118228081"/>
      <w:bookmarkStart w:id="444" w:name="_Toc118228156"/>
      <w:bookmarkStart w:id="445" w:name="_Toc118228082"/>
      <w:bookmarkStart w:id="446" w:name="_Toc118228157"/>
      <w:bookmarkStart w:id="447" w:name="_Toc118228083"/>
      <w:bookmarkStart w:id="448" w:name="_Toc118228158"/>
      <w:bookmarkStart w:id="449" w:name="_Toc118228084"/>
      <w:bookmarkStart w:id="450" w:name="_Toc118228159"/>
      <w:bookmarkStart w:id="451" w:name="_Toc118228085"/>
      <w:bookmarkStart w:id="452" w:name="_Toc118228160"/>
      <w:bookmarkStart w:id="453" w:name="_Toc118228086"/>
      <w:bookmarkStart w:id="454" w:name="_Toc118228161"/>
      <w:bookmarkStart w:id="455" w:name="_Toc118228087"/>
      <w:bookmarkStart w:id="456" w:name="_Toc118228162"/>
      <w:bookmarkStart w:id="457" w:name="_Toc124850037"/>
      <w:bookmarkStart w:id="458" w:name="_Toc124850038"/>
      <w:bookmarkStart w:id="459" w:name="_Toc124850039"/>
      <w:bookmarkStart w:id="460" w:name="_Toc124850040"/>
      <w:bookmarkStart w:id="461" w:name="_Toc124850041"/>
      <w:bookmarkStart w:id="462" w:name="_Toc124850042"/>
      <w:bookmarkStart w:id="463" w:name="_Toc124850043"/>
      <w:bookmarkStart w:id="464" w:name="_Toc124850044"/>
      <w:bookmarkStart w:id="465" w:name="_Toc124850045"/>
      <w:bookmarkStart w:id="466" w:name="_Toc124850046"/>
      <w:bookmarkStart w:id="467" w:name="_Toc124850047"/>
      <w:bookmarkStart w:id="468" w:name="_Toc124850048"/>
      <w:bookmarkStart w:id="469" w:name="_Toc124850049"/>
      <w:bookmarkStart w:id="470" w:name="_Toc124264500"/>
      <w:bookmarkStart w:id="471" w:name="_Toc124264647"/>
      <w:bookmarkStart w:id="472" w:name="_Toc124264501"/>
      <w:bookmarkStart w:id="473" w:name="_Toc124264648"/>
      <w:bookmarkStart w:id="474" w:name="_Toc124264502"/>
      <w:bookmarkStart w:id="475" w:name="_Toc124264649"/>
      <w:bookmarkStart w:id="476" w:name="_Toc124264503"/>
      <w:bookmarkStart w:id="477" w:name="_Toc124264650"/>
      <w:bookmarkStart w:id="478" w:name="_Toc124264504"/>
      <w:bookmarkStart w:id="479" w:name="_Toc124264651"/>
      <w:bookmarkStart w:id="480" w:name="_Toc124264505"/>
      <w:bookmarkStart w:id="481" w:name="_Toc124264652"/>
      <w:bookmarkStart w:id="482" w:name="_Toc124264506"/>
      <w:bookmarkStart w:id="483" w:name="_Toc124264653"/>
      <w:bookmarkStart w:id="484" w:name="_Toc124264507"/>
      <w:bookmarkStart w:id="485" w:name="_Toc124264654"/>
      <w:bookmarkStart w:id="486" w:name="_Toc124264508"/>
      <w:bookmarkStart w:id="487" w:name="_Toc124264655"/>
      <w:bookmarkStart w:id="488" w:name="_Toc124264509"/>
      <w:bookmarkStart w:id="489" w:name="_Toc124264656"/>
      <w:bookmarkStart w:id="490" w:name="_Toc124264510"/>
      <w:bookmarkStart w:id="491" w:name="_Toc124264657"/>
      <w:bookmarkStart w:id="492" w:name="_Toc124264541"/>
      <w:bookmarkStart w:id="493" w:name="_Toc124264688"/>
      <w:bookmarkStart w:id="494" w:name="_Toc124264542"/>
      <w:bookmarkStart w:id="495" w:name="_Toc124264689"/>
      <w:bookmarkStart w:id="496" w:name="_Toc124264543"/>
      <w:bookmarkStart w:id="497" w:name="_Toc124264690"/>
      <w:bookmarkStart w:id="498" w:name="_Toc124264544"/>
      <w:bookmarkStart w:id="499" w:name="_Toc124264691"/>
      <w:bookmarkStart w:id="500" w:name="_Toc124264545"/>
      <w:bookmarkStart w:id="501" w:name="_Toc124264692"/>
      <w:bookmarkStart w:id="502" w:name="_Toc124264546"/>
      <w:bookmarkStart w:id="503" w:name="_Toc124264693"/>
      <w:bookmarkStart w:id="504" w:name="_Toc124511842"/>
      <w:bookmarkStart w:id="505" w:name="_Toc124850050"/>
      <w:bookmarkStart w:id="506" w:name="_Toc124850051"/>
      <w:bookmarkStart w:id="507" w:name="_Toc124850052"/>
      <w:bookmarkStart w:id="508" w:name="_Toc124850053"/>
      <w:bookmarkStart w:id="509" w:name="_Toc124850054"/>
      <w:bookmarkStart w:id="510" w:name="_Toc124850055"/>
      <w:bookmarkStart w:id="511" w:name="_Toc124850056"/>
      <w:bookmarkStart w:id="512" w:name="_Toc124850057"/>
      <w:bookmarkStart w:id="513" w:name="_Toc124850058"/>
      <w:bookmarkStart w:id="514" w:name="_Toc124850059"/>
      <w:bookmarkStart w:id="515" w:name="_Toc124850060"/>
      <w:bookmarkStart w:id="516" w:name="_Toc124850061"/>
      <w:bookmarkStart w:id="517" w:name="_Toc124850062"/>
      <w:bookmarkStart w:id="518" w:name="_Toc124850063"/>
      <w:bookmarkStart w:id="519" w:name="_Toc124850064"/>
      <w:bookmarkStart w:id="520" w:name="_Toc124850065"/>
      <w:bookmarkStart w:id="521" w:name="_Toc124850066"/>
      <w:bookmarkStart w:id="522" w:name="_Toc124850067"/>
      <w:bookmarkStart w:id="523" w:name="_Toc124850068"/>
      <w:bookmarkStart w:id="524" w:name="_Toc124850069"/>
      <w:bookmarkStart w:id="525" w:name="_Toc124850070"/>
      <w:bookmarkStart w:id="526" w:name="_Toc124850071"/>
      <w:bookmarkStart w:id="527" w:name="_Toc124850072"/>
      <w:bookmarkStart w:id="528" w:name="_Toc124850073"/>
      <w:bookmarkStart w:id="529" w:name="_Toc124850074"/>
      <w:bookmarkStart w:id="530" w:name="_Toc124850075"/>
      <w:bookmarkStart w:id="531" w:name="_Toc124850076"/>
      <w:bookmarkStart w:id="532" w:name="_Toc124850077"/>
      <w:bookmarkStart w:id="533" w:name="_Toc124850078"/>
      <w:bookmarkStart w:id="534" w:name="_Toc124850079"/>
      <w:bookmarkStart w:id="535" w:name="_Toc124850080"/>
      <w:bookmarkStart w:id="536" w:name="_Toc124850081"/>
      <w:bookmarkStart w:id="537" w:name="_Toc124850082"/>
      <w:bookmarkStart w:id="538" w:name="_Toc124850083"/>
      <w:bookmarkStart w:id="539" w:name="_Toc124850084"/>
      <w:bookmarkStart w:id="540" w:name="_Toc124850085"/>
      <w:bookmarkStart w:id="541" w:name="_Toc124850086"/>
      <w:bookmarkStart w:id="542" w:name="_Toc124850087"/>
      <w:bookmarkStart w:id="543" w:name="_Toc124850088"/>
      <w:bookmarkStart w:id="544" w:name="_Toc124850089"/>
      <w:bookmarkStart w:id="545" w:name="_Toc124850090"/>
      <w:bookmarkStart w:id="546" w:name="_Toc124850091"/>
      <w:bookmarkStart w:id="547" w:name="_Toc124850092"/>
      <w:bookmarkStart w:id="548" w:name="_Toc124850093"/>
      <w:bookmarkStart w:id="549" w:name="_Toc124850094"/>
      <w:bookmarkStart w:id="550" w:name="_Toc124850095"/>
      <w:bookmarkStart w:id="551" w:name="_Toc124850096"/>
      <w:bookmarkStart w:id="552" w:name="_Toc124850097"/>
      <w:bookmarkStart w:id="553" w:name="_Toc124850098"/>
      <w:bookmarkStart w:id="554" w:name="_Toc124850099"/>
      <w:bookmarkStart w:id="555" w:name="_Toc124850100"/>
      <w:bookmarkStart w:id="556" w:name="_Toc124850101"/>
      <w:bookmarkStart w:id="557" w:name="_Toc124850102"/>
      <w:bookmarkStart w:id="558" w:name="_Toc124850103"/>
      <w:bookmarkStart w:id="559" w:name="_Toc124850104"/>
      <w:bookmarkStart w:id="560" w:name="_Toc124850105"/>
      <w:bookmarkStart w:id="561" w:name="_Toc124850106"/>
      <w:bookmarkStart w:id="562" w:name="_Toc124850114"/>
      <w:bookmarkStart w:id="563" w:name="_Toc124850126"/>
      <w:bookmarkStart w:id="564" w:name="_Toc124850127"/>
      <w:bookmarkStart w:id="565" w:name="_Toc124850137"/>
      <w:bookmarkStart w:id="566" w:name="_Toc124850138"/>
      <w:bookmarkStart w:id="567" w:name="_Toc124850139"/>
      <w:bookmarkStart w:id="568" w:name="_Toc124850140"/>
      <w:bookmarkStart w:id="569" w:name="_Toc124850141"/>
      <w:bookmarkStart w:id="570" w:name="_Toc124850142"/>
      <w:bookmarkStart w:id="571" w:name="_Toc124850143"/>
      <w:bookmarkStart w:id="572" w:name="_Toc124850144"/>
      <w:bookmarkStart w:id="573" w:name="_Toc124850145"/>
      <w:bookmarkStart w:id="574" w:name="_Toc124850146"/>
      <w:bookmarkStart w:id="575" w:name="_Toc124850147"/>
      <w:bookmarkStart w:id="576" w:name="_Toc124850148"/>
      <w:bookmarkStart w:id="577" w:name="_Toc124850149"/>
      <w:bookmarkStart w:id="578" w:name="_Toc124850150"/>
      <w:bookmarkStart w:id="579" w:name="_Toc124850151"/>
      <w:bookmarkStart w:id="580" w:name="_Toc124850152"/>
      <w:bookmarkStart w:id="581" w:name="_Toc124850163"/>
      <w:bookmarkStart w:id="582" w:name="_Toc124850164"/>
      <w:bookmarkStart w:id="583" w:name="_Toc124850165"/>
      <w:bookmarkStart w:id="584" w:name="_Toc124850166"/>
      <w:bookmarkStart w:id="585" w:name="_Toc124850167"/>
      <w:bookmarkStart w:id="586" w:name="_Toc124850168"/>
      <w:bookmarkStart w:id="587" w:name="_Toc124850169"/>
      <w:bookmarkStart w:id="588" w:name="_Toc124850170"/>
      <w:bookmarkStart w:id="589" w:name="_Toc124850171"/>
      <w:bookmarkStart w:id="590" w:name="_Toc124850172"/>
      <w:bookmarkStart w:id="591" w:name="_Toc124850173"/>
      <w:bookmarkStart w:id="592" w:name="_Toc124850174"/>
      <w:bookmarkStart w:id="593" w:name="_Toc124850175"/>
      <w:bookmarkStart w:id="594" w:name="_Toc124850176"/>
      <w:bookmarkStart w:id="595" w:name="_Toc124850177"/>
      <w:bookmarkStart w:id="596" w:name="_Toc124850178"/>
      <w:bookmarkStart w:id="597" w:name="_Toc124850179"/>
      <w:bookmarkStart w:id="598" w:name="_Toc124850180"/>
      <w:bookmarkStart w:id="599" w:name="_Toc124850181"/>
      <w:bookmarkStart w:id="600" w:name="_Toc124850182"/>
      <w:bookmarkStart w:id="601" w:name="_Toc124850183"/>
      <w:bookmarkStart w:id="602" w:name="_Toc124850184"/>
      <w:bookmarkStart w:id="603" w:name="_Toc124850185"/>
      <w:bookmarkStart w:id="604" w:name="_Toc124850186"/>
      <w:bookmarkStart w:id="605" w:name="_Toc124850187"/>
      <w:bookmarkStart w:id="606" w:name="_Toc124850188"/>
      <w:bookmarkStart w:id="607" w:name="_Toc124850189"/>
      <w:bookmarkStart w:id="608" w:name="_Toc124850234"/>
      <w:bookmarkStart w:id="609" w:name="_Toc124850235"/>
      <w:bookmarkStart w:id="610" w:name="_Toc124850236"/>
      <w:bookmarkStart w:id="611" w:name="_Toc124850237"/>
      <w:bookmarkStart w:id="612" w:name="_Toc124850238"/>
      <w:bookmarkStart w:id="613" w:name="_Toc124850239"/>
      <w:bookmarkStart w:id="614" w:name="_Toc126092150"/>
      <w:bookmarkStart w:id="615" w:name="_Toc126841228"/>
      <w:bookmarkStart w:id="616" w:name="_Hlk124539452"/>
      <w:bookmarkEnd w:id="143"/>
      <w:bookmarkEnd w:id="221"/>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sidRPr="00F543C1">
        <w:lastRenderedPageBreak/>
        <w:t>Being ready for change</w:t>
      </w:r>
      <w:bookmarkEnd w:id="614"/>
      <w:bookmarkEnd w:id="615"/>
    </w:p>
    <w:p w14:paraId="0AAE98F8" w14:textId="1FD251FD" w:rsidR="00056EAF" w:rsidRPr="00F543C1" w:rsidRDefault="00056EAF" w:rsidP="00056EAF">
      <w:pPr>
        <w:ind w:left="851"/>
      </w:pPr>
      <w:r w:rsidRPr="00F543C1">
        <w:t xml:space="preserve">In New Zealand’s version of constitutional democracy, power is highly concentrated in the hands of </w:t>
      </w:r>
      <w:r w:rsidR="00983D2B">
        <w:t xml:space="preserve">the </w:t>
      </w:r>
      <w:r w:rsidRPr="00F543C1">
        <w:t>Cabinet.</w:t>
      </w:r>
    </w:p>
    <w:p w14:paraId="672F2A2C" w14:textId="3AE97298" w:rsidR="00056EAF" w:rsidRPr="00F543C1" w:rsidRDefault="00056EAF" w:rsidP="00056EAF">
      <w:pPr>
        <w:ind w:left="851"/>
      </w:pPr>
      <w:r w:rsidRPr="00F543C1">
        <w:t xml:space="preserve">While we have frequent elections </w:t>
      </w:r>
      <w:r w:rsidR="00983D2B">
        <w:t>with</w:t>
      </w:r>
      <w:r w:rsidRPr="00F543C1">
        <w:t xml:space="preserve"> high integrity </w:t>
      </w:r>
      <w:r w:rsidRPr="00F543C1">
        <w:fldChar w:fldCharType="begin"/>
      </w:r>
      <w:r w:rsidR="009B0EC4">
        <w:instrText xml:space="preserve"> ADDIN ZOTERO_ITEM CSL_CITATION {"citationID":"a1on020jvqm","properties":{"formattedCitation":"(Transparency International New Zealand 2019, 215)","plainCitation":"(Transparency International New Zealand 2019, 215)","noteIndex":0},"citationItems":[{"id":17020,"uris":["http://zotero.org/groups/4801058/items/GN3TY39V"],"itemData":{"id":17020,"type":"report","event-place":"Wellington","publisher":"Transparency International New Zealand","publisher-place":"Wellington","title":"New Zealand National Integrity System Assessment - 2018 update","URL":"https://uploads-ssl.webflow.com/5f3c5d2bb263505e25811876/5fbc02dfece6e60f63d4244b_National-Integrity-System-Assessment-2018-update-full-report.pdf","author":[{"family":"Transparency International New Zealand","given":""}],"issued":{"date-parts":[["2019"]]}},"locator":"215","label":"page"}],"schema":"https://github.com/citation-style-language/schema/raw/master/csl-citation.json"} </w:instrText>
      </w:r>
      <w:r w:rsidRPr="00F543C1">
        <w:fldChar w:fldCharType="separate"/>
      </w:r>
      <w:r w:rsidRPr="00F543C1">
        <w:rPr>
          <w:rFonts w:cs="Calibri"/>
          <w:szCs w:val="24"/>
        </w:rPr>
        <w:t>(Transparency International New Zealand 2019, 215)</w:t>
      </w:r>
      <w:r w:rsidRPr="00F543C1">
        <w:fldChar w:fldCharType="end"/>
      </w:r>
      <w:r w:rsidRPr="00F543C1">
        <w:t>, we have few of the ‘auxiliary precautions’ the founders of the United States thought were required to hold a government in check.</w:t>
      </w:r>
    </w:p>
    <w:p w14:paraId="1771D026" w14:textId="25D56EB7" w:rsidR="00056EAF" w:rsidRPr="00F543C1" w:rsidRDefault="00056EAF" w:rsidP="00056EAF">
      <w:pPr>
        <w:ind w:left="851"/>
      </w:pPr>
      <w:r w:rsidRPr="00F543C1">
        <w:t>Enhancements in accountability are, therefore, a matter for the government of the day, which dominates the legislative branch of government in New Zealand (</w:t>
      </w:r>
      <w:r w:rsidR="00070CBD">
        <w:t>i</w:t>
      </w:r>
      <w:r w:rsidRPr="00F543C1">
        <w:t>bid.</w:t>
      </w:r>
      <w:r w:rsidR="00712F93">
        <w:t>,</w:t>
      </w:r>
      <w:r w:rsidRPr="00F543C1">
        <w:t xml:space="preserve"> 38):</w:t>
      </w:r>
    </w:p>
    <w:p w14:paraId="044B0671" w14:textId="6721F561" w:rsidR="00056EAF" w:rsidRPr="00F543C1" w:rsidRDefault="00056EAF" w:rsidP="00056EAF">
      <w:pPr>
        <w:spacing w:before="120"/>
        <w:ind w:left="1276" w:right="425"/>
        <w:rPr>
          <w:i/>
          <w:color w:val="30353F"/>
        </w:rPr>
      </w:pPr>
      <w:r w:rsidRPr="00F543C1">
        <w:rPr>
          <w:i/>
          <w:color w:val="30353F"/>
        </w:rPr>
        <w:t xml:space="preserve">Political contestation remains the dominant driver of parliamentary outcomes, primarily because this culture is deeply </w:t>
      </w:r>
      <w:r w:rsidR="00070CBD">
        <w:rPr>
          <w:i/>
          <w:color w:val="30353F"/>
        </w:rPr>
        <w:t>e</w:t>
      </w:r>
      <w:r w:rsidRPr="00F543C1">
        <w:rPr>
          <w:i/>
          <w:color w:val="30353F"/>
        </w:rPr>
        <w:t>mbedded in the way Parliament operates.</w:t>
      </w:r>
    </w:p>
    <w:p w14:paraId="4D42DF36" w14:textId="77777777" w:rsidR="00056EAF" w:rsidRPr="00F543C1" w:rsidRDefault="00056EAF" w:rsidP="00056EAF">
      <w:pPr>
        <w:spacing w:before="120"/>
        <w:ind w:left="1276" w:right="425"/>
        <w:rPr>
          <w:i/>
          <w:color w:val="30353F"/>
        </w:rPr>
      </w:pPr>
      <w:r w:rsidRPr="00F543C1">
        <w:rPr>
          <w:i/>
          <w:color w:val="30353F"/>
        </w:rPr>
        <w:t>…</w:t>
      </w:r>
    </w:p>
    <w:p w14:paraId="197A035F" w14:textId="61277141" w:rsidR="00056EAF" w:rsidRPr="00F543C1" w:rsidRDefault="00056EAF" w:rsidP="00056EAF">
      <w:pPr>
        <w:spacing w:before="120"/>
        <w:ind w:left="1276" w:right="425"/>
        <w:rPr>
          <w:iCs/>
          <w:color w:val="30353F"/>
        </w:rPr>
      </w:pPr>
      <w:r w:rsidRPr="00F543C1">
        <w:rPr>
          <w:i/>
          <w:color w:val="30353F"/>
        </w:rPr>
        <w:t xml:space="preserve">A challenge for Parliament is how to maintain sufficient independence to assure the public that its laws are coherent and constitutional, to approve the raising of revenue, and to scrutinise the efficiency and effectiveness of spending and regulation. At present, the parliamentary culture is not strongly supportive of these roles. Improvement would require new attention to the role and status of the Speaker, the control of parliamentary business, and the organisation of select committees. </w:t>
      </w:r>
      <w:r w:rsidRPr="00F543C1">
        <w:rPr>
          <w:iCs/>
          <w:color w:val="30353F"/>
        </w:rPr>
        <w:t>(</w:t>
      </w:r>
      <w:r w:rsidR="00070CBD">
        <w:rPr>
          <w:iCs/>
          <w:color w:val="30353F"/>
        </w:rPr>
        <w:t>i</w:t>
      </w:r>
      <w:r w:rsidRPr="00F543C1">
        <w:rPr>
          <w:iCs/>
          <w:color w:val="30353F"/>
        </w:rPr>
        <w:t>bid.</w:t>
      </w:r>
      <w:r w:rsidR="00712F93">
        <w:rPr>
          <w:iCs/>
          <w:color w:val="30353F"/>
        </w:rPr>
        <w:t>,</w:t>
      </w:r>
      <w:r w:rsidRPr="00F543C1">
        <w:rPr>
          <w:iCs/>
          <w:color w:val="30353F"/>
        </w:rPr>
        <w:t xml:space="preserve"> 76)</w:t>
      </w:r>
    </w:p>
    <w:p w14:paraId="78E00470" w14:textId="1C658B9C" w:rsidR="00056EAF" w:rsidRPr="00F543C1" w:rsidRDefault="00056EAF" w:rsidP="00056EAF">
      <w:pPr>
        <w:ind w:left="851"/>
      </w:pPr>
      <w:bookmarkStart w:id="617" w:name="_Hlk125902753"/>
      <w:r w:rsidRPr="00F543C1">
        <w:t xml:space="preserve">We are realists: any improvements in the system of accountability will only come about in </w:t>
      </w:r>
      <w:r w:rsidR="007E429C">
        <w:t xml:space="preserve">Aotearoa </w:t>
      </w:r>
      <w:r w:rsidRPr="00F543C1">
        <w:t xml:space="preserve">New </w:t>
      </w:r>
      <w:proofErr w:type="gramStart"/>
      <w:r w:rsidRPr="00F543C1">
        <w:t>Zealand</w:t>
      </w:r>
      <w:r w:rsidR="00D84F45">
        <w:t>,</w:t>
      </w:r>
      <w:r w:rsidRPr="00F543C1">
        <w:t xml:space="preserve"> if</w:t>
      </w:r>
      <w:proofErr w:type="gramEnd"/>
      <w:r w:rsidRPr="00F543C1">
        <w:t xml:space="preserve"> a government wants to hold itself</w:t>
      </w:r>
      <w:r w:rsidR="00F307C4">
        <w:t xml:space="preserve"> and</w:t>
      </w:r>
      <w:r w:rsidRPr="00F543C1">
        <w:t xml:space="preserve"> its successors to a higher level of account</w:t>
      </w:r>
      <w:r w:rsidR="00F54E46">
        <w:t>ability</w:t>
      </w:r>
      <w:r w:rsidRPr="00F543C1">
        <w:t xml:space="preserve"> than the status quo. </w:t>
      </w:r>
      <w:bookmarkEnd w:id="617"/>
      <w:r w:rsidRPr="00F543C1">
        <w:t>There have been some examples of this being the case:</w:t>
      </w:r>
    </w:p>
    <w:p w14:paraId="45172DFB" w14:textId="781FEF7E" w:rsidR="00056EAF" w:rsidRPr="00F543C1" w:rsidRDefault="00056EAF" w:rsidP="00056EAF">
      <w:pPr>
        <w:numPr>
          <w:ilvl w:val="0"/>
          <w:numId w:val="1"/>
        </w:numPr>
      </w:pPr>
      <w:r w:rsidRPr="00F543C1">
        <w:t xml:space="preserve">The introduction of ‘caretaker conventions’ regarding the powers of an outgoing government were first stated by the outgoing government after the 1984 election </w:t>
      </w:r>
      <w:r w:rsidRPr="00F543C1">
        <w:fldChar w:fldCharType="begin"/>
      </w:r>
      <w:r w:rsidR="009B0EC4">
        <w:instrText xml:space="preserve"> ADDIN ZOTERO_ITEM CSL_CITATION {"citationID":"a2kgfc09frh","properties":{"formattedCitation":"(McGee 2005, 93)","plainCitation":"(McGee 2005, 93)","noteIndex":0},"citationItems":[{"id":14075,"uris":["http://zotero.org/groups/4623831/items/V2SPBMWX"],"itemData":{"id":14075,"type":"book","call-number":"KUQ2186 .M34 2005","edition":"3rd ed","event-place":"Wellington","ISBN":"978-1-877399-06-0","number-of-pages":"770","publisher":"Dunmore Pub","publisher-place":"Wellington","source":"Library of Congress ISBN","title":"Parliamentary practice in New Zealand","author":[{"family":"McGee","given":"David G."}],"issued":{"date-parts":[["2005"]]}},"locator":"93","label":"page"}],"schema":"https://github.com/citation-style-language/schema/raw/master/csl-citation.json"} </w:instrText>
      </w:r>
      <w:r w:rsidRPr="00F543C1">
        <w:fldChar w:fldCharType="separate"/>
      </w:r>
      <w:r w:rsidRPr="00F543C1">
        <w:rPr>
          <w:rFonts w:cs="Calibri"/>
        </w:rPr>
        <w:t>(McGee 2005, 93)</w:t>
      </w:r>
      <w:r w:rsidRPr="00F543C1">
        <w:fldChar w:fldCharType="end"/>
      </w:r>
      <w:r w:rsidR="001D723B">
        <w:t>.</w:t>
      </w:r>
    </w:p>
    <w:p w14:paraId="254BC23D" w14:textId="049BD9F5" w:rsidR="00056EAF" w:rsidRPr="00F543C1" w:rsidRDefault="00056EAF" w:rsidP="00056EAF">
      <w:pPr>
        <w:numPr>
          <w:ilvl w:val="0"/>
          <w:numId w:val="1"/>
        </w:numPr>
      </w:pPr>
      <w:r w:rsidRPr="00F543C1">
        <w:t>The introduction of the fiscal responsibility provisions of the Public Finance Act, which were first enacted as a stand-alone Fiscal Responsibility Act in 1994</w:t>
      </w:r>
      <w:r w:rsidR="001D723B">
        <w:t>.</w:t>
      </w:r>
    </w:p>
    <w:p w14:paraId="66675FA5" w14:textId="2E93B5D8" w:rsidR="00056EAF" w:rsidRPr="00F543C1" w:rsidRDefault="00056EAF" w:rsidP="00056EAF">
      <w:pPr>
        <w:numPr>
          <w:ilvl w:val="0"/>
          <w:numId w:val="1"/>
        </w:numPr>
      </w:pPr>
      <w:r w:rsidRPr="00F543C1">
        <w:t xml:space="preserve">The ‘Zero Carbon Bill’, where Parliament agreed to the establishment of an independent Climate Commission, which has the role of regularly monitoring and reporting on </w:t>
      </w:r>
      <w:r w:rsidR="00716702">
        <w:t xml:space="preserve">the </w:t>
      </w:r>
      <w:r w:rsidRPr="00F543C1">
        <w:t xml:space="preserve">progress </w:t>
      </w:r>
      <w:r w:rsidR="00716702">
        <w:t xml:space="preserve">of </w:t>
      </w:r>
      <w:r w:rsidRPr="00F543C1">
        <w:t>New Zealand towards meeting an emissions budget and the 2050 emissions target.</w:t>
      </w:r>
    </w:p>
    <w:p w14:paraId="26CD33B4" w14:textId="76AFDFB1" w:rsidR="00056EAF" w:rsidRPr="00F543C1" w:rsidRDefault="00056EAF" w:rsidP="00056EAF">
      <w:pPr>
        <w:ind w:left="851"/>
      </w:pPr>
      <w:r w:rsidRPr="00F543C1">
        <w:t xml:space="preserve">It is telling that two of those examples (the caretaker convention and the Fiscal Responsivity Act) </w:t>
      </w:r>
      <w:r w:rsidR="00716702">
        <w:t>resulted from</w:t>
      </w:r>
      <w:r w:rsidRPr="00F543C1">
        <w:t xml:space="preserve"> political crises, while the third was in response to a climate emergency. It may be, therefore, that improvements to accountability surrounding persistent disadvantage will need to wait for </w:t>
      </w:r>
      <w:r w:rsidR="00716702">
        <w:t xml:space="preserve">a </w:t>
      </w:r>
      <w:r w:rsidRPr="00F543C1">
        <w:t xml:space="preserve">more widespread perception that </w:t>
      </w:r>
      <w:r w:rsidR="00A55BA9">
        <w:t>it too</w:t>
      </w:r>
      <w:r w:rsidRPr="00F543C1">
        <w:t xml:space="preserve"> constitutes a crisis.</w:t>
      </w:r>
    </w:p>
    <w:p w14:paraId="29455669" w14:textId="2042527F" w:rsidR="00056EAF" w:rsidRPr="00F543C1" w:rsidRDefault="00056EAF" w:rsidP="00056EAF">
      <w:pPr>
        <w:ind w:left="851"/>
      </w:pPr>
      <w:r w:rsidRPr="00F543C1">
        <w:t xml:space="preserve">Fundamentally, being accountable for addressing persistent disadvantage does not mean that governments should </w:t>
      </w:r>
      <w:r w:rsidR="00BD3638" w:rsidRPr="00F543C1">
        <w:t xml:space="preserve">only </w:t>
      </w:r>
      <w:proofErr w:type="gramStart"/>
      <w:r w:rsidRPr="00F543C1">
        <w:t>provide assistance</w:t>
      </w:r>
      <w:proofErr w:type="gramEnd"/>
      <w:r w:rsidRPr="00F543C1">
        <w:t xml:space="preserve"> themselves, using </w:t>
      </w:r>
      <w:r w:rsidR="00A849D9">
        <w:t>staff employed in government agencies</w:t>
      </w:r>
      <w:r w:rsidRPr="00F543C1">
        <w:t>. Nor does it mean that</w:t>
      </w:r>
      <w:r w:rsidR="006456D9">
        <w:t xml:space="preserve"> </w:t>
      </w:r>
      <w:r w:rsidR="00381076">
        <w:t>agencies</w:t>
      </w:r>
      <w:r w:rsidRPr="00F543C1">
        <w:t xml:space="preserve"> should necessarily be designing programmes with administration contracted to NGO providers. Given the very personal nature of persistent disadvantage, </w:t>
      </w:r>
      <w:r w:rsidR="00716702">
        <w:t xml:space="preserve">the </w:t>
      </w:r>
      <w:r w:rsidRPr="00F543C1">
        <w:t xml:space="preserve">experience here and overseas suggests </w:t>
      </w:r>
      <w:r w:rsidRPr="00F543C1">
        <w:lastRenderedPageBreak/>
        <w:t xml:space="preserve">that empowering the people experiencing persistent disadvantage to determine what changes they want to make to their lives and then </w:t>
      </w:r>
      <w:r w:rsidR="00BD3638">
        <w:t>accessing</w:t>
      </w:r>
      <w:r w:rsidR="00BD3638" w:rsidRPr="00F543C1">
        <w:t xml:space="preserve"> </w:t>
      </w:r>
      <w:r w:rsidRPr="00F543C1">
        <w:t>a package of assistance with the help of appropriately resourced and trained front-line staff is a more effective way of bringing about those changes.</w:t>
      </w:r>
    </w:p>
    <w:p w14:paraId="71E3DBC6" w14:textId="2C28DFD4" w:rsidR="00056EAF" w:rsidRPr="00F543C1" w:rsidRDefault="00056EAF" w:rsidP="00056EAF">
      <w:pPr>
        <w:ind w:left="851"/>
      </w:pPr>
      <w:r w:rsidRPr="002472E9">
        <w:t xml:space="preserve">All parties in Parliament – and indeed all of society – need to </w:t>
      </w:r>
      <w:r w:rsidRPr="007467FD">
        <w:t xml:space="preserve">take </w:t>
      </w:r>
      <w:r w:rsidR="002472E9" w:rsidRPr="007467FD">
        <w:t xml:space="preserve">collective </w:t>
      </w:r>
      <w:r w:rsidRPr="007467FD">
        <w:t>responsibility for admitting</w:t>
      </w:r>
      <w:r w:rsidRPr="002472E9">
        <w:t xml:space="preserve"> that</w:t>
      </w:r>
      <w:r w:rsidRPr="00F543C1">
        <w:t xml:space="preserve"> the current system is complicated, </w:t>
      </w:r>
      <w:proofErr w:type="gramStart"/>
      <w:r w:rsidRPr="00F543C1">
        <w:t>expensive</w:t>
      </w:r>
      <w:proofErr w:type="gramEnd"/>
      <w:r w:rsidRPr="00F543C1">
        <w:t xml:space="preserve"> and failing. </w:t>
      </w:r>
      <w:r w:rsidR="00B44857">
        <w:t xml:space="preserve">Rather than partake in the usual New Zealand political </w:t>
      </w:r>
      <w:r w:rsidR="00B44857" w:rsidRPr="00B44857">
        <w:t>game of trying to blame what has happened</w:t>
      </w:r>
      <w:r w:rsidR="00B44857">
        <w:t xml:space="preserve"> on </w:t>
      </w:r>
      <w:r w:rsidR="00B44857" w:rsidRPr="00B44857">
        <w:t>the failings o</w:t>
      </w:r>
      <w:r w:rsidR="00B44857">
        <w:t>f</w:t>
      </w:r>
      <w:r w:rsidR="00B44857" w:rsidRPr="00B44857">
        <w:t xml:space="preserve"> every previous </w:t>
      </w:r>
      <w:r w:rsidR="00B44857">
        <w:t xml:space="preserve">government, </w:t>
      </w:r>
      <w:r w:rsidR="00B44857" w:rsidRPr="00B44857">
        <w:t xml:space="preserve">they need to look forward and commit to </w:t>
      </w:r>
      <w:r w:rsidR="00B44857">
        <w:t xml:space="preserve">implementing a new approach. </w:t>
      </w:r>
    </w:p>
    <w:p w14:paraId="4D731C69" w14:textId="3ACC5E6C" w:rsidR="00056EAF" w:rsidRPr="00F543C1" w:rsidRDefault="00056EAF" w:rsidP="00056EAF">
      <w:pPr>
        <w:ind w:left="851"/>
      </w:pPr>
      <w:r w:rsidRPr="00F543C1">
        <w:t xml:space="preserve">The ultimate accountability </w:t>
      </w:r>
      <w:r w:rsidR="00271C96">
        <w:t>we all owe is to the peopl</w:t>
      </w:r>
      <w:r w:rsidRPr="00F543C1">
        <w:t xml:space="preserve">e experiencing persistent disadvantage. They have been let down badly. We need </w:t>
      </w:r>
      <w:r w:rsidR="002472E9">
        <w:t>a new approach</w:t>
      </w:r>
      <w:r w:rsidR="00B00155">
        <w:t xml:space="preserve"> to </w:t>
      </w:r>
      <w:r w:rsidR="005819CD">
        <w:t>accountability</w:t>
      </w:r>
      <w:r w:rsidR="002472E9">
        <w:t xml:space="preserve"> </w:t>
      </w:r>
      <w:r w:rsidR="00271C96">
        <w:t>that supports</w:t>
      </w:r>
      <w:r w:rsidRPr="00F543C1">
        <w:t xml:space="preserve"> </w:t>
      </w:r>
      <w:r w:rsidR="005819CD">
        <w:t xml:space="preserve">the development of assistance that will help </w:t>
      </w:r>
      <w:r w:rsidRPr="00F543C1">
        <w:t xml:space="preserve">them to </w:t>
      </w:r>
      <w:r w:rsidR="00271C96">
        <w:t>improve their lives</w:t>
      </w:r>
      <w:r w:rsidRPr="00F543C1">
        <w:t xml:space="preserve">. </w:t>
      </w:r>
    </w:p>
    <w:p w14:paraId="5415CE1F" w14:textId="77777777" w:rsidR="00056EAF" w:rsidRPr="00F543C1" w:rsidRDefault="00056EAF" w:rsidP="00056EAF">
      <w:pPr>
        <w:ind w:left="851"/>
      </w:pPr>
      <w:bookmarkStart w:id="618" w:name="_Hlk125902813"/>
      <w:r w:rsidRPr="00F543C1">
        <w:t>The Productivity Commission should take the opportunity of its current inquiry to make the case once again for reform and provide New Zealand with a blueprint for what it considers is required.</w:t>
      </w:r>
    </w:p>
    <w:p w14:paraId="63915D44" w14:textId="2A7E363D" w:rsidR="00056EAF" w:rsidRPr="00F543C1" w:rsidRDefault="00056EAF" w:rsidP="00056EAF">
      <w:pPr>
        <w:ind w:left="851"/>
      </w:pPr>
      <w:r w:rsidRPr="00F543C1">
        <w:t xml:space="preserve">We encourage them to pose a challenge to all those exercising power to reduce persistent disadvantage: why are you not prepared to be held to greater account </w:t>
      </w:r>
      <w:r w:rsidRPr="00B44857">
        <w:t>for addressing this issue?</w:t>
      </w:r>
    </w:p>
    <w:bookmarkEnd w:id="618"/>
    <w:p w14:paraId="26570A8F" w14:textId="5E057416" w:rsidR="00291E9F" w:rsidRPr="00F543C1" w:rsidRDefault="00291E9F" w:rsidP="00D247B5">
      <w:pPr>
        <w:ind w:left="851"/>
        <w:rPr>
          <w:rFonts w:eastAsiaTheme="majorEastAsia" w:cstheme="majorBidi"/>
          <w:b/>
          <w:color w:val="0094C5"/>
          <w:sz w:val="32"/>
          <w:szCs w:val="32"/>
        </w:rPr>
      </w:pPr>
      <w:r w:rsidRPr="00F543C1">
        <w:br w:type="page"/>
      </w:r>
    </w:p>
    <w:p w14:paraId="1BD6E86C" w14:textId="77777777" w:rsidR="00423848" w:rsidRPr="00F543C1" w:rsidRDefault="00423848" w:rsidP="00C86DED">
      <w:pPr>
        <w:pStyle w:val="Heading1"/>
      </w:pPr>
      <w:bookmarkStart w:id="619" w:name="_Toc126092151"/>
      <w:bookmarkStart w:id="620" w:name="_Toc126841229"/>
      <w:r w:rsidRPr="00F543C1">
        <w:lastRenderedPageBreak/>
        <w:t>Recommendations</w:t>
      </w:r>
      <w:bookmarkEnd w:id="619"/>
      <w:bookmarkEnd w:id="620"/>
    </w:p>
    <w:p w14:paraId="1E9F428A" w14:textId="07458353" w:rsidR="00423848" w:rsidRPr="000177FE" w:rsidRDefault="00423848" w:rsidP="00423848">
      <w:pPr>
        <w:ind w:left="851"/>
      </w:pPr>
      <w:r>
        <w:t>T</w:t>
      </w:r>
      <w:r w:rsidRPr="000177FE">
        <w:t>his section</w:t>
      </w:r>
      <w:r>
        <w:t xml:space="preserve"> sets out our </w:t>
      </w:r>
      <w:r w:rsidRPr="000177FE">
        <w:t>recommendations.</w:t>
      </w:r>
    </w:p>
    <w:p w14:paraId="5EC870A9" w14:textId="77777777" w:rsidR="00423848" w:rsidRPr="00B44857" w:rsidRDefault="00423848" w:rsidP="00537942">
      <w:pPr>
        <w:pStyle w:val="ListParagraph"/>
        <w:keepNext/>
        <w:keepLines/>
        <w:numPr>
          <w:ilvl w:val="0"/>
          <w:numId w:val="15"/>
        </w:numPr>
        <w:spacing w:before="200" w:after="40" w:line="300" w:lineRule="atLeast"/>
        <w:outlineLvl w:val="3"/>
        <w:rPr>
          <w:rFonts w:eastAsiaTheme="majorEastAsia" w:cstheme="majorBidi"/>
          <w:b/>
          <w:iCs/>
          <w:color w:val="0094C5" w:themeColor="accent1"/>
          <w:sz w:val="24"/>
        </w:rPr>
      </w:pPr>
      <w:r w:rsidRPr="00B44857">
        <w:rPr>
          <w:rFonts w:eastAsiaTheme="majorEastAsia" w:cstheme="majorBidi"/>
          <w:b/>
          <w:iCs/>
          <w:color w:val="0094C5" w:themeColor="accent1"/>
          <w:sz w:val="24"/>
        </w:rPr>
        <w:t xml:space="preserve">Honour </w:t>
      </w:r>
      <w:proofErr w:type="spellStart"/>
      <w:r w:rsidRPr="00B44857">
        <w:rPr>
          <w:rFonts w:eastAsiaTheme="majorEastAsia" w:cstheme="majorBidi"/>
          <w:b/>
          <w:iCs/>
          <w:color w:val="0094C5" w:themeColor="accent1"/>
          <w:sz w:val="24"/>
        </w:rPr>
        <w:t>Te</w:t>
      </w:r>
      <w:proofErr w:type="spellEnd"/>
      <w:r w:rsidRPr="00B44857">
        <w:rPr>
          <w:rFonts w:eastAsiaTheme="majorEastAsia" w:cstheme="majorBidi"/>
          <w:b/>
          <w:iCs/>
          <w:color w:val="0094C5" w:themeColor="accent1"/>
          <w:sz w:val="24"/>
        </w:rPr>
        <w:t xml:space="preserve"> </w:t>
      </w:r>
      <w:proofErr w:type="spellStart"/>
      <w:r w:rsidRPr="00B44857">
        <w:rPr>
          <w:rFonts w:eastAsiaTheme="majorEastAsia" w:cstheme="majorBidi"/>
          <w:b/>
          <w:iCs/>
          <w:color w:val="0094C5" w:themeColor="accent1"/>
          <w:sz w:val="24"/>
        </w:rPr>
        <w:t>Tiriti</w:t>
      </w:r>
      <w:proofErr w:type="spellEnd"/>
      <w:r w:rsidRPr="00B44857">
        <w:rPr>
          <w:rFonts w:eastAsiaTheme="majorEastAsia" w:cstheme="majorBidi"/>
          <w:b/>
          <w:iCs/>
          <w:color w:val="0094C5" w:themeColor="accent1"/>
          <w:sz w:val="24"/>
        </w:rPr>
        <w:t xml:space="preserve"> o Waitangi</w:t>
      </w:r>
    </w:p>
    <w:p w14:paraId="4A96FD01" w14:textId="7D2A9F72" w:rsidR="00423848" w:rsidRDefault="00423848" w:rsidP="00423848">
      <w:pPr>
        <w:pStyle w:val="USBodyText"/>
      </w:pPr>
      <w:r w:rsidRPr="000177FE">
        <w:t xml:space="preserve">The Crown should honour its obligations under </w:t>
      </w:r>
      <w:proofErr w:type="spellStart"/>
      <w:r w:rsidRPr="000177FE">
        <w:t>Te</w:t>
      </w:r>
      <w:proofErr w:type="spellEnd"/>
      <w:r w:rsidRPr="000177FE">
        <w:t xml:space="preserve"> </w:t>
      </w:r>
      <w:proofErr w:type="spellStart"/>
      <w:r w:rsidRPr="000177FE">
        <w:t>Tiriti</w:t>
      </w:r>
      <w:proofErr w:type="spellEnd"/>
      <w:r w:rsidRPr="000177FE">
        <w:t xml:space="preserve"> o Waitangi and provide redress for any prior or ongoing breaches. </w:t>
      </w:r>
    </w:p>
    <w:p w14:paraId="7C8B6117" w14:textId="0EB29AD1" w:rsidR="008B12E8" w:rsidRDefault="00C70009" w:rsidP="003806FA">
      <w:pPr>
        <w:pStyle w:val="USBodyText"/>
      </w:pPr>
      <w:r>
        <w:t>In parallel, as this process</w:t>
      </w:r>
      <w:r w:rsidR="005E4C8E">
        <w:t xml:space="preserve"> </w:t>
      </w:r>
      <w:r w:rsidR="000F19C2">
        <w:t>continues</w:t>
      </w:r>
      <w:r w:rsidR="005E4C8E">
        <w:t>,</w:t>
      </w:r>
      <w:r w:rsidR="00E94121">
        <w:t xml:space="preserve"> </w:t>
      </w:r>
      <w:r w:rsidR="00D41B35">
        <w:t xml:space="preserve">Māori </w:t>
      </w:r>
      <w:r w:rsidR="00A515B9">
        <w:t>be supported to</w:t>
      </w:r>
      <w:r w:rsidR="00D41B35">
        <w:t xml:space="preserve"> exercise </w:t>
      </w:r>
      <w:proofErr w:type="spellStart"/>
      <w:r w:rsidR="00D41B35">
        <w:t>tino</w:t>
      </w:r>
      <w:proofErr w:type="spellEnd"/>
      <w:r w:rsidR="00D41B35">
        <w:t xml:space="preserve"> rangatiratanga and mana </w:t>
      </w:r>
      <w:proofErr w:type="spellStart"/>
      <w:r w:rsidR="00D41B35">
        <w:t>motuhake</w:t>
      </w:r>
      <w:proofErr w:type="spellEnd"/>
      <w:r w:rsidR="00D41B35">
        <w:t xml:space="preserve"> in responding to persistent disadvantage.</w:t>
      </w:r>
    </w:p>
    <w:p w14:paraId="39E5C6C1" w14:textId="77777777" w:rsidR="009428DE" w:rsidRPr="000177FE" w:rsidRDefault="009428DE" w:rsidP="00537942">
      <w:pPr>
        <w:pStyle w:val="ListParagraph"/>
        <w:keepNext/>
        <w:keepLines/>
        <w:numPr>
          <w:ilvl w:val="0"/>
          <w:numId w:val="16"/>
        </w:numPr>
        <w:spacing w:before="200" w:after="40" w:line="300" w:lineRule="atLeast"/>
        <w:outlineLvl w:val="3"/>
        <w:rPr>
          <w:rFonts w:eastAsiaTheme="majorEastAsia" w:cstheme="majorBidi"/>
          <w:b/>
          <w:iCs/>
          <w:color w:val="0094C5" w:themeColor="accent1"/>
          <w:sz w:val="24"/>
        </w:rPr>
      </w:pPr>
      <w:r w:rsidRPr="000177FE">
        <w:rPr>
          <w:rFonts w:eastAsiaTheme="majorEastAsia" w:cstheme="majorBidi"/>
          <w:b/>
          <w:iCs/>
          <w:color w:val="0094C5" w:themeColor="accent1"/>
          <w:sz w:val="24"/>
        </w:rPr>
        <w:t xml:space="preserve">Commit to addressing underlying </w:t>
      </w:r>
      <w:proofErr w:type="gramStart"/>
      <w:r w:rsidRPr="000177FE">
        <w:rPr>
          <w:rFonts w:eastAsiaTheme="majorEastAsia" w:cstheme="majorBidi"/>
          <w:b/>
          <w:iCs/>
          <w:color w:val="0094C5" w:themeColor="accent1"/>
          <w:sz w:val="24"/>
        </w:rPr>
        <w:t>issues</w:t>
      </w:r>
      <w:proofErr w:type="gramEnd"/>
      <w:r w:rsidRPr="000177FE">
        <w:rPr>
          <w:rFonts w:eastAsiaTheme="majorEastAsia" w:cstheme="majorBidi"/>
          <w:b/>
          <w:iCs/>
          <w:color w:val="0094C5" w:themeColor="accent1"/>
          <w:sz w:val="24"/>
        </w:rPr>
        <w:t xml:space="preserve"> </w:t>
      </w:r>
    </w:p>
    <w:p w14:paraId="4E6310D7" w14:textId="0CA4E648" w:rsidR="009873BA" w:rsidRDefault="00020160" w:rsidP="009428DE">
      <w:pPr>
        <w:pStyle w:val="USBodyText"/>
      </w:pPr>
      <w:r>
        <w:t>Governments should a</w:t>
      </w:r>
      <w:r w:rsidR="000D666C">
        <w:t xml:space="preserve">cknowledge, </w:t>
      </w:r>
      <w:proofErr w:type="gramStart"/>
      <w:r w:rsidR="000D666C">
        <w:t>examine</w:t>
      </w:r>
      <w:proofErr w:type="gramEnd"/>
      <w:r w:rsidR="000D666C">
        <w:t xml:space="preserve"> and address u</w:t>
      </w:r>
      <w:r w:rsidR="009428DE" w:rsidRPr="000177FE">
        <w:t xml:space="preserve">nderlying systemic issues </w:t>
      </w:r>
      <w:r w:rsidR="00183204">
        <w:t xml:space="preserve">that contribute to persistent disadvantage, </w:t>
      </w:r>
      <w:r w:rsidR="009428DE" w:rsidRPr="000177FE">
        <w:t xml:space="preserve">including New Zealand’s history of colonialism, structural racism, sexism, ableism, and how power is shared and exercised throughout society. </w:t>
      </w:r>
    </w:p>
    <w:p w14:paraId="73E99B1F" w14:textId="783AA9B0" w:rsidR="009428DE" w:rsidRDefault="009428DE" w:rsidP="009428DE">
      <w:pPr>
        <w:pStyle w:val="USBodyText"/>
      </w:pPr>
      <w:r w:rsidRPr="000177FE">
        <w:t xml:space="preserve">The strengthened accountability system we are proposing </w:t>
      </w:r>
      <w:r>
        <w:t xml:space="preserve">is designed to </w:t>
      </w:r>
      <w:r w:rsidR="00997562">
        <w:t xml:space="preserve">support </w:t>
      </w:r>
      <w:r>
        <w:t>this process.</w:t>
      </w:r>
    </w:p>
    <w:p w14:paraId="12C0F071" w14:textId="31112E3D" w:rsidR="00E75BAA" w:rsidRPr="00DD0279" w:rsidRDefault="00E75BAA" w:rsidP="00537942">
      <w:pPr>
        <w:pStyle w:val="ListParagraph"/>
        <w:keepNext/>
        <w:keepLines/>
        <w:numPr>
          <w:ilvl w:val="0"/>
          <w:numId w:val="16"/>
        </w:numPr>
        <w:spacing w:before="200" w:after="40" w:line="300" w:lineRule="atLeast"/>
        <w:outlineLvl w:val="3"/>
        <w:rPr>
          <w:rFonts w:eastAsiaTheme="majorEastAsia" w:cstheme="majorBidi"/>
          <w:b/>
          <w:iCs/>
          <w:color w:val="0094C5" w:themeColor="accent1"/>
          <w:sz w:val="24"/>
        </w:rPr>
      </w:pPr>
      <w:r w:rsidRPr="00DD0279">
        <w:rPr>
          <w:rFonts w:eastAsiaTheme="majorEastAsia" w:cstheme="majorBidi"/>
          <w:b/>
          <w:iCs/>
          <w:color w:val="0094C5" w:themeColor="accent1"/>
          <w:sz w:val="24"/>
        </w:rPr>
        <w:t xml:space="preserve">Make the social assistance system accountable to people experiencing persistent </w:t>
      </w:r>
      <w:proofErr w:type="gramStart"/>
      <w:r w:rsidRPr="00DD0279">
        <w:rPr>
          <w:rFonts w:eastAsiaTheme="majorEastAsia" w:cstheme="majorBidi"/>
          <w:b/>
          <w:iCs/>
          <w:color w:val="0094C5" w:themeColor="accent1"/>
          <w:sz w:val="24"/>
        </w:rPr>
        <w:t>disadvantage</w:t>
      </w:r>
      <w:proofErr w:type="gramEnd"/>
    </w:p>
    <w:p w14:paraId="3023CDB3" w14:textId="73C8D03C" w:rsidR="00E56219" w:rsidRDefault="00E75BAA" w:rsidP="00E56219">
      <w:pPr>
        <w:pStyle w:val="USBodyText"/>
      </w:pPr>
      <w:r w:rsidRPr="00E75BAA">
        <w:t xml:space="preserve">Policymakers, legislators, their </w:t>
      </w:r>
      <w:r w:rsidR="00E72D2A" w:rsidRPr="00E75BAA">
        <w:t>advisers,</w:t>
      </w:r>
      <w:r w:rsidRPr="00E75BAA">
        <w:t xml:space="preserve"> and th</w:t>
      </w:r>
      <w:r w:rsidR="006C6927">
        <w:t xml:space="preserve">ose who </w:t>
      </w:r>
      <w:r w:rsidRPr="00E75BAA">
        <w:t>deliver</w:t>
      </w:r>
      <w:r w:rsidR="006C6927">
        <w:t xml:space="preserve"> </w:t>
      </w:r>
      <w:r w:rsidRPr="00E75BAA">
        <w:t xml:space="preserve">assistance </w:t>
      </w:r>
      <w:r w:rsidR="00D82A00">
        <w:t>must</w:t>
      </w:r>
      <w:r w:rsidRPr="00E75BAA">
        <w:t xml:space="preserve"> </w:t>
      </w:r>
      <w:r w:rsidRPr="00DD0279">
        <w:t>be accountable to</w:t>
      </w:r>
      <w:r w:rsidRPr="00E75BAA">
        <w:t xml:space="preserve"> people experiencing disadvantage.</w:t>
      </w:r>
      <w:r w:rsidR="00E56219" w:rsidRPr="00E56219">
        <w:t xml:space="preserve"> </w:t>
      </w:r>
    </w:p>
    <w:p w14:paraId="59ACBB44" w14:textId="5CD9D8B4" w:rsidR="00E56219" w:rsidRDefault="00E56219" w:rsidP="00E56219">
      <w:pPr>
        <w:pStyle w:val="USBodyText"/>
      </w:pPr>
      <w:r>
        <w:t>To achieve this, the s</w:t>
      </w:r>
      <w:r w:rsidRPr="000177FE">
        <w:t>ocial assistance system need</w:t>
      </w:r>
      <w:r>
        <w:t>s</w:t>
      </w:r>
      <w:r w:rsidRPr="000177FE">
        <w:t xml:space="preserve"> to </w:t>
      </w:r>
      <w:r w:rsidRPr="00B2476E">
        <w:t>centre the</w:t>
      </w:r>
      <w:r w:rsidR="008A4682">
        <w:t xml:space="preserve"> diverse</w:t>
      </w:r>
      <w:r w:rsidRPr="00B2476E">
        <w:t xml:space="preserve"> voices of</w:t>
      </w:r>
      <w:r w:rsidRPr="000177FE">
        <w:t xml:space="preserve"> people experiencing persistent disadvantage </w:t>
      </w:r>
      <w:r>
        <w:t xml:space="preserve">at every phase of policy and delivery, from conception through design, </w:t>
      </w:r>
      <w:proofErr w:type="gramStart"/>
      <w:r>
        <w:t>delivery</w:t>
      </w:r>
      <w:proofErr w:type="gramEnd"/>
      <w:r>
        <w:t xml:space="preserve"> and assessment of effectiveness.</w:t>
      </w:r>
      <w:r w:rsidR="000E72C6">
        <w:t xml:space="preserve"> </w:t>
      </w:r>
    </w:p>
    <w:p w14:paraId="510A62B8" w14:textId="77777777" w:rsidR="000143C7" w:rsidRDefault="000143C7" w:rsidP="00E56219">
      <w:pPr>
        <w:pStyle w:val="USBodyText"/>
      </w:pPr>
      <w:r w:rsidRPr="000143C7">
        <w:t xml:space="preserve">This will require adequate resourcing of engagement with a wide range of people to ensure genuine accessibility. We mean this in the widest sense, to include economic, social, cultural and disability grounds. </w:t>
      </w:r>
    </w:p>
    <w:p w14:paraId="2C5B5E6A" w14:textId="5DFA14A1" w:rsidR="00FE6CC7" w:rsidRDefault="00FE6CC7" w:rsidP="00E56219">
      <w:pPr>
        <w:pStyle w:val="USBodyText"/>
      </w:pPr>
      <w:r>
        <w:t>A network of Place-</w:t>
      </w:r>
      <w:r w:rsidR="00C347EA">
        <w:t>B</w:t>
      </w:r>
      <w:r>
        <w:t xml:space="preserve">ased Initiatives </w:t>
      </w:r>
      <w:r w:rsidR="004064FA">
        <w:t xml:space="preserve">should be established to identify and assist people currently or at risk of experiencing persistent disadvantage. </w:t>
      </w:r>
      <w:r w:rsidR="00107595">
        <w:t xml:space="preserve">The network of </w:t>
      </w:r>
      <w:r w:rsidR="004064FA">
        <w:t>PBIs</w:t>
      </w:r>
      <w:r w:rsidR="00107595">
        <w:t xml:space="preserve"> should be comprised of a range of organisations: iwi- and faith-based; </w:t>
      </w:r>
      <w:r w:rsidR="000143C7">
        <w:t>arms of existing charities or new charities; operating offices of departments might also be PBIs.</w:t>
      </w:r>
      <w:r w:rsidR="004064FA">
        <w:t xml:space="preserve"> </w:t>
      </w:r>
    </w:p>
    <w:p w14:paraId="101B49F2" w14:textId="233463CD" w:rsidR="002256A3" w:rsidRPr="005E734A" w:rsidRDefault="00423848" w:rsidP="00537942">
      <w:pPr>
        <w:pStyle w:val="ListParagraph"/>
        <w:keepNext/>
        <w:keepLines/>
        <w:numPr>
          <w:ilvl w:val="0"/>
          <w:numId w:val="16"/>
        </w:numPr>
        <w:spacing w:before="200" w:after="40" w:line="300" w:lineRule="atLeast"/>
        <w:outlineLvl w:val="3"/>
        <w:rPr>
          <w:rFonts w:eastAsiaTheme="majorEastAsia" w:cstheme="majorBidi"/>
          <w:b/>
          <w:iCs/>
          <w:color w:val="0094C5" w:themeColor="accent1"/>
          <w:sz w:val="24"/>
        </w:rPr>
      </w:pPr>
      <w:r w:rsidRPr="00DD0279">
        <w:rPr>
          <w:rFonts w:eastAsiaTheme="majorEastAsia" w:cstheme="majorBidi"/>
          <w:b/>
          <w:iCs/>
          <w:color w:val="0094C5" w:themeColor="accent1"/>
          <w:sz w:val="24"/>
        </w:rPr>
        <w:t xml:space="preserve">Introduce a strengthened </w:t>
      </w:r>
      <w:r w:rsidR="00E211B9">
        <w:rPr>
          <w:rFonts w:eastAsiaTheme="majorEastAsia" w:cstheme="majorBidi"/>
          <w:b/>
          <w:iCs/>
          <w:color w:val="0094C5" w:themeColor="accent1"/>
          <w:sz w:val="24"/>
        </w:rPr>
        <w:t xml:space="preserve">democratic </w:t>
      </w:r>
      <w:r w:rsidRPr="00DD0279">
        <w:rPr>
          <w:rFonts w:eastAsiaTheme="majorEastAsia" w:cstheme="majorBidi"/>
          <w:b/>
          <w:iCs/>
          <w:color w:val="0094C5" w:themeColor="accent1"/>
          <w:sz w:val="24"/>
        </w:rPr>
        <w:t xml:space="preserve">accountability </w:t>
      </w:r>
      <w:proofErr w:type="gramStart"/>
      <w:r w:rsidRPr="00DD0279">
        <w:rPr>
          <w:rFonts w:eastAsiaTheme="majorEastAsia" w:cstheme="majorBidi"/>
          <w:b/>
          <w:iCs/>
          <w:color w:val="0094C5" w:themeColor="accent1"/>
          <w:sz w:val="24"/>
        </w:rPr>
        <w:t>regime</w:t>
      </w:r>
      <w:proofErr w:type="gramEnd"/>
      <w:r w:rsidRPr="00DD0279">
        <w:rPr>
          <w:rFonts w:eastAsiaTheme="majorEastAsia" w:cstheme="majorBidi"/>
          <w:b/>
          <w:iCs/>
          <w:color w:val="0094C5" w:themeColor="accent1"/>
          <w:sz w:val="24"/>
        </w:rPr>
        <w:t xml:space="preserve"> </w:t>
      </w:r>
    </w:p>
    <w:p w14:paraId="7F4B1D95" w14:textId="4B807D0C" w:rsidR="00E72D2A" w:rsidRDefault="002A2B5C" w:rsidP="00E75BAA">
      <w:pPr>
        <w:pStyle w:val="USBodyText"/>
      </w:pPr>
      <w:r>
        <w:t>Introduce l</w:t>
      </w:r>
      <w:r w:rsidR="00423848" w:rsidRPr="00E75BAA">
        <w:t xml:space="preserve">egislation that imposes on </w:t>
      </w:r>
      <w:r w:rsidR="00271C96">
        <w:t>M</w:t>
      </w:r>
      <w:r w:rsidR="00271C96" w:rsidRPr="00E75BAA">
        <w:t xml:space="preserve">inisters </w:t>
      </w:r>
      <w:r w:rsidR="00423848" w:rsidRPr="00E75BAA">
        <w:t xml:space="preserve">an expanded accountability regime for addressing persistent disadvantage. </w:t>
      </w:r>
      <w:r>
        <w:t>We recommend modelling th</w:t>
      </w:r>
      <w:r w:rsidR="00423848" w:rsidRPr="00E75BAA">
        <w:t>is regime on the fiscal responsibility provisions of the Public Finance Act.</w:t>
      </w:r>
      <w:r w:rsidR="005E7834" w:rsidRPr="00E75BAA">
        <w:t xml:space="preserve"> The working title of the Act is the Social </w:t>
      </w:r>
      <w:r w:rsidR="00803FB0" w:rsidRPr="00E75BAA">
        <w:t xml:space="preserve">Accountability </w:t>
      </w:r>
      <w:r w:rsidR="005E7834" w:rsidRPr="00E75BAA">
        <w:t>Act.</w:t>
      </w:r>
      <w:r w:rsidR="005D3931">
        <w:t xml:space="preserve"> </w:t>
      </w:r>
    </w:p>
    <w:p w14:paraId="38A3EC99" w14:textId="4843E249" w:rsidR="00503AFF" w:rsidRDefault="009954E7" w:rsidP="009954E7">
      <w:pPr>
        <w:pStyle w:val="USBodyText"/>
      </w:pPr>
      <w:r>
        <w:t xml:space="preserve">The government that introduces the legislation should </w:t>
      </w:r>
      <w:r w:rsidR="00BF62DF">
        <w:t>seek</w:t>
      </w:r>
      <w:r>
        <w:t xml:space="preserve"> to </w:t>
      </w:r>
      <w:r w:rsidR="0034680A">
        <w:t>build</w:t>
      </w:r>
      <w:r>
        <w:t xml:space="preserve"> wider cross-party consensus on the Act and its provisions. </w:t>
      </w:r>
      <w:r w:rsidR="00503AFF">
        <w:t xml:space="preserve">The aim should be for the legislation </w:t>
      </w:r>
      <w:r w:rsidR="00BF62DF">
        <w:t>to</w:t>
      </w:r>
      <w:r w:rsidR="00503AFF">
        <w:t xml:space="preserve"> assume constitutional status as something that is binding on successive governments.</w:t>
      </w:r>
    </w:p>
    <w:p w14:paraId="0129DC1C" w14:textId="34215E6F" w:rsidR="00503AFF" w:rsidRDefault="00E72D2A" w:rsidP="009954E7">
      <w:pPr>
        <w:pStyle w:val="USBodyText"/>
      </w:pPr>
      <w:r>
        <w:t>People experiencing persistent disadvantage should have a major role in de</w:t>
      </w:r>
      <w:r w:rsidR="00503AFF">
        <w:t>veloping the legislation</w:t>
      </w:r>
      <w:r w:rsidR="00AF608F">
        <w:t>.</w:t>
      </w:r>
    </w:p>
    <w:p w14:paraId="36B63794" w14:textId="0AED7044" w:rsidR="003C5E66" w:rsidRDefault="0082038E" w:rsidP="00F855F0">
      <w:pPr>
        <w:pStyle w:val="USBodyText"/>
      </w:pPr>
      <w:r>
        <w:lastRenderedPageBreak/>
        <w:t xml:space="preserve">The Act should </w:t>
      </w:r>
      <w:r w:rsidRPr="000177FE">
        <w:t>require the government of the day to state its short- and long-term objectives</w:t>
      </w:r>
      <w:r>
        <w:t xml:space="preserve"> regarding how to meet the Act’s principles</w:t>
      </w:r>
      <w:r w:rsidRPr="000177FE">
        <w:t xml:space="preserve"> in measurable terms and explain how it proposes to meet those objectives.</w:t>
      </w:r>
      <w:r w:rsidR="003C5E66">
        <w:t xml:space="preserve"> It should be required to demonstrate how i</w:t>
      </w:r>
      <w:r w:rsidR="00BF62DF">
        <w:t>t</w:t>
      </w:r>
      <w:r w:rsidR="003C5E66">
        <w:t>s program</w:t>
      </w:r>
      <w:r w:rsidR="00BF62DF">
        <w:t>me</w:t>
      </w:r>
      <w:r w:rsidR="003C5E66">
        <w:t>s</w:t>
      </w:r>
      <w:r w:rsidR="00F855F0">
        <w:t xml:space="preserve"> a</w:t>
      </w:r>
      <w:r w:rsidR="003C5E66">
        <w:t xml:space="preserve">re </w:t>
      </w:r>
      <w:r w:rsidR="007D6EAC">
        <w:t>effective</w:t>
      </w:r>
      <w:r w:rsidR="00BF62DF">
        <w:t xml:space="preserve"> and</w:t>
      </w:r>
      <w:r w:rsidR="00F855F0">
        <w:t xml:space="preserve"> p</w:t>
      </w:r>
      <w:r w:rsidR="003C5E66" w:rsidRPr="000177FE">
        <w:t>rovide value for mone</w:t>
      </w:r>
      <w:r w:rsidR="003C5E66">
        <w:t xml:space="preserve">y, through a </w:t>
      </w:r>
      <w:r w:rsidR="003C5E66" w:rsidRPr="000177FE">
        <w:t xml:space="preserve">nuanced </w:t>
      </w:r>
      <w:r w:rsidR="007D6EAC">
        <w:t>description</w:t>
      </w:r>
      <w:r w:rsidR="003C5E66" w:rsidRPr="000177FE">
        <w:t xml:space="preserve"> of </w:t>
      </w:r>
      <w:r w:rsidR="007D6EAC">
        <w:t xml:space="preserve">the </w:t>
      </w:r>
      <w:r w:rsidR="003C5E66" w:rsidRPr="000177FE">
        <w:t>differences between benefits and cost</w:t>
      </w:r>
      <w:r w:rsidR="00AB3E94">
        <w:t>s</w:t>
      </w:r>
      <w:r w:rsidR="003C5E66" w:rsidRPr="000177FE">
        <w:t xml:space="preserve"> (net benefits).</w:t>
      </w:r>
    </w:p>
    <w:p w14:paraId="39A5A5E2" w14:textId="1194C8BE" w:rsidR="00423848" w:rsidRPr="000177FE" w:rsidRDefault="00423848" w:rsidP="00DD5548">
      <w:pPr>
        <w:pStyle w:val="USBodyText"/>
      </w:pPr>
      <w:r w:rsidRPr="000177FE">
        <w:t>Its features should include:</w:t>
      </w:r>
    </w:p>
    <w:p w14:paraId="22D9A499" w14:textId="1FFCF92C" w:rsidR="00423848" w:rsidRPr="000177FE" w:rsidRDefault="00423848" w:rsidP="00DD5548">
      <w:pPr>
        <w:pStyle w:val="USBullet1"/>
      </w:pPr>
      <w:r w:rsidRPr="000177FE">
        <w:t>Flexibility of targets and methods. The regime should accommodate different political views while requiring every government to state and explain its policy preferences.</w:t>
      </w:r>
    </w:p>
    <w:p w14:paraId="166DE08D" w14:textId="4D6D7E1C" w:rsidR="00C5417B" w:rsidRDefault="00423848" w:rsidP="00834BEB">
      <w:pPr>
        <w:pStyle w:val="USBullet1"/>
      </w:pPr>
      <w:r w:rsidRPr="000177FE">
        <w:t xml:space="preserve">A greater focus on outcomes, in addition to inputs </w:t>
      </w:r>
      <w:r w:rsidR="008E5BDF">
        <w:t>and</w:t>
      </w:r>
      <w:r w:rsidRPr="000177FE">
        <w:t xml:space="preserve"> outputs, while being realistic that stating and measuring desired outcomes at more than the generic level is often difficult in social policy.</w:t>
      </w:r>
    </w:p>
    <w:p w14:paraId="294F2171" w14:textId="18761B68" w:rsidR="00423848" w:rsidRDefault="00423848" w:rsidP="00834BEB">
      <w:pPr>
        <w:pStyle w:val="USBullet1"/>
      </w:pPr>
      <w:r w:rsidRPr="000177FE">
        <w:t xml:space="preserve">Independent monitoring and reporting of progress against objectives. </w:t>
      </w:r>
      <w:r w:rsidR="0012336B">
        <w:t>Along with</w:t>
      </w:r>
      <w:r w:rsidRPr="000177FE">
        <w:t xml:space="preserve"> Parliament and the Auditor-General</w:t>
      </w:r>
      <w:r w:rsidR="0012336B">
        <w:t xml:space="preserve">, </w:t>
      </w:r>
      <w:r w:rsidRPr="000177FE">
        <w:t>external parties</w:t>
      </w:r>
      <w:r w:rsidR="00BE4D0A">
        <w:t xml:space="preserve"> such as</w:t>
      </w:r>
      <w:r w:rsidRPr="000177FE">
        <w:t xml:space="preserve"> universities and think tanks should also be given an explicit role. </w:t>
      </w:r>
      <w:r w:rsidR="00BE4D0A">
        <w:t>A</w:t>
      </w:r>
      <w:r w:rsidRPr="000177FE">
        <w:t xml:space="preserve"> contestable research pool, operating along the lines of the Marsden Fund</w:t>
      </w:r>
      <w:r w:rsidR="00AB3E94">
        <w:t>,</w:t>
      </w:r>
      <w:r w:rsidRPr="000177FE">
        <w:t xml:space="preserve"> should be established that facilitate</w:t>
      </w:r>
      <w:r w:rsidR="00BE4D0A">
        <w:t>s</w:t>
      </w:r>
      <w:r w:rsidRPr="000177FE">
        <w:t xml:space="preserve"> external assessment of program</w:t>
      </w:r>
      <w:r>
        <w:t>me</w:t>
      </w:r>
      <w:r w:rsidRPr="000177FE">
        <w:t>s and policies.</w:t>
      </w:r>
    </w:p>
    <w:p w14:paraId="5BC2A48C" w14:textId="7F51303C" w:rsidR="00423848" w:rsidRDefault="00423848">
      <w:pPr>
        <w:pStyle w:val="USBullet1"/>
      </w:pPr>
      <w:r w:rsidRPr="000177FE">
        <w:t>A direct role for the voice</w:t>
      </w:r>
      <w:r w:rsidR="00437C2E">
        <w:t>s</w:t>
      </w:r>
      <w:r w:rsidRPr="000177FE">
        <w:t xml:space="preserve"> of people experiencing persistent disadvantage in accountability forums</w:t>
      </w:r>
      <w:r w:rsidR="002F1419">
        <w:t xml:space="preserve"> established under the Act (</w:t>
      </w:r>
      <w:proofErr w:type="gramStart"/>
      <w:r w:rsidR="002F1419">
        <w:t>e.g.</w:t>
      </w:r>
      <w:proofErr w:type="gramEnd"/>
      <w:r w:rsidR="002F1419">
        <w:t xml:space="preserve"> </w:t>
      </w:r>
      <w:r w:rsidR="00AB3E94">
        <w:t>S</w:t>
      </w:r>
      <w:r w:rsidR="002F1419">
        <w:t xml:space="preserve">elect </w:t>
      </w:r>
      <w:r w:rsidR="00AB3E94">
        <w:t>C</w:t>
      </w:r>
      <w:r w:rsidR="002F1419">
        <w:t>ommittee hearings on reporting under the Act)</w:t>
      </w:r>
      <w:r w:rsidR="00B47C38">
        <w:t xml:space="preserve"> </w:t>
      </w:r>
      <w:r w:rsidR="00FC51F5">
        <w:t>supported by the engagement principles set out in</w:t>
      </w:r>
      <w:r w:rsidR="00B47C38">
        <w:t xml:space="preserve"> recommendation 3</w:t>
      </w:r>
      <w:r w:rsidRPr="000177FE">
        <w:t xml:space="preserve">. </w:t>
      </w:r>
    </w:p>
    <w:p w14:paraId="5AD9CED2" w14:textId="7EE8BB3F" w:rsidR="00423848" w:rsidRDefault="00D23F75" w:rsidP="00537942">
      <w:pPr>
        <w:pStyle w:val="ListParagraph"/>
        <w:keepNext/>
        <w:keepLines/>
        <w:numPr>
          <w:ilvl w:val="0"/>
          <w:numId w:val="16"/>
        </w:numPr>
        <w:spacing w:before="200" w:after="40" w:line="300" w:lineRule="atLeast"/>
        <w:outlineLvl w:val="3"/>
        <w:rPr>
          <w:rFonts w:eastAsiaTheme="majorEastAsia" w:cstheme="majorBidi"/>
          <w:b/>
          <w:iCs/>
          <w:color w:val="0094C5" w:themeColor="accent1"/>
          <w:sz w:val="24"/>
        </w:rPr>
      </w:pPr>
      <w:r w:rsidRPr="00DD5548">
        <w:rPr>
          <w:rFonts w:eastAsiaTheme="majorEastAsia" w:cstheme="majorBidi"/>
          <w:b/>
          <w:iCs/>
          <w:color w:val="0094C5" w:themeColor="accent1"/>
          <w:sz w:val="24"/>
        </w:rPr>
        <w:t xml:space="preserve">Appoint a single </w:t>
      </w:r>
      <w:r w:rsidR="00AB3E94">
        <w:rPr>
          <w:rFonts w:eastAsiaTheme="majorEastAsia" w:cstheme="majorBidi"/>
          <w:b/>
          <w:iCs/>
          <w:color w:val="0094C5" w:themeColor="accent1"/>
          <w:sz w:val="24"/>
        </w:rPr>
        <w:t>M</w:t>
      </w:r>
      <w:r w:rsidR="00AB3E94" w:rsidRPr="00DD5548">
        <w:rPr>
          <w:rFonts w:eastAsiaTheme="majorEastAsia" w:cstheme="majorBidi"/>
          <w:b/>
          <w:iCs/>
          <w:color w:val="0094C5" w:themeColor="accent1"/>
          <w:sz w:val="24"/>
        </w:rPr>
        <w:t xml:space="preserve">inister </w:t>
      </w:r>
      <w:r w:rsidRPr="00DD5548">
        <w:rPr>
          <w:rFonts w:eastAsiaTheme="majorEastAsia" w:cstheme="majorBidi"/>
          <w:b/>
          <w:iCs/>
          <w:color w:val="0094C5" w:themeColor="accent1"/>
          <w:sz w:val="24"/>
        </w:rPr>
        <w:t xml:space="preserve">responsible for </w:t>
      </w:r>
      <w:r w:rsidR="00360A72">
        <w:rPr>
          <w:rFonts w:eastAsiaTheme="majorEastAsia" w:cstheme="majorBidi"/>
          <w:b/>
          <w:iCs/>
          <w:color w:val="0094C5" w:themeColor="accent1"/>
          <w:sz w:val="24"/>
        </w:rPr>
        <w:t xml:space="preserve">addressing </w:t>
      </w:r>
      <w:r w:rsidRPr="00DD5548">
        <w:rPr>
          <w:rFonts w:eastAsiaTheme="majorEastAsia" w:cstheme="majorBidi"/>
          <w:b/>
          <w:iCs/>
          <w:color w:val="0094C5" w:themeColor="accent1"/>
          <w:sz w:val="24"/>
        </w:rPr>
        <w:t xml:space="preserve">persistent </w:t>
      </w:r>
      <w:proofErr w:type="gramStart"/>
      <w:r w:rsidRPr="00DD5548">
        <w:rPr>
          <w:rFonts w:eastAsiaTheme="majorEastAsia" w:cstheme="majorBidi"/>
          <w:b/>
          <w:iCs/>
          <w:color w:val="0094C5" w:themeColor="accent1"/>
          <w:sz w:val="24"/>
        </w:rPr>
        <w:t>disadvantage</w:t>
      </w:r>
      <w:proofErr w:type="gramEnd"/>
      <w:r w:rsidR="00E8391B">
        <w:rPr>
          <w:rFonts w:eastAsiaTheme="majorEastAsia" w:cstheme="majorBidi"/>
          <w:b/>
          <w:iCs/>
          <w:color w:val="0094C5" w:themeColor="accent1"/>
          <w:sz w:val="24"/>
        </w:rPr>
        <w:t xml:space="preserve"> </w:t>
      </w:r>
    </w:p>
    <w:p w14:paraId="59E81E28" w14:textId="429485E9" w:rsidR="000E57FF" w:rsidRDefault="00D23F75" w:rsidP="00F4447C">
      <w:pPr>
        <w:pStyle w:val="USBodyText"/>
      </w:pPr>
      <w:r>
        <w:t xml:space="preserve">A senior Minister should be appointed </w:t>
      </w:r>
      <w:r w:rsidR="00A24AAF">
        <w:t>with cross-portfolio responsibility</w:t>
      </w:r>
      <w:r w:rsidR="000E57FF">
        <w:t xml:space="preserve"> </w:t>
      </w:r>
      <w:r w:rsidR="00A24AAF">
        <w:t xml:space="preserve">for </w:t>
      </w:r>
      <w:r w:rsidR="000E57FF">
        <w:t xml:space="preserve">addressing persistent </w:t>
      </w:r>
      <w:r w:rsidR="00304521">
        <w:t>disadvantage</w:t>
      </w:r>
      <w:r w:rsidR="000E57FF">
        <w:t>.</w:t>
      </w:r>
      <w:r w:rsidR="00304521">
        <w:t xml:space="preserve"> To avoid conflicts of interest, </w:t>
      </w:r>
      <w:r w:rsidR="00F4447C">
        <w:t xml:space="preserve">this </w:t>
      </w:r>
      <w:r w:rsidR="00AB3E94">
        <w:t xml:space="preserve">Minister </w:t>
      </w:r>
      <w:r w:rsidR="00304521" w:rsidRPr="003978E7">
        <w:t>should not have responsibility for a</w:t>
      </w:r>
      <w:r w:rsidR="00C20310">
        <w:t>ny other</w:t>
      </w:r>
      <w:r w:rsidR="00304521" w:rsidRPr="003978E7">
        <w:t xml:space="preserve"> social policy portfolio.</w:t>
      </w:r>
    </w:p>
    <w:p w14:paraId="282EE0CE" w14:textId="266EE19C" w:rsidR="00E211B9" w:rsidRPr="00DD5548" w:rsidRDefault="00E211B9" w:rsidP="00331653">
      <w:pPr>
        <w:ind w:left="851"/>
      </w:pPr>
      <w:r>
        <w:t xml:space="preserve">The Minister should be given specific responsibility for co-ordinating a system of </w:t>
      </w:r>
      <w:r w:rsidRPr="000177FE">
        <w:t>regular review</w:t>
      </w:r>
      <w:r>
        <w:t xml:space="preserve">s of those </w:t>
      </w:r>
      <w:proofErr w:type="gramStart"/>
      <w:r w:rsidRPr="000177FE">
        <w:t>provid</w:t>
      </w:r>
      <w:r>
        <w:t>ing</w:t>
      </w:r>
      <w:r w:rsidRPr="000177FE">
        <w:t xml:space="preserve"> assistance</w:t>
      </w:r>
      <w:proofErr w:type="gramEnd"/>
      <w:r w:rsidRPr="000177FE">
        <w:t xml:space="preserve"> and what they provide to ensure that the most effective approach is being used</w:t>
      </w:r>
      <w:r>
        <w:t>.</w:t>
      </w:r>
    </w:p>
    <w:p w14:paraId="1388FA79" w14:textId="7758F68D" w:rsidR="00191AD2" w:rsidRPr="00DD5548" w:rsidRDefault="00191AD2" w:rsidP="00537942">
      <w:pPr>
        <w:pStyle w:val="ListParagraph"/>
        <w:keepNext/>
        <w:keepLines/>
        <w:numPr>
          <w:ilvl w:val="0"/>
          <w:numId w:val="16"/>
        </w:numPr>
        <w:spacing w:before="200" w:after="40" w:line="300" w:lineRule="atLeast"/>
        <w:outlineLvl w:val="3"/>
        <w:rPr>
          <w:rFonts w:eastAsiaTheme="majorEastAsia" w:cstheme="majorBidi"/>
          <w:b/>
          <w:iCs/>
          <w:color w:val="0094C5" w:themeColor="accent1"/>
          <w:sz w:val="24"/>
        </w:rPr>
      </w:pPr>
      <w:r w:rsidRPr="005E734A">
        <w:rPr>
          <w:rFonts w:eastAsiaTheme="majorEastAsia" w:cstheme="majorBidi"/>
          <w:b/>
          <w:iCs/>
          <w:color w:val="0094C5" w:themeColor="accent1"/>
          <w:sz w:val="24"/>
        </w:rPr>
        <w:t xml:space="preserve">Establish a lead specialist </w:t>
      </w:r>
      <w:proofErr w:type="gramStart"/>
      <w:r w:rsidRPr="005E734A">
        <w:rPr>
          <w:rFonts w:eastAsiaTheme="majorEastAsia" w:cstheme="majorBidi"/>
          <w:b/>
          <w:iCs/>
          <w:color w:val="0094C5" w:themeColor="accent1"/>
          <w:sz w:val="24"/>
        </w:rPr>
        <w:t>department</w:t>
      </w:r>
      <w:proofErr w:type="gramEnd"/>
    </w:p>
    <w:p w14:paraId="00794D44" w14:textId="32E2FC22" w:rsidR="00BE5500" w:rsidRDefault="00BE5500" w:rsidP="00F4447C">
      <w:pPr>
        <w:pStyle w:val="USBodyText"/>
      </w:pPr>
      <w:r w:rsidRPr="003978E7">
        <w:t xml:space="preserve">A lead department that does not have </w:t>
      </w:r>
      <w:r w:rsidR="00F4447C" w:rsidRPr="003978E7">
        <w:t xml:space="preserve">other social assistance </w:t>
      </w:r>
      <w:r w:rsidRPr="003978E7">
        <w:t>delivery function</w:t>
      </w:r>
      <w:r w:rsidR="00F4447C" w:rsidRPr="003978E7">
        <w:t>s</w:t>
      </w:r>
      <w:r w:rsidRPr="003978E7">
        <w:t xml:space="preserve"> should </w:t>
      </w:r>
      <w:r w:rsidR="005E7834" w:rsidRPr="003978E7">
        <w:t>support the Minister</w:t>
      </w:r>
      <w:r w:rsidR="005E7834">
        <w:t>. It</w:t>
      </w:r>
      <w:r w:rsidR="002F1419">
        <w:t>s</w:t>
      </w:r>
      <w:r w:rsidR="005E7834">
        <w:t xml:space="preserve"> roles should include:</w:t>
      </w:r>
    </w:p>
    <w:p w14:paraId="1386C65F" w14:textId="272A3A39" w:rsidR="005E7834" w:rsidRDefault="005E7834" w:rsidP="005E7834">
      <w:pPr>
        <w:pStyle w:val="USBullet1"/>
      </w:pPr>
      <w:r>
        <w:t>P</w:t>
      </w:r>
      <w:r w:rsidR="00B459C9">
        <w:t>roviding p</w:t>
      </w:r>
      <w:r>
        <w:t>olicy a</w:t>
      </w:r>
      <w:r w:rsidR="00B459C9">
        <w:t>dvice</w:t>
      </w:r>
    </w:p>
    <w:p w14:paraId="41FEEA1C" w14:textId="1B45D9A1" w:rsidR="005E7834" w:rsidRDefault="005E7834" w:rsidP="005E7834">
      <w:pPr>
        <w:pStyle w:val="USBullet1"/>
      </w:pPr>
      <w:r>
        <w:t>Exercising independent monitor</w:t>
      </w:r>
      <w:r w:rsidR="00F65950">
        <w:t>ing</w:t>
      </w:r>
      <w:r>
        <w:t xml:space="preserve"> activities, as required under the</w:t>
      </w:r>
      <w:r w:rsidR="00393D1D">
        <w:t xml:space="preserve"> proposed</w:t>
      </w:r>
      <w:r>
        <w:t xml:space="preserve"> Social Accountability Act</w:t>
      </w:r>
    </w:p>
    <w:p w14:paraId="6A9E973F" w14:textId="0996835C" w:rsidR="00683179" w:rsidRDefault="004E0F58" w:rsidP="005E7834">
      <w:pPr>
        <w:pStyle w:val="USBullet1"/>
      </w:pPr>
      <w:r>
        <w:t xml:space="preserve">Using data held by other departments (with </w:t>
      </w:r>
      <w:r w:rsidR="00746073">
        <w:t xml:space="preserve">appropriate safeguards) </w:t>
      </w:r>
      <w:r w:rsidR="00EF479B">
        <w:t xml:space="preserve">to identify the group of people experiencing persistent disadvantage and those who might be at risk of doing </w:t>
      </w:r>
      <w:proofErr w:type="gramStart"/>
      <w:r w:rsidR="00EF479B">
        <w:t>so</w:t>
      </w:r>
      <w:proofErr w:type="gramEnd"/>
    </w:p>
    <w:p w14:paraId="299182C8" w14:textId="77777777" w:rsidR="00330B20" w:rsidRDefault="00EA0EB5" w:rsidP="00DD5548">
      <w:pPr>
        <w:pStyle w:val="USBullet1"/>
        <w:ind w:left="1276"/>
      </w:pPr>
      <w:r>
        <w:t xml:space="preserve">Establishing a network of Place-based </w:t>
      </w:r>
      <w:r w:rsidR="00344CA8">
        <w:t xml:space="preserve">Initiatives </w:t>
      </w:r>
      <w:r>
        <w:t xml:space="preserve">to assist people </w:t>
      </w:r>
      <w:r w:rsidR="00344CA8">
        <w:t xml:space="preserve">experiencing persistent disadvantage. </w:t>
      </w:r>
    </w:p>
    <w:p w14:paraId="078BBA29" w14:textId="3D48DFDD" w:rsidR="00420DE9" w:rsidRDefault="00420DE9" w:rsidP="00BD65BA">
      <w:pPr>
        <w:pStyle w:val="USBullet1"/>
      </w:pPr>
      <w:r>
        <w:t>Championing the development of a contracting system for outcomes to engage NGOs. The work should be realistic and be targeted at improvements, not perfection, A ‘test, learn and adapt’ approach should be applied.</w:t>
      </w:r>
    </w:p>
    <w:p w14:paraId="45331D70" w14:textId="57BC521A" w:rsidR="00330B20" w:rsidRPr="00DD5548" w:rsidRDefault="00330B20" w:rsidP="00330B20">
      <w:pPr>
        <w:pStyle w:val="ListParagraph"/>
        <w:keepNext/>
        <w:keepLines/>
        <w:numPr>
          <w:ilvl w:val="0"/>
          <w:numId w:val="16"/>
        </w:numPr>
        <w:spacing w:before="200" w:after="40" w:line="300" w:lineRule="atLeast"/>
        <w:outlineLvl w:val="3"/>
        <w:rPr>
          <w:rFonts w:eastAsiaTheme="majorEastAsia" w:cstheme="majorBidi"/>
          <w:b/>
          <w:iCs/>
          <w:color w:val="0094C5" w:themeColor="accent1"/>
          <w:sz w:val="24"/>
        </w:rPr>
      </w:pPr>
      <w:r>
        <w:rPr>
          <w:rFonts w:eastAsiaTheme="majorEastAsia" w:cstheme="majorBidi"/>
          <w:b/>
          <w:iCs/>
          <w:color w:val="0094C5" w:themeColor="accent1"/>
          <w:sz w:val="24"/>
        </w:rPr>
        <w:lastRenderedPageBreak/>
        <w:t xml:space="preserve">Create a new role of lead community </w:t>
      </w:r>
      <w:proofErr w:type="gramStart"/>
      <w:r>
        <w:rPr>
          <w:rFonts w:eastAsiaTheme="majorEastAsia" w:cstheme="majorBidi"/>
          <w:b/>
          <w:iCs/>
          <w:color w:val="0094C5" w:themeColor="accent1"/>
          <w:sz w:val="24"/>
        </w:rPr>
        <w:t>worker</w:t>
      </w:r>
      <w:proofErr w:type="gramEnd"/>
    </w:p>
    <w:p w14:paraId="2283774C" w14:textId="2255F9CB" w:rsidR="002E5302" w:rsidRDefault="00330B20" w:rsidP="00330B20">
      <w:pPr>
        <w:pStyle w:val="USBodyText"/>
      </w:pPr>
      <w:r>
        <w:t xml:space="preserve">PBIs should </w:t>
      </w:r>
      <w:r w:rsidR="00743B4C">
        <w:t xml:space="preserve">employ </w:t>
      </w:r>
      <w:r w:rsidR="00070525">
        <w:t>lead community worker</w:t>
      </w:r>
      <w:r w:rsidR="00743B4C">
        <w:t>s</w:t>
      </w:r>
      <w:r w:rsidR="00857D6F">
        <w:t xml:space="preserve"> who will wor</w:t>
      </w:r>
      <w:r w:rsidR="0062273F">
        <w:t>k</w:t>
      </w:r>
      <w:r w:rsidR="00857D6F">
        <w:t xml:space="preserve"> with </w:t>
      </w:r>
      <w:r w:rsidR="0062273F">
        <w:t>whānau experiencing persistent disadvantage</w:t>
      </w:r>
      <w:r w:rsidR="003978E7">
        <w:t xml:space="preserve">. </w:t>
      </w:r>
      <w:r w:rsidR="002E5302">
        <w:t xml:space="preserve">The role of a </w:t>
      </w:r>
      <w:r w:rsidR="00070525">
        <w:t>lead community worker</w:t>
      </w:r>
      <w:r w:rsidR="002648B0">
        <w:t xml:space="preserve"> includes</w:t>
      </w:r>
      <w:r w:rsidR="00865940">
        <w:t>:</w:t>
      </w:r>
      <w:r w:rsidR="002E5302">
        <w:t xml:space="preserve"> </w:t>
      </w:r>
    </w:p>
    <w:p w14:paraId="3FA9F6B7" w14:textId="43165C32" w:rsidR="00C901AA" w:rsidRDefault="002E5302" w:rsidP="00537942">
      <w:pPr>
        <w:pStyle w:val="USBullet2"/>
        <w:numPr>
          <w:ilvl w:val="0"/>
          <w:numId w:val="17"/>
        </w:numPr>
      </w:pPr>
      <w:r>
        <w:t>building trusted and trusting relationships</w:t>
      </w:r>
      <w:r w:rsidR="00F918ED">
        <w:t xml:space="preserve"> with the people they are </w:t>
      </w:r>
      <w:proofErr w:type="gramStart"/>
      <w:r w:rsidR="00F918ED">
        <w:t>assisting</w:t>
      </w:r>
      <w:proofErr w:type="gramEnd"/>
    </w:p>
    <w:p w14:paraId="54F28700" w14:textId="77777777" w:rsidR="007F6462" w:rsidRDefault="00F918ED" w:rsidP="00537942">
      <w:pPr>
        <w:pStyle w:val="USBullet2"/>
        <w:numPr>
          <w:ilvl w:val="0"/>
          <w:numId w:val="17"/>
        </w:numPr>
      </w:pPr>
      <w:r>
        <w:t>working with</w:t>
      </w:r>
      <w:r w:rsidR="002648B0">
        <w:t xml:space="preserve"> them</w:t>
      </w:r>
      <w:r>
        <w:t xml:space="preserve"> </w:t>
      </w:r>
      <w:r w:rsidR="002E5302">
        <w:t>in identifying the changes they want to make in their lives and</w:t>
      </w:r>
    </w:p>
    <w:p w14:paraId="39E00A64" w14:textId="7F6A8E31" w:rsidR="002E5302" w:rsidRDefault="002E5302" w:rsidP="00537942">
      <w:pPr>
        <w:pStyle w:val="USBullet2"/>
        <w:numPr>
          <w:ilvl w:val="0"/>
          <w:numId w:val="17"/>
        </w:numPr>
      </w:pPr>
      <w:r>
        <w:t>facilitating the support needed to effect those changes (including through providing overall assessments of eligibility, navigating existing services, and developing suitable bespoke assistance)</w:t>
      </w:r>
      <w:r w:rsidR="002648B0">
        <w:t>.</w:t>
      </w:r>
    </w:p>
    <w:p w14:paraId="77E18F06" w14:textId="37EDC61F" w:rsidR="00EE67B2" w:rsidRPr="000177FE" w:rsidRDefault="00070525" w:rsidP="00DD5548">
      <w:pPr>
        <w:pStyle w:val="USBodyText"/>
      </w:pPr>
      <w:r>
        <w:t>Lead community worker</w:t>
      </w:r>
      <w:r w:rsidR="002E5302" w:rsidRPr="00DD5548">
        <w:t>s</w:t>
      </w:r>
      <w:r w:rsidR="002E5302" w:rsidRPr="00DD5548" w:rsidDel="002E5302">
        <w:t xml:space="preserve"> </w:t>
      </w:r>
      <w:r w:rsidR="00EE67B2" w:rsidRPr="002E5302">
        <w:t>should</w:t>
      </w:r>
      <w:r w:rsidR="00EE67B2" w:rsidRPr="000177FE">
        <w:t xml:space="preserve"> have two accountabilities:</w:t>
      </w:r>
    </w:p>
    <w:p w14:paraId="2338C4EE" w14:textId="4E4DA9FA" w:rsidR="00EE67B2" w:rsidRPr="000509FB" w:rsidRDefault="00EE67B2" w:rsidP="00DD5548">
      <w:pPr>
        <w:pStyle w:val="USBullet1"/>
      </w:pPr>
      <w:r w:rsidRPr="000509FB">
        <w:t>to the people experiencing persistent disadvantage to assist them in effecting the desired changes to their lives</w:t>
      </w:r>
      <w:r w:rsidR="007F6462">
        <w:t xml:space="preserve"> and</w:t>
      </w:r>
    </w:p>
    <w:p w14:paraId="53E799BA" w14:textId="77777777" w:rsidR="00EE67B2" w:rsidRDefault="00EE67B2" w:rsidP="002E5302">
      <w:pPr>
        <w:pStyle w:val="USBullet1"/>
      </w:pPr>
      <w:r w:rsidRPr="000177FE">
        <w:t xml:space="preserve">to their employers for the </w:t>
      </w:r>
      <w:proofErr w:type="gramStart"/>
      <w:r w:rsidRPr="000177FE">
        <w:t>work</w:t>
      </w:r>
      <w:proofErr w:type="gramEnd"/>
      <w:r w:rsidRPr="000177FE">
        <w:t xml:space="preserve"> they do.</w:t>
      </w:r>
    </w:p>
    <w:p w14:paraId="1316865C" w14:textId="4BA1180C" w:rsidR="00423848" w:rsidRDefault="00E211B9" w:rsidP="00537942">
      <w:pPr>
        <w:pStyle w:val="ListParagraph"/>
        <w:keepNext/>
        <w:keepLines/>
        <w:numPr>
          <w:ilvl w:val="0"/>
          <w:numId w:val="16"/>
        </w:numPr>
        <w:spacing w:before="200" w:after="40" w:line="300" w:lineRule="atLeast"/>
        <w:outlineLvl w:val="3"/>
        <w:rPr>
          <w:rFonts w:eastAsiaTheme="majorEastAsia" w:cstheme="majorBidi"/>
          <w:b/>
          <w:iCs/>
          <w:color w:val="0094C5" w:themeColor="accent1"/>
          <w:sz w:val="24"/>
        </w:rPr>
      </w:pPr>
      <w:bookmarkStart w:id="621" w:name="_Hlk125967581"/>
      <w:r>
        <w:rPr>
          <w:rFonts w:eastAsiaTheme="majorEastAsia" w:cstheme="majorBidi"/>
          <w:b/>
          <w:iCs/>
          <w:color w:val="0094C5" w:themeColor="accent1"/>
          <w:sz w:val="24"/>
        </w:rPr>
        <w:t xml:space="preserve">Streamline </w:t>
      </w:r>
      <w:r w:rsidR="00C5417B">
        <w:rPr>
          <w:rFonts w:eastAsiaTheme="majorEastAsia" w:cstheme="majorBidi"/>
          <w:b/>
          <w:iCs/>
          <w:color w:val="0094C5" w:themeColor="accent1"/>
          <w:sz w:val="24"/>
        </w:rPr>
        <w:t xml:space="preserve">constitutional </w:t>
      </w:r>
      <w:proofErr w:type="gramStart"/>
      <w:r w:rsidR="00C5417B">
        <w:rPr>
          <w:rFonts w:eastAsiaTheme="majorEastAsia" w:cstheme="majorBidi"/>
          <w:b/>
          <w:iCs/>
          <w:color w:val="0094C5" w:themeColor="accent1"/>
          <w:sz w:val="24"/>
        </w:rPr>
        <w:t>accountability</w:t>
      </w:r>
      <w:proofErr w:type="gramEnd"/>
    </w:p>
    <w:p w14:paraId="0824A1BF" w14:textId="1B618FB1" w:rsidR="00C5417B" w:rsidRDefault="00C5417B" w:rsidP="00C5417B">
      <w:pPr>
        <w:pStyle w:val="USBodyText"/>
      </w:pPr>
      <w:r>
        <w:t>The current system of reporting i</w:t>
      </w:r>
      <w:r w:rsidRPr="00C5417B">
        <w:t>nputs and outputs should be scaled</w:t>
      </w:r>
      <w:r w:rsidR="00331653">
        <w:t xml:space="preserve"> </w:t>
      </w:r>
      <w:r w:rsidRPr="00C5417B">
        <w:t>back.</w:t>
      </w:r>
      <w:r>
        <w:t xml:space="preserve"> </w:t>
      </w:r>
    </w:p>
    <w:p w14:paraId="0C81F4D8" w14:textId="4044B3CF" w:rsidR="00C5417B" w:rsidRDefault="00C5417B" w:rsidP="00C5417B">
      <w:pPr>
        <w:pStyle w:val="USBodyText"/>
      </w:pPr>
      <w:r>
        <w:t>In respect of NGOs, contracts should be written within the context of the wider formal accountability regimes to which they are subject (</w:t>
      </w:r>
      <w:proofErr w:type="gramStart"/>
      <w:r>
        <w:t>e.g.</w:t>
      </w:r>
      <w:proofErr w:type="gramEnd"/>
      <w:r>
        <w:t xml:space="preserve"> the Charities Act) and the informal networks of accountability within which they operate</w:t>
      </w:r>
      <w:r w:rsidR="000F19C2">
        <w:t xml:space="preserve"> </w:t>
      </w:r>
      <w:r>
        <w:t xml:space="preserve">to avoid duplication of effort. </w:t>
      </w:r>
    </w:p>
    <w:p w14:paraId="4B5DDBF9" w14:textId="08D24B93" w:rsidR="00C5417B" w:rsidRDefault="00C5417B" w:rsidP="00C5417B">
      <w:pPr>
        <w:pStyle w:val="USBodyText"/>
      </w:pPr>
      <w:r>
        <w:t>In the case of the systems addressing persistent disadvantage, this should be undertaken in par</w:t>
      </w:r>
      <w:r w:rsidR="00331653">
        <w:t>all</w:t>
      </w:r>
      <w:r>
        <w:t>el with the development of the enhanced democratic accountability regime.</w:t>
      </w:r>
    </w:p>
    <w:p w14:paraId="3A541F7A" w14:textId="73404071" w:rsidR="00E211B9" w:rsidRPr="00831A47" w:rsidRDefault="00C5417B" w:rsidP="008D2B97">
      <w:pPr>
        <w:pStyle w:val="USBodyText"/>
      </w:pPr>
      <w:r>
        <w:t>The Auditor-General’s proposed review of accountability should examine other areas of government.</w:t>
      </w:r>
    </w:p>
    <w:bookmarkEnd w:id="621"/>
    <w:p w14:paraId="016C8994" w14:textId="04B388FB" w:rsidR="00E211B9" w:rsidRPr="00331653" w:rsidRDefault="00E211B9" w:rsidP="00537942">
      <w:pPr>
        <w:pStyle w:val="ListParagraph"/>
        <w:keepNext/>
        <w:keepLines/>
        <w:numPr>
          <w:ilvl w:val="0"/>
          <w:numId w:val="16"/>
        </w:numPr>
        <w:spacing w:before="200" w:after="40" w:line="300" w:lineRule="atLeast"/>
        <w:outlineLvl w:val="3"/>
        <w:rPr>
          <w:rFonts w:eastAsiaTheme="majorEastAsia" w:cstheme="majorBidi"/>
          <w:b/>
          <w:iCs/>
          <w:color w:val="0094C5" w:themeColor="accent1"/>
          <w:sz w:val="24"/>
        </w:rPr>
      </w:pPr>
      <w:r w:rsidRPr="00DD5548">
        <w:rPr>
          <w:rFonts w:eastAsiaTheme="majorEastAsia" w:cstheme="majorBidi"/>
          <w:b/>
          <w:iCs/>
          <w:color w:val="0094C5" w:themeColor="accent1"/>
          <w:sz w:val="24"/>
        </w:rPr>
        <w:t xml:space="preserve">Embed effective systems thinking at all </w:t>
      </w:r>
      <w:proofErr w:type="gramStart"/>
      <w:r w:rsidRPr="00DD5548">
        <w:rPr>
          <w:rFonts w:eastAsiaTheme="majorEastAsia" w:cstheme="majorBidi"/>
          <w:b/>
          <w:iCs/>
          <w:color w:val="0094C5" w:themeColor="accent1"/>
          <w:sz w:val="24"/>
        </w:rPr>
        <w:t>levels</w:t>
      </w:r>
      <w:proofErr w:type="gramEnd"/>
    </w:p>
    <w:p w14:paraId="4AD3B86C" w14:textId="56B1BBF6" w:rsidR="000479A4" w:rsidRDefault="00DD5548" w:rsidP="00423848">
      <w:pPr>
        <w:ind w:left="851"/>
      </w:pPr>
      <w:r>
        <w:t xml:space="preserve">A </w:t>
      </w:r>
      <w:proofErr w:type="gramStart"/>
      <w:r w:rsidR="007914CB">
        <w:t>s</w:t>
      </w:r>
      <w:r w:rsidR="00423848" w:rsidRPr="000177FE">
        <w:t>ystems</w:t>
      </w:r>
      <w:proofErr w:type="gramEnd"/>
      <w:r w:rsidR="00423848" w:rsidRPr="000177FE">
        <w:t xml:space="preserve"> thinking </w:t>
      </w:r>
      <w:r w:rsidR="007914CB">
        <w:t>approach should be</w:t>
      </w:r>
      <w:r w:rsidR="000479A4">
        <w:t xml:space="preserve">come a </w:t>
      </w:r>
      <w:r w:rsidR="002472E9">
        <w:t xml:space="preserve">bedrock </w:t>
      </w:r>
      <w:r w:rsidR="000479A4">
        <w:t>feature of all organisations addressing persistent disadvantage.</w:t>
      </w:r>
    </w:p>
    <w:p w14:paraId="11B6603C" w14:textId="657EF309" w:rsidR="00423848" w:rsidRPr="000177FE" w:rsidRDefault="000479A4" w:rsidP="00423848">
      <w:pPr>
        <w:ind w:left="851"/>
      </w:pPr>
      <w:r>
        <w:t xml:space="preserve">Systems thinking </w:t>
      </w:r>
      <w:r w:rsidR="00423848" w:rsidRPr="000177FE">
        <w:t xml:space="preserve">is about </w:t>
      </w:r>
      <w:r w:rsidR="008D6C8C">
        <w:t xml:space="preserve">the </w:t>
      </w:r>
      <w:r w:rsidR="00423848" w:rsidRPr="000177FE">
        <w:t xml:space="preserve">deliberate, ongoing examination of operations to determine </w:t>
      </w:r>
      <w:r w:rsidR="000011E4">
        <w:t>possible improvements and then mak</w:t>
      </w:r>
      <w:r w:rsidR="005C79B1">
        <w:t>ing</w:t>
      </w:r>
      <w:r w:rsidR="00423848" w:rsidRPr="000177FE">
        <w:t xml:space="preserve"> any required changes. </w:t>
      </w:r>
    </w:p>
    <w:p w14:paraId="1C96AAC0" w14:textId="226A585E" w:rsidR="00423848" w:rsidRDefault="00423848" w:rsidP="00423848">
      <w:pPr>
        <w:ind w:left="851"/>
      </w:pPr>
      <w:r w:rsidRPr="000509FB">
        <w:t>Front</w:t>
      </w:r>
      <w:r>
        <w:t>-</w:t>
      </w:r>
      <w:r w:rsidRPr="000509FB">
        <w:t xml:space="preserve">line </w:t>
      </w:r>
      <w:r w:rsidR="005C79B1">
        <w:t>staff</w:t>
      </w:r>
      <w:r w:rsidR="005C79B1" w:rsidRPr="000509FB">
        <w:t xml:space="preserve"> </w:t>
      </w:r>
      <w:r w:rsidRPr="000509FB">
        <w:t>should</w:t>
      </w:r>
      <w:r>
        <w:t xml:space="preserve"> be</w:t>
      </w:r>
      <w:r w:rsidRPr="000509FB">
        <w:t xml:space="preserve"> accountab</w:t>
      </w:r>
      <w:r>
        <w:t>le</w:t>
      </w:r>
      <w:r w:rsidRPr="000509FB">
        <w:t xml:space="preserve"> to their employers</w:t>
      </w:r>
      <w:r w:rsidR="003960AC">
        <w:t xml:space="preserve"> via job descriptions and operating models</w:t>
      </w:r>
      <w:r w:rsidRPr="000509FB">
        <w:t xml:space="preserve"> to always be alert to ways to improve</w:t>
      </w:r>
      <w:r w:rsidRPr="000177FE">
        <w:t xml:space="preserve"> the systems they operate. </w:t>
      </w:r>
    </w:p>
    <w:p w14:paraId="5B215021" w14:textId="2E58F52D" w:rsidR="00423848" w:rsidRDefault="00423848" w:rsidP="00423848">
      <w:pPr>
        <w:ind w:left="851"/>
      </w:pPr>
      <w:r w:rsidRPr="000177FE">
        <w:t xml:space="preserve">Those employers (including supervisors, managers, executives, and Ministers) should be accountable for ensuring that identified reforms are examined and implemented if they will increase productivity. </w:t>
      </w:r>
      <w:r w:rsidR="003960AC">
        <w:t>To achieve this, we have recommended t</w:t>
      </w:r>
      <w:r w:rsidR="000479A4">
        <w:t xml:space="preserve">he Social Accountability Act include a requirement for the </w:t>
      </w:r>
      <w:r w:rsidR="000011E4">
        <w:t xml:space="preserve">Minister </w:t>
      </w:r>
      <w:r w:rsidR="000479A4">
        <w:t xml:space="preserve">to </w:t>
      </w:r>
      <w:r w:rsidR="00AB2F54">
        <w:t>demonstrate that a systems thinking approach is in place.</w:t>
      </w:r>
    </w:p>
    <w:p w14:paraId="62ED15AE" w14:textId="77777777" w:rsidR="00BE63C9" w:rsidRDefault="00BE63C9" w:rsidP="00291E9F">
      <w:pPr>
        <w:ind w:left="851"/>
      </w:pPr>
    </w:p>
    <w:p w14:paraId="07C4A817" w14:textId="77777777" w:rsidR="00EC2291" w:rsidRPr="00F543C1" w:rsidRDefault="00EC2291" w:rsidP="004004A3">
      <w:pPr>
        <w:pStyle w:val="USBodyText"/>
      </w:pPr>
    </w:p>
    <w:p w14:paraId="799799E4" w14:textId="77777777" w:rsidR="00760FDE" w:rsidRPr="00F543C1" w:rsidRDefault="00760FDE">
      <w:pPr>
        <w:spacing w:after="160" w:line="259" w:lineRule="auto"/>
        <w:rPr>
          <w:rFonts w:eastAsiaTheme="majorEastAsia" w:cstheme="majorBidi"/>
          <w:b/>
          <w:color w:val="0094C5"/>
          <w:sz w:val="32"/>
          <w:szCs w:val="32"/>
        </w:rPr>
      </w:pPr>
      <w:bookmarkStart w:id="622" w:name="_Toc122443648"/>
      <w:bookmarkStart w:id="623" w:name="_Toc120275726"/>
      <w:bookmarkEnd w:id="616"/>
      <w:r w:rsidRPr="00F543C1">
        <w:br w:type="page"/>
      </w:r>
    </w:p>
    <w:p w14:paraId="35E2B98D" w14:textId="7688B135" w:rsidR="00F07B4E" w:rsidRPr="00F543C1" w:rsidRDefault="00F07B4E" w:rsidP="00C86DED">
      <w:pPr>
        <w:pStyle w:val="Heading1"/>
      </w:pPr>
      <w:bookmarkStart w:id="624" w:name="_Toc126092152"/>
      <w:bookmarkStart w:id="625" w:name="_Toc126841230"/>
      <w:r w:rsidRPr="00F543C1">
        <w:lastRenderedPageBreak/>
        <w:t>References</w:t>
      </w:r>
      <w:bookmarkEnd w:id="622"/>
      <w:bookmarkEnd w:id="623"/>
      <w:bookmarkEnd w:id="624"/>
      <w:bookmarkEnd w:id="625"/>
    </w:p>
    <w:p w14:paraId="79263DFE" w14:textId="77777777" w:rsidR="00CB784E" w:rsidRDefault="006A5DBB" w:rsidP="00CB784E">
      <w:pPr>
        <w:pStyle w:val="Bibliography"/>
      </w:pPr>
      <w:r w:rsidRPr="00F543C1">
        <w:fldChar w:fldCharType="begin"/>
      </w:r>
      <w:r w:rsidR="00CB784E">
        <w:instrText xml:space="preserve"> ADDIN ZOTERO_BIBL {"uncited":[],"omitted":[],"custom":[]} CSL_BIBLIOGRAPHY </w:instrText>
      </w:r>
      <w:r w:rsidRPr="00F543C1">
        <w:fldChar w:fldCharType="separate"/>
      </w:r>
      <w:r w:rsidR="00CB784E">
        <w:t>1News. 2021. ‘“Multiple Levels of Injustice” Contributing to Low Māori Vaccination Rates’. 1 News. 6 October 2021. https://www.1news.co.nz/2021/10/05/multiple-levels-of-injustice-contributing-to-low-maori-vaccination-rates/.</w:t>
      </w:r>
    </w:p>
    <w:p w14:paraId="4B2524A5" w14:textId="77777777" w:rsidR="00CB784E" w:rsidRDefault="00CB784E" w:rsidP="00CB784E">
      <w:pPr>
        <w:pStyle w:val="Bibliography"/>
      </w:pPr>
      <w:r>
        <w:t>Abuse in Care Royal Commission of Inquiry. 2022. ‘Beautiful Children: Inquiry into the Lake Alice Child and Adolescent Unit’. Wellington: Abuse in Care Royal Commission of Inquiry. https://www.abuseincare.org.nz/our-progress/reports/inquiry-into-the-lake-alice-child-and-adolescent-unit/.</w:t>
      </w:r>
    </w:p>
    <w:p w14:paraId="6AFBB304" w14:textId="77777777" w:rsidR="00CB784E" w:rsidRDefault="00CB784E" w:rsidP="00CB784E">
      <w:pPr>
        <w:pStyle w:val="Bibliography"/>
      </w:pPr>
      <w:r>
        <w:t xml:space="preserve">Adams, Peter. 2015. </w:t>
      </w:r>
      <w:r>
        <w:rPr>
          <w:i/>
          <w:iCs/>
        </w:rPr>
        <w:t>Fatal Necessity: British Intervention in New Zealand, 1830–1847</w:t>
      </w:r>
      <w:r>
        <w:t>. Kindle Edition. Wellington: Bridget Williams Books.</w:t>
      </w:r>
    </w:p>
    <w:p w14:paraId="550FA1EE" w14:textId="77777777" w:rsidR="00CB784E" w:rsidRDefault="00CB784E" w:rsidP="00CB784E">
      <w:pPr>
        <w:pStyle w:val="Bibliography"/>
      </w:pPr>
      <w:r>
        <w:t xml:space="preserve">Addink, Henk. 2019. ‘The Principle of Accountability’. In </w:t>
      </w:r>
      <w:r>
        <w:rPr>
          <w:i/>
          <w:iCs/>
        </w:rPr>
        <w:t>Good Governance</w:t>
      </w:r>
      <w:r>
        <w:t>, by Henk Addink, 157–70. Oxford University Press. https://doi.org/10.1093/oso/9780198841159.003.0011.</w:t>
      </w:r>
    </w:p>
    <w:p w14:paraId="53C3FC81" w14:textId="77777777" w:rsidR="00CB784E" w:rsidRDefault="00CB784E" w:rsidP="00CB784E">
      <w:pPr>
        <w:pStyle w:val="Bibliography"/>
      </w:pPr>
      <w:r>
        <w:t xml:space="preserve">AmbitionNZ, dir. 2019. </w:t>
      </w:r>
      <w:r>
        <w:rPr>
          <w:i/>
          <w:iCs/>
        </w:rPr>
        <w:t>Carolyne October</w:t>
      </w:r>
      <w:r>
        <w:t>. https://www.youtube.com/watch?v=4UoKfJKxF2w.</w:t>
      </w:r>
    </w:p>
    <w:p w14:paraId="20BAC0EC" w14:textId="77777777" w:rsidR="00CB784E" w:rsidRDefault="00CB784E" w:rsidP="00CB784E">
      <w:pPr>
        <w:pStyle w:val="Bibliography"/>
      </w:pPr>
      <w:r>
        <w:t>Arugay, Aries. 2016. ‘Sanctions, Rewards and Learning: Enforcing Democratic Accountability in the Delivery of Health, Education, and Water, Sanitation and Hygiene’. International IDEA Discussion Paper No. 16/2016. Stockholm: International Institute for Democracy and Electoral Assistance. https://www.idea.int/publications/catalogue/sanctions-rewards-and-learning-enforcing-democratic-accountability-delivery.</w:t>
      </w:r>
    </w:p>
    <w:p w14:paraId="3787F254" w14:textId="77777777" w:rsidR="00CB784E" w:rsidRDefault="00CB784E" w:rsidP="00CB784E">
      <w:pPr>
        <w:pStyle w:val="Bibliography"/>
      </w:pPr>
      <w:r>
        <w:t>Asian Family Services. 2022a. ‘A Fair Chance for All - Breaking the Disadvantage Cycle Submission’. 2022. https://www.productivity.govt.nz/assets/Submission-Documents/a-fair-chance-for-all/Sub-026-Asian-Family-Services.pdf.</w:t>
      </w:r>
    </w:p>
    <w:p w14:paraId="75685D20" w14:textId="77777777" w:rsidR="00CB784E" w:rsidRDefault="00CB784E" w:rsidP="00CB784E">
      <w:pPr>
        <w:pStyle w:val="Bibliography"/>
      </w:pPr>
      <w:r>
        <w:t>———. 2022b. ‘Submission on: Interim Report on A Fair Chance for All’. 2022. https://www.asianfamilyservices.nz/media/1mjbyxmm/feedback-on-a-fair-chance-for-all-interim-report.pdf.</w:t>
      </w:r>
    </w:p>
    <w:p w14:paraId="3FC981F2" w14:textId="77777777" w:rsidR="00CB784E" w:rsidRDefault="00CB784E" w:rsidP="00CB784E">
      <w:pPr>
        <w:pStyle w:val="Bibliography"/>
      </w:pPr>
      <w:r>
        <w:t xml:space="preserve">Aucoin, Peter, and Ralph Heintzman. 2000. ‘The Dialectics of Accountability for Performance in Public Management Reform’. </w:t>
      </w:r>
      <w:r>
        <w:rPr>
          <w:i/>
          <w:iCs/>
        </w:rPr>
        <w:t>International Review of Administrative Sciences</w:t>
      </w:r>
      <w:r>
        <w:t xml:space="preserve"> 66 (1): 45–55.</w:t>
      </w:r>
    </w:p>
    <w:p w14:paraId="308AFB5B" w14:textId="77777777" w:rsidR="00CB784E" w:rsidRDefault="00CB784E" w:rsidP="00CB784E">
      <w:pPr>
        <w:pStyle w:val="Bibliography"/>
      </w:pPr>
      <w:r>
        <w:t>Australian Bureau of Statistics. 2022. ‘Census of Population and Housing - Counts of Aboriginal and Torres Strait Islander Australians, 2021 |’. 2022. https://www.abs.gov.au/statistics/people/aboriginal-and-torres-strait-islander-peoples/census-population-and-housing-counts-aboriginal-and-torres-strait-islander-australians/latest-release.</w:t>
      </w:r>
    </w:p>
    <w:p w14:paraId="5ED98EC0" w14:textId="77777777" w:rsidR="00CB784E" w:rsidRDefault="00CB784E" w:rsidP="00CB784E">
      <w:pPr>
        <w:pStyle w:val="Bibliography"/>
      </w:pPr>
      <w:r>
        <w:t>Barker, Susan. 2022. ‘Focus on Purpose – What Does a World-Leading Framework of Charities Law Look Like?’ Wellington: New Zealand Law Foundation Te Manatū a Ture o Aotearoa.</w:t>
      </w:r>
    </w:p>
    <w:p w14:paraId="5B463A88" w14:textId="77777777" w:rsidR="00CB784E" w:rsidRDefault="00CB784E" w:rsidP="00CB784E">
      <w:pPr>
        <w:pStyle w:val="Bibliography"/>
      </w:pPr>
      <w:r>
        <w:t xml:space="preserve">Baron, Jon. 2018. ‘A Brief History of Evidence-Based Policy’. </w:t>
      </w:r>
      <w:r>
        <w:rPr>
          <w:i/>
          <w:iCs/>
        </w:rPr>
        <w:t>The ANNALS of the American Academy of Political and Social Science</w:t>
      </w:r>
      <w:r>
        <w:t xml:space="preserve"> 678 (1): 40–50. https://doi.org/10.1177/0002716218763128.</w:t>
      </w:r>
    </w:p>
    <w:p w14:paraId="30406AFE" w14:textId="77777777" w:rsidR="00CB784E" w:rsidRDefault="00CB784E" w:rsidP="00CB784E">
      <w:pPr>
        <w:pStyle w:val="Bibliography"/>
      </w:pPr>
      <w:r>
        <w:t xml:space="preserve">Bassett, Michael. 2008. </w:t>
      </w:r>
      <w:r>
        <w:rPr>
          <w:i/>
          <w:iCs/>
        </w:rPr>
        <w:t>Working with David: Inside the Lange Cabinet</w:t>
      </w:r>
      <w:r>
        <w:t>. Auckland, N.Z: Hodder Moa.</w:t>
      </w:r>
    </w:p>
    <w:p w14:paraId="32556838" w14:textId="77777777" w:rsidR="00CB784E" w:rsidRDefault="00CB784E" w:rsidP="00CB784E">
      <w:pPr>
        <w:pStyle w:val="Bibliography"/>
      </w:pPr>
      <w:r>
        <w:t xml:space="preserve">Belsky, Jay, Avshalom Caspi, Terrie Moffitt, and Richie Poulton. 2020. </w:t>
      </w:r>
      <w:r>
        <w:rPr>
          <w:i/>
          <w:iCs/>
        </w:rPr>
        <w:t>The Origins of You: How Childhood Shapes Later Life</w:t>
      </w:r>
      <w:r>
        <w:t>. Cambridge, MA: Harvard University Press.</w:t>
      </w:r>
    </w:p>
    <w:p w14:paraId="118BECEF" w14:textId="77777777" w:rsidR="00CB784E" w:rsidRDefault="00CB784E" w:rsidP="00CB784E">
      <w:pPr>
        <w:pStyle w:val="Bibliography"/>
      </w:pPr>
      <w:r>
        <w:t xml:space="preserve">Besley, Timothy, and Maitreesh Ghatak. 2003. ‘Incentives, Choice, and Accountability in the Provision of Public Services’. </w:t>
      </w:r>
      <w:r>
        <w:rPr>
          <w:i/>
          <w:iCs/>
        </w:rPr>
        <w:t>Oxford Review of Economic Policy</w:t>
      </w:r>
      <w:r>
        <w:t xml:space="preserve"> 19 (2): 235–49. https://doi.org/10.1093/oxrep/19.2.235.</w:t>
      </w:r>
    </w:p>
    <w:p w14:paraId="400D5654" w14:textId="77777777" w:rsidR="00CB784E" w:rsidRDefault="00CB784E" w:rsidP="00CB784E">
      <w:pPr>
        <w:pStyle w:val="Bibliography"/>
      </w:pPr>
      <w:r>
        <w:t xml:space="preserve">Blomqvist, Paula, and Ulrika Winblad. 2022. ‘Contracting out Welfare Services: How Are Private Contractors Held Accountable?’ </w:t>
      </w:r>
      <w:r>
        <w:rPr>
          <w:i/>
          <w:iCs/>
        </w:rPr>
        <w:t>Public Management Review</w:t>
      </w:r>
      <w:r>
        <w:t xml:space="preserve"> 24 (2): 233–54. https://doi.org/10.1080/14719037.2020.1817530.</w:t>
      </w:r>
    </w:p>
    <w:p w14:paraId="5AB5B59F" w14:textId="77777777" w:rsidR="00CB784E" w:rsidRDefault="00CB784E" w:rsidP="00CB784E">
      <w:pPr>
        <w:pStyle w:val="Bibliography"/>
      </w:pPr>
      <w:r>
        <w:t xml:space="preserve">Boadway, Robin, and Neil Bruce. 1984. </w:t>
      </w:r>
      <w:r>
        <w:rPr>
          <w:i/>
          <w:iCs/>
        </w:rPr>
        <w:t>Welfare Economics</w:t>
      </w:r>
      <w:r>
        <w:t>. Oxford: Blackwell.</w:t>
      </w:r>
    </w:p>
    <w:p w14:paraId="08057E31" w14:textId="77777777" w:rsidR="00CB784E" w:rsidRDefault="00CB784E" w:rsidP="00CB784E">
      <w:pPr>
        <w:pStyle w:val="Bibliography"/>
      </w:pPr>
      <w:r>
        <w:lastRenderedPageBreak/>
        <w:t xml:space="preserve">Bockstael, Erika, and Krushil Watene. 2016. ‘Indigenous Peoples and the Capability Approach: Taking Stock’. </w:t>
      </w:r>
      <w:r>
        <w:rPr>
          <w:i/>
          <w:iCs/>
        </w:rPr>
        <w:t>Oxford Development Studies</w:t>
      </w:r>
      <w:r>
        <w:t xml:space="preserve"> 44 (3): 265–70. https://doi.org/10.1080/13600818.2016.1204435.</w:t>
      </w:r>
    </w:p>
    <w:p w14:paraId="55C6C0B7" w14:textId="77777777" w:rsidR="00CB784E" w:rsidRDefault="00CB784E" w:rsidP="00CB784E">
      <w:pPr>
        <w:pStyle w:val="Bibliography"/>
      </w:pPr>
      <w:r>
        <w:t xml:space="preserve">Bohm, Natalie, Sarah Bermingham, Frank Grimsey Jones, Daniela C. Gonçalves-Bradley, Alex Diamantopoulos, Jessica R. Burton, and Hamish Laing. 2022. ‘The Challenges of Outcomes-Based Contract Implementation for Medicines in Europe’. </w:t>
      </w:r>
      <w:r>
        <w:rPr>
          <w:i/>
          <w:iCs/>
        </w:rPr>
        <w:t>PharmacoEconomics</w:t>
      </w:r>
      <w:r>
        <w:t xml:space="preserve"> 40 (1): 13–29. https://doi.org/10.1007/s40273-021-01070-1.</w:t>
      </w:r>
    </w:p>
    <w:p w14:paraId="44DC1F0C" w14:textId="77777777" w:rsidR="00CB784E" w:rsidRDefault="00CB784E" w:rsidP="00CB784E">
      <w:pPr>
        <w:pStyle w:val="Bibliography"/>
      </w:pPr>
      <w:r>
        <w:t>Boshier, Peter. 2022. ‘Chief Ombudsman’s Final Opinion on Managed Isolation Allocation System o’. Wellingon: Office of the Ombusdsman. https://www.ombudsman.parliament.nz/resources/chief-ombudsmans-opinion-under-ombudsmen-act.</w:t>
      </w:r>
    </w:p>
    <w:p w14:paraId="4B9FDEC8" w14:textId="77777777" w:rsidR="00CB784E" w:rsidRDefault="00CB784E" w:rsidP="00CB784E">
      <w:pPr>
        <w:pStyle w:val="Bibliography"/>
      </w:pPr>
      <w:r>
        <w:t xml:space="preserve">Boston, Jonathan, David Bagnall, and Anna Barry. 2019. </w:t>
      </w:r>
      <w:r>
        <w:rPr>
          <w:i/>
          <w:iCs/>
        </w:rPr>
        <w:t>Foresight, Insight and Oversight: Enhancing Long-Term Governance through Better Parliamentary Scrutiny</w:t>
      </w:r>
      <w:r>
        <w:t>. Wellington: Institute for Governance and Policy Studies.</w:t>
      </w:r>
    </w:p>
    <w:p w14:paraId="4F328D2D" w14:textId="77777777" w:rsidR="00CB784E" w:rsidRDefault="00CB784E" w:rsidP="00CB784E">
      <w:pPr>
        <w:pStyle w:val="Bibliography"/>
      </w:pPr>
      <w:r>
        <w:t xml:space="preserve">Boston, Jonathan, and Simon Chapple. 2014. </w:t>
      </w:r>
      <w:r>
        <w:rPr>
          <w:i/>
          <w:iCs/>
        </w:rPr>
        <w:t>Child Poverty in New Zealand</w:t>
      </w:r>
      <w:r>
        <w:t>. Wellington, New Zealand: Bridget Williams Books.</w:t>
      </w:r>
    </w:p>
    <w:p w14:paraId="615ECE1D" w14:textId="77777777" w:rsidR="00CB784E" w:rsidRDefault="00CB784E" w:rsidP="00CB784E">
      <w:pPr>
        <w:pStyle w:val="Bibliography"/>
      </w:pPr>
      <w:r>
        <w:t xml:space="preserve">Boston, Jonathan, Susan St John, and Bob Stephens. 1996. ‘The Quest for Social Responsibility’. </w:t>
      </w:r>
      <w:r>
        <w:rPr>
          <w:i/>
          <w:iCs/>
        </w:rPr>
        <w:t>Social Policy Journal of New Zealand,</w:t>
      </w:r>
      <w:r>
        <w:t xml:space="preserve"> no. 7: 2–6.</w:t>
      </w:r>
    </w:p>
    <w:p w14:paraId="0D16156A" w14:textId="77777777" w:rsidR="00CB784E" w:rsidRDefault="00CB784E" w:rsidP="00CB784E">
      <w:pPr>
        <w:pStyle w:val="Bibliography"/>
      </w:pPr>
      <w:r>
        <w:t xml:space="preserve">Bovens, Mark. 2007a. ‘Analysing and Assessing Accountability: A Conceptual Framework’. </w:t>
      </w:r>
      <w:r>
        <w:rPr>
          <w:i/>
          <w:iCs/>
        </w:rPr>
        <w:t>European Law Journal</w:t>
      </w:r>
      <w:r>
        <w:t xml:space="preserve"> 13 (4): 447–68. https://doi.org/10.1111/j.1468-0386.2007.00378.x.</w:t>
      </w:r>
    </w:p>
    <w:p w14:paraId="2340460C" w14:textId="77777777" w:rsidR="00CB784E" w:rsidRDefault="00CB784E" w:rsidP="00CB784E">
      <w:pPr>
        <w:pStyle w:val="Bibliography"/>
      </w:pPr>
      <w:r>
        <w:t xml:space="preserve">———. 2007b. ‘Public Accountability’. In </w:t>
      </w:r>
      <w:r>
        <w:rPr>
          <w:i/>
          <w:iCs/>
        </w:rPr>
        <w:t>The Oxford Handbook of Public Management</w:t>
      </w:r>
      <w:r>
        <w:t>, edited by Ewan Ferlie, Laurence E. Lynn, and Christopher Pollitt, 0. Oxford University Press. https://doi.org/10.1093/oxfordhb/9780199226443.003.0009.</w:t>
      </w:r>
    </w:p>
    <w:p w14:paraId="73CBF939" w14:textId="77777777" w:rsidR="00CB784E" w:rsidRDefault="00CB784E" w:rsidP="00CB784E">
      <w:pPr>
        <w:pStyle w:val="Bibliography"/>
      </w:pPr>
      <w:r>
        <w:t xml:space="preserve">Bovens, Mark, Robert E. Goodin, and Thomas Schillemans. 2014. ‘Public Accountability’. In </w:t>
      </w:r>
      <w:r>
        <w:rPr>
          <w:i/>
          <w:iCs/>
        </w:rPr>
        <w:t>The Oxford Handbook of Public Accountability</w:t>
      </w:r>
      <w:r>
        <w:t>, edited by Mark Bovens, Robert E. Goodin, and Thomas Schillemans, 1–20. Oxford University Press. https://doi.org/10.1093/oxfordhb/9780199641253.013.0012.</w:t>
      </w:r>
    </w:p>
    <w:p w14:paraId="7324E8C1" w14:textId="77777777" w:rsidR="00CB784E" w:rsidRDefault="00CB784E" w:rsidP="00CB784E">
      <w:pPr>
        <w:pStyle w:val="Bibliography"/>
      </w:pPr>
      <w:r>
        <w:t xml:space="preserve">Bovens, Mark, Thomas Schillemans, and Paul ’t Hart. 2008. ‘Does Public Accountability Work? An Assessment Tool’. </w:t>
      </w:r>
      <w:r>
        <w:rPr>
          <w:i/>
          <w:iCs/>
        </w:rPr>
        <w:t>Public Administration</w:t>
      </w:r>
      <w:r>
        <w:t xml:space="preserve"> 86 (1): 225–42. https://doi.org/10.1111/j.1467-9299.2008.00716.x.</w:t>
      </w:r>
    </w:p>
    <w:p w14:paraId="6A02276D" w14:textId="77777777" w:rsidR="00CB784E" w:rsidRDefault="00CB784E" w:rsidP="00CB784E">
      <w:pPr>
        <w:pStyle w:val="Bibliography"/>
      </w:pPr>
      <w:r>
        <w:t xml:space="preserve">Bovens, Mark, and Stavros Zouridis. 2002. ‘From Street-Level to System-Level Bureaucracies: How Information and Communication Technology Is Transforming Administrative Discretion and Constitutional Control’. </w:t>
      </w:r>
      <w:r>
        <w:rPr>
          <w:i/>
          <w:iCs/>
        </w:rPr>
        <w:t>Public Administration Review</w:t>
      </w:r>
      <w:r>
        <w:t xml:space="preserve"> 62 (2): 174–84.</w:t>
      </w:r>
    </w:p>
    <w:p w14:paraId="6FAF6F6A" w14:textId="77777777" w:rsidR="00CB784E" w:rsidRDefault="00CB784E" w:rsidP="00CB784E">
      <w:pPr>
        <w:pStyle w:val="Bibliography"/>
      </w:pPr>
      <w:r>
        <w:t xml:space="preserve">Brandeis, Louis. 1913. ‘What Publicity Can Do.’ </w:t>
      </w:r>
      <w:r>
        <w:rPr>
          <w:i/>
          <w:iCs/>
        </w:rPr>
        <w:t>Harper’s Weekly</w:t>
      </w:r>
      <w:r>
        <w:t>, 1913.</w:t>
      </w:r>
    </w:p>
    <w:p w14:paraId="38522826" w14:textId="77777777" w:rsidR="00CB784E" w:rsidRDefault="00CB784E" w:rsidP="00CB784E">
      <w:pPr>
        <w:pStyle w:val="Bibliography"/>
      </w:pPr>
      <w:r>
        <w:t>Buchanan, Robert, and Colleen Pilgrim. 2004. ‘Transparency and Accountability in Government Decision-Making: Devolved Service Delivery’. Wellington: Office of the Controller and Auditor-General. https://oag.parliament.nz/2004/devolved-service-delivery.</w:t>
      </w:r>
    </w:p>
    <w:p w14:paraId="42DB1059" w14:textId="77777777" w:rsidR="00CB784E" w:rsidRDefault="00CB784E" w:rsidP="00CB784E">
      <w:pPr>
        <w:pStyle w:val="Bibliography"/>
      </w:pPr>
      <w:r>
        <w:t>Buckle, Robert. 2018. ‘A Quarter of a Century of Fiscal Responsibility: The Origins and Evolution of Fiscal Policy Governance and Institutional Arrangements in New Zealand, 1994 to 2018’. Working Papers in Public Finance 13/2018. Wellington: Chair in Public Finance, Victoria Business School.</w:t>
      </w:r>
    </w:p>
    <w:p w14:paraId="690EF84D" w14:textId="77777777" w:rsidR="00CB784E" w:rsidRDefault="00CB784E" w:rsidP="00CB784E">
      <w:pPr>
        <w:pStyle w:val="Bibliography"/>
      </w:pPr>
      <w:r>
        <w:t xml:space="preserve">Byrnes, Giselle. 2006. ‘“Relic of 1840” or Founding Document? The Treaty, the Tribunal and Concepts of Time’. </w:t>
      </w:r>
      <w:r>
        <w:rPr>
          <w:i/>
          <w:iCs/>
        </w:rPr>
        <w:t>Kotuitui: New Zealand Journal of Social Sciences Online</w:t>
      </w:r>
      <w:r>
        <w:t xml:space="preserve"> 1 (1): 1–12. https://doi.org/10.1080/1177083X.2006.9522407.</w:t>
      </w:r>
    </w:p>
    <w:p w14:paraId="7E58973B" w14:textId="77777777" w:rsidR="00CB784E" w:rsidRDefault="00CB784E" w:rsidP="00CB784E">
      <w:pPr>
        <w:pStyle w:val="Bibliography"/>
      </w:pPr>
      <w:r>
        <w:t>Chand, Satish. 2010. ‘Shaping New Regionalism in the Pacific Islands: Back to the Future?’ 61. ADB Working Paper Series on Regional Economic Integration. Manila: Asian Development Bank.</w:t>
      </w:r>
    </w:p>
    <w:p w14:paraId="27AEBCE7" w14:textId="77777777" w:rsidR="00CB784E" w:rsidRDefault="00CB784E" w:rsidP="00CB784E">
      <w:pPr>
        <w:pStyle w:val="Bibliography"/>
      </w:pPr>
      <w:r>
        <w:t>Chapple, Simon. 2000. ‘Maori Socio-Economic Disparity’. Wellington: Ministry of Social Policy.</w:t>
      </w:r>
    </w:p>
    <w:p w14:paraId="7591B72B" w14:textId="77777777" w:rsidR="00CB784E" w:rsidRDefault="00CB784E" w:rsidP="00CB784E">
      <w:pPr>
        <w:pStyle w:val="Bibliography"/>
      </w:pPr>
      <w:r>
        <w:t xml:space="preserve">Chiappero Martinetti, Enrica. 2000. ‘A Multidimensional Assessment of Well-Being Based on Sen’s Functioning Approach’. </w:t>
      </w:r>
      <w:r>
        <w:rPr>
          <w:i/>
          <w:iCs/>
        </w:rPr>
        <w:t>Rivista Internazionale Di Scienze Sociali</w:t>
      </w:r>
      <w:r>
        <w:t xml:space="preserve"> 2: 207–39.</w:t>
      </w:r>
    </w:p>
    <w:p w14:paraId="722CD0DF" w14:textId="77777777" w:rsidR="00CB784E" w:rsidRDefault="00CB784E" w:rsidP="00CB784E">
      <w:pPr>
        <w:pStyle w:val="Bibliography"/>
      </w:pPr>
      <w:r>
        <w:lastRenderedPageBreak/>
        <w:t>Children’s Commissioner’s Expert Advisory Group on Solutions to Child Poverty. 2012. ‘What Causes Child Poverty?’ No. 3. Expert Advisory Group Working Papers. Wellington: Office of the Children’s Commissioner.</w:t>
      </w:r>
    </w:p>
    <w:p w14:paraId="3C55FCB7" w14:textId="77777777" w:rsidR="00CB784E" w:rsidRDefault="00CB784E" w:rsidP="00CB784E">
      <w:pPr>
        <w:pStyle w:val="Bibliography"/>
      </w:pPr>
      <w:r>
        <w:t>Cook, Anna-Luis. 2004. ‘Managing for Outcomes in the New Zealand Public Management System (WP 04/15)’. New Zealand Treasury Working Paper 04/15. Wellington: The Treasury. https://www.treasury.govt.nz/publications/wp/managing-outcomes-new-zealand-public-management-system-wp-04-15.</w:t>
      </w:r>
    </w:p>
    <w:p w14:paraId="49CCBC24" w14:textId="77777777" w:rsidR="00CB784E" w:rsidRDefault="00CB784E" w:rsidP="00CB784E">
      <w:pPr>
        <w:pStyle w:val="Bibliography"/>
      </w:pPr>
      <w:r>
        <w:t>Cooke, Robin. 1989. Tainui Māori Trust Board v. Attorney- General 2 NZLR 513.</w:t>
      </w:r>
    </w:p>
    <w:p w14:paraId="4E5A8BBE" w14:textId="77777777" w:rsidR="00CB784E" w:rsidRDefault="00CB784E" w:rsidP="00CB784E">
      <w:pPr>
        <w:pStyle w:val="Bibliography"/>
      </w:pPr>
      <w:r>
        <w:t xml:space="preserve">Cotterell, Gerard, and Charles Crothers. 2011. ‘Social Indicators and Social Reporting in New Zealand, and the Potential Contribution of the Family Whnau and Wellbeing Project - Ministry of Social Development’. </w:t>
      </w:r>
      <w:r>
        <w:rPr>
          <w:i/>
          <w:iCs/>
        </w:rPr>
        <w:t>Social Policy Journal of New Zealand</w:t>
      </w:r>
      <w:r>
        <w:t>, no. 37. https://www.msd.govt.nz/about-msd-and-our-work/publications-resources/journals-and-magazines/social-policy-journal/spj37/37-social-indicators-and-social-reporting-in-new-zealand.html.</w:t>
      </w:r>
    </w:p>
    <w:p w14:paraId="02AFC9A0" w14:textId="77777777" w:rsidR="00CB784E" w:rsidRDefault="00CB784E" w:rsidP="00CB784E">
      <w:pPr>
        <w:pStyle w:val="Bibliography"/>
      </w:pPr>
      <w:r>
        <w:t>Council for Disabled Children. 2021. ‘Outcomes, Outputs and Impact What Is the Difference?’ London: Council for Disabled Children.</w:t>
      </w:r>
    </w:p>
    <w:p w14:paraId="2CD6AB2F" w14:textId="77777777" w:rsidR="00CB784E" w:rsidRDefault="00CB784E" w:rsidP="00CB784E">
      <w:pPr>
        <w:pStyle w:val="Bibliography"/>
      </w:pPr>
      <w:r>
        <w:t>Crump, Helen, Mark Dayan, and Nigel Edwards. 2015. ‘Rationing in the NHS’. Nuffield Trust. https://www.nuffieldtrust.org.uk/resource/rationing-in-the-nhs.</w:t>
      </w:r>
    </w:p>
    <w:p w14:paraId="4271FC6C" w14:textId="77777777" w:rsidR="00CB784E" w:rsidRDefault="00CB784E" w:rsidP="00CB784E">
      <w:pPr>
        <w:pStyle w:val="Bibliography"/>
      </w:pPr>
      <w:r>
        <w:t xml:space="preserve">Dalziel, Paul, and Caroline Saunders. 2014a. </w:t>
      </w:r>
      <w:r>
        <w:rPr>
          <w:i/>
          <w:iCs/>
        </w:rPr>
        <w:t>Wellbeing Economics</w:t>
      </w:r>
      <w:r>
        <w:t>. Wellington: BWB Books.</w:t>
      </w:r>
    </w:p>
    <w:p w14:paraId="29ED9D9E" w14:textId="77777777" w:rsidR="00CB784E" w:rsidRDefault="00CB784E" w:rsidP="00CB784E">
      <w:pPr>
        <w:pStyle w:val="Bibliography"/>
      </w:pPr>
      <w:r>
        <w:t>———. 2014b. ‘Wellbeing Economics: A Policy Framework for New Zealand’. Lincoln: Agribusiness &amp; Economics Research Unit, Lincoln University.</w:t>
      </w:r>
    </w:p>
    <w:p w14:paraId="1BC47CD5" w14:textId="77777777" w:rsidR="00CB784E" w:rsidRDefault="00CB784E" w:rsidP="00CB784E">
      <w:pPr>
        <w:pStyle w:val="Bibliography"/>
      </w:pPr>
      <w:r>
        <w:t xml:space="preserve">Dalziel, Paul, Caroline Saunders, and Joe Saunders. 2018. </w:t>
      </w:r>
      <w:r>
        <w:rPr>
          <w:i/>
          <w:iCs/>
        </w:rPr>
        <w:t>Wellbeing Economics: The Capabilities Approach to Prosperity</w:t>
      </w:r>
      <w:r>
        <w:t>. Springer Nature.</w:t>
      </w:r>
    </w:p>
    <w:p w14:paraId="5BF5C753" w14:textId="77777777" w:rsidR="00CB784E" w:rsidRDefault="00CB784E" w:rsidP="00CB784E">
      <w:pPr>
        <w:pStyle w:val="Bibliography"/>
      </w:pPr>
      <w:r>
        <w:t>Deloitte. 2019. ‘State of the State 2019: Civic Engagement’. Deloitte New Zealand. 2019. https://www2.deloitte.com/nz/en/pages/public-sector/articles/enhancing-voices-to-expand-choices.html.</w:t>
      </w:r>
    </w:p>
    <w:p w14:paraId="7EECB415" w14:textId="77777777" w:rsidR="00CB784E" w:rsidRDefault="00CB784E" w:rsidP="00CB784E">
      <w:pPr>
        <w:pStyle w:val="Bibliography"/>
      </w:pPr>
      <w:r>
        <w:t>Department of Internal Affairs. 2013. ‘Legal Structures for Social Enterprise’. Wellington: Department of Internal Affairs.</w:t>
      </w:r>
    </w:p>
    <w:p w14:paraId="59C59046" w14:textId="77777777" w:rsidR="00CB784E" w:rsidRDefault="00CB784E" w:rsidP="00CB784E">
      <w:pPr>
        <w:pStyle w:val="Bibliography"/>
      </w:pPr>
      <w:r>
        <w:t xml:space="preserve">Dormer, Rodney. 2018. ‘Accountability and Worth: A Study of New Zealand’s Tertiary Education Institutions’. </w:t>
      </w:r>
      <w:r>
        <w:rPr>
          <w:i/>
          <w:iCs/>
        </w:rPr>
        <w:t>Public Money &amp; Management</w:t>
      </w:r>
      <w:r>
        <w:t xml:space="preserve"> 38 (2): 111–20. https://doi.org/10.1080/09540962.2018.1407138.</w:t>
      </w:r>
    </w:p>
    <w:p w14:paraId="0B3CB702" w14:textId="77777777" w:rsidR="00CB784E" w:rsidRDefault="00CB784E" w:rsidP="00CB784E">
      <w:pPr>
        <w:pStyle w:val="Bibliography"/>
      </w:pPr>
      <w:r>
        <w:t>Drexler, Ken. 2019a. ‘Research Guides: Federalist Papers: Primary Documents in American History: Federalist Nos. 51-60’. Research guide. Library of Congress Research Guide. 2019. https://guides.loc.gov/federalist-papers/text-51-60.</w:t>
      </w:r>
    </w:p>
    <w:p w14:paraId="33457895" w14:textId="77777777" w:rsidR="00CB784E" w:rsidRDefault="00CB784E" w:rsidP="00CB784E">
      <w:pPr>
        <w:pStyle w:val="Bibliography"/>
      </w:pPr>
      <w:r>
        <w:t>———. 2019b. ‘Research Guides: Federalist Papers: Primary Documents in American History: Introduction’. Research guide. Library of Congress. 2019. https://guides.loc.gov/federalist-papers/introduction.</w:t>
      </w:r>
    </w:p>
    <w:p w14:paraId="0B2FB018" w14:textId="77777777" w:rsidR="00CB784E" w:rsidRDefault="00CB784E" w:rsidP="00CB784E">
      <w:pPr>
        <w:pStyle w:val="Bibliography"/>
      </w:pPr>
      <w:r>
        <w:t xml:space="preserve">Duncan, Greg J., and Suzanne Le Menestrel, eds. 2019. </w:t>
      </w:r>
      <w:r>
        <w:rPr>
          <w:i/>
          <w:iCs/>
        </w:rPr>
        <w:t>A Roadmap to Reducing Child Poverty</w:t>
      </w:r>
      <w:r>
        <w:t>. A Consensus Study Report of the Natonal Academies of Sciences, Engineering, Medicine. Washington, DC: The National Academies Press.</w:t>
      </w:r>
    </w:p>
    <w:p w14:paraId="3F833287" w14:textId="77777777" w:rsidR="00CB784E" w:rsidRDefault="00CB784E" w:rsidP="00CB784E">
      <w:pPr>
        <w:pStyle w:val="Bibliography"/>
      </w:pPr>
      <w:r>
        <w:t>Duncanson, Mavis, Hedwig van Asten, Judith Adams, Helena McAnally, Xian Zhang, Andrew Wicken, and Glenda Oben. 2021. ‘Child Poverty Monitor: Technical Report 2021’, December. https://ourarchive.otago.ac.nz/handle/10523/12540.</w:t>
      </w:r>
    </w:p>
    <w:p w14:paraId="27364C85" w14:textId="77777777" w:rsidR="00CB784E" w:rsidRDefault="00CB784E" w:rsidP="00CB784E">
      <w:pPr>
        <w:pStyle w:val="Bibliography"/>
      </w:pPr>
      <w:r>
        <w:t xml:space="preserve">Ebrahim, Alnoor. 2003. ‘Accountability In Practice: Mechanisms for NGOs’. </w:t>
      </w:r>
      <w:r>
        <w:rPr>
          <w:i/>
          <w:iCs/>
        </w:rPr>
        <w:t>World Development</w:t>
      </w:r>
      <w:r>
        <w:t xml:space="preserve"> 31 (5): 813–29. https://doi.org/10.1016/S0305-750X(03)00014-7.</w:t>
      </w:r>
    </w:p>
    <w:p w14:paraId="69225E3C" w14:textId="77777777" w:rsidR="00CB784E" w:rsidRDefault="00CB784E" w:rsidP="00CB784E">
      <w:pPr>
        <w:pStyle w:val="Bibliography"/>
      </w:pPr>
      <w:r>
        <w:t xml:space="preserve">Erman, Eva. 2013. ‘In Search of Democratic Agency in Deliberative Governance’. </w:t>
      </w:r>
      <w:r>
        <w:rPr>
          <w:i/>
          <w:iCs/>
        </w:rPr>
        <w:t>European Journal of International Relations</w:t>
      </w:r>
      <w:r>
        <w:t xml:space="preserve"> 19 (4): 847–68. https://doi.org/10.1177/1354066111426622.</w:t>
      </w:r>
    </w:p>
    <w:p w14:paraId="66860E6B" w14:textId="77777777" w:rsidR="00CB784E" w:rsidRDefault="00CB784E" w:rsidP="00CB784E">
      <w:pPr>
        <w:pStyle w:val="Bibliography"/>
      </w:pPr>
      <w:r>
        <w:t xml:space="preserve">Evans, Tony. 2011. ‘Professionals, Managers and Discretion: Critiquing Street-Level Bureaucracy’. </w:t>
      </w:r>
      <w:r>
        <w:rPr>
          <w:i/>
          <w:iCs/>
        </w:rPr>
        <w:t>British Journal of Social Work</w:t>
      </w:r>
      <w:r>
        <w:t xml:space="preserve"> 41 (2): 368–86. https://doi.org/10.1093/bjsw/bcq074.</w:t>
      </w:r>
    </w:p>
    <w:p w14:paraId="3FE40AEB" w14:textId="77777777" w:rsidR="00CB784E" w:rsidRDefault="00CB784E" w:rsidP="00CB784E">
      <w:pPr>
        <w:pStyle w:val="Bibliography"/>
      </w:pPr>
      <w:r>
        <w:lastRenderedPageBreak/>
        <w:t xml:space="preserve">Finau, Glenn, and Matthew Scobie. 2021. ‘Old Ways and New Means: Indigenous Accountings during and beyond the Pandemic’. </w:t>
      </w:r>
      <w:r>
        <w:rPr>
          <w:i/>
          <w:iCs/>
        </w:rPr>
        <w:t>Accounting, Auditing &amp; Accountability Journal</w:t>
      </w:r>
      <w:r>
        <w:t xml:space="preserve"> 35 (1): 74–84. https://doi.org/10.1108/AAAJ-08-2020-4753.</w:t>
      </w:r>
    </w:p>
    <w:p w14:paraId="2A83B05D" w14:textId="77777777" w:rsidR="00CB784E" w:rsidRDefault="00CB784E" w:rsidP="00CB784E">
      <w:pPr>
        <w:pStyle w:val="Bibliography"/>
      </w:pPr>
      <w:r>
        <w:t>Flanagan, Tracey, Meredith Wilkie, and Susanna Iuliano. 2003. ‘Australian South Sea Islanders: A Century of Race Discrimination under Australian Law. Australian Human Rights Commission’. E-Race Archives. 2003. https://humanrights.gov.au/our-work/race-discrimination/publications/australian-south-sea-islanders-century-race.</w:t>
      </w:r>
    </w:p>
    <w:p w14:paraId="1911B535" w14:textId="77777777" w:rsidR="00CB784E" w:rsidRDefault="00CB784E" w:rsidP="00CB784E">
      <w:pPr>
        <w:pStyle w:val="Bibliography"/>
      </w:pPr>
      <w:r>
        <w:t xml:space="preserve">Fletcher, Ned. 2022. </w:t>
      </w:r>
      <w:r>
        <w:rPr>
          <w:i/>
          <w:iCs/>
        </w:rPr>
        <w:t>The English Text of the Treaty of Waitangi</w:t>
      </w:r>
      <w:r>
        <w:t>. Bridget Williams Books. https://doi.org/10.7810/9781990046537.</w:t>
      </w:r>
    </w:p>
    <w:p w14:paraId="5761686D" w14:textId="77777777" w:rsidR="00CB784E" w:rsidRDefault="00CB784E" w:rsidP="00CB784E">
      <w:pPr>
        <w:pStyle w:val="Bibliography"/>
      </w:pPr>
      <w:r>
        <w:t xml:space="preserve">Foster, Sophie. 2020. ‘Pacific Islands - Colonial Rule’. In </w:t>
      </w:r>
      <w:r>
        <w:rPr>
          <w:i/>
          <w:iCs/>
        </w:rPr>
        <w:t>Britannica</w:t>
      </w:r>
      <w:r>
        <w:t>. https://www.britannica.com/place/Pacific-Islands/Colonial-rule.</w:t>
      </w:r>
    </w:p>
    <w:p w14:paraId="4EF003F3" w14:textId="77777777" w:rsidR="00CB784E" w:rsidRDefault="00CB784E" w:rsidP="00CB784E">
      <w:pPr>
        <w:pStyle w:val="Bibliography"/>
      </w:pPr>
      <w:r>
        <w:t>Frieling, Margaret. 2018. ‘The Start of a Conversation on the Value of New Zealand’s Social Capital’. Living Standards Series: Discussion Paper 18/04. Wellington: The Treasury.</w:t>
      </w:r>
    </w:p>
    <w:p w14:paraId="68D45FC2" w14:textId="77777777" w:rsidR="00CB784E" w:rsidRDefault="00CB784E" w:rsidP="00CB784E">
      <w:pPr>
        <w:pStyle w:val="Bibliography"/>
      </w:pPr>
      <w:r>
        <w:t>Fry, Julie. 2022. ‘Together Alone: A Review of Joined-up Social Services’. Wellington: Productivity Commission. https://www.productivity.govt.nz/assets/Documents/Together-alone_A-review-of-joined-up-social-services.pdf.</w:t>
      </w:r>
    </w:p>
    <w:p w14:paraId="366A978E" w14:textId="77777777" w:rsidR="00CB784E" w:rsidRDefault="00CB784E" w:rsidP="00CB784E">
      <w:pPr>
        <w:pStyle w:val="Bibliography"/>
      </w:pPr>
      <w:r>
        <w:t xml:space="preserve">Fry, Julie, and Hayden Glass. 2019. </w:t>
      </w:r>
      <w:r>
        <w:rPr>
          <w:i/>
          <w:iCs/>
        </w:rPr>
        <w:t>Ambition: What New Zealanders Think and Why It Matters</w:t>
      </w:r>
      <w:r>
        <w:t>. AmbitionNZ.</w:t>
      </w:r>
    </w:p>
    <w:p w14:paraId="3244E2A7" w14:textId="77777777" w:rsidR="00CB784E" w:rsidRDefault="00CB784E" w:rsidP="00CB784E">
      <w:pPr>
        <w:pStyle w:val="Bibliography"/>
      </w:pPr>
      <w:r>
        <w:t xml:space="preserve">Fry, Julie, and Peter Wilson. 2017. ‘Immigration Policies That Would Enhance the Well-Being of New Zealanders’. </w:t>
      </w:r>
      <w:r>
        <w:rPr>
          <w:i/>
          <w:iCs/>
        </w:rPr>
        <w:t>Policy Quarterly</w:t>
      </w:r>
      <w:r>
        <w:t xml:space="preserve"> 13 (3). https://doi.org/10.26686/pq.v13i3.4674.</w:t>
      </w:r>
    </w:p>
    <w:p w14:paraId="17B7DFC3" w14:textId="77777777" w:rsidR="00CB784E" w:rsidRDefault="00CB784E" w:rsidP="00CB784E">
      <w:pPr>
        <w:pStyle w:val="Bibliography"/>
      </w:pPr>
      <w:r>
        <w:t xml:space="preserve">———. 2018. </w:t>
      </w:r>
      <w:r>
        <w:rPr>
          <w:i/>
          <w:iCs/>
        </w:rPr>
        <w:t>Better Lives: Migration, Wellbeing and New Zealand</w:t>
      </w:r>
      <w:r>
        <w:t>. BWB Texts. Wellington, New Zealand: Bridget Williams Books Limited.</w:t>
      </w:r>
    </w:p>
    <w:p w14:paraId="040FED12" w14:textId="77777777" w:rsidR="00CB784E" w:rsidRDefault="00CB784E" w:rsidP="00CB784E">
      <w:pPr>
        <w:pStyle w:val="Bibliography"/>
      </w:pPr>
      <w:r>
        <w:t>———. 2021. ‘Picking Cherries: Evidence on the Effects of Temporary and Seasonal Migrants on the New Zealand Economy’. Wellington: New Zealand Institute of Economic Research. https://nzier.org.nz/publication/picking-cherries-evidence-on-the-effects-of-temporary-and-seasonal-migrants-on-the-new-zealand-economy.</w:t>
      </w:r>
    </w:p>
    <w:p w14:paraId="72068BFA" w14:textId="77777777" w:rsidR="00CB784E" w:rsidRDefault="00CB784E" w:rsidP="00CB784E">
      <w:pPr>
        <w:pStyle w:val="Bibliography"/>
      </w:pPr>
      <w:r>
        <w:t>———. 2022a. ‘Ki Te Kotahi Te Kakaho Ka Whati, Ki Te Kapuia e Kore e Whati’. Wellington: New Zealand Institute of Economic Research.</w:t>
      </w:r>
    </w:p>
    <w:p w14:paraId="0034D7C1" w14:textId="77777777" w:rsidR="00CB784E" w:rsidRDefault="00CB784E" w:rsidP="00CB784E">
      <w:pPr>
        <w:pStyle w:val="Bibliography"/>
      </w:pPr>
      <w:r>
        <w:t>———. 2022b. ‘Manaaki Tairāwhiti: A Way Forward’.</w:t>
      </w:r>
    </w:p>
    <w:p w14:paraId="0645CA2E" w14:textId="77777777" w:rsidR="00CB784E" w:rsidRDefault="00CB784E" w:rsidP="00CB784E">
      <w:pPr>
        <w:pStyle w:val="Bibliography"/>
      </w:pPr>
      <w:r>
        <w:t xml:space="preserve">Fukofuka, Peni, Matthew Scobie, and Glenn Finau. 2022. ‘Indigenous Practices of Accounting on the Ground: A Bourdieusian Perspective’. </w:t>
      </w:r>
      <w:r>
        <w:rPr>
          <w:i/>
          <w:iCs/>
        </w:rPr>
        <w:t>Accounting, Auditing &amp; Accountability Journal</w:t>
      </w:r>
      <w:r>
        <w:t xml:space="preserve"> ahead-of-print (ahead-of-print). https://doi.org/10.1108/AAAJ-11-2021-5529.</w:t>
      </w:r>
    </w:p>
    <w:p w14:paraId="3E69E9A1" w14:textId="77777777" w:rsidR="00CB784E" w:rsidRDefault="00CB784E" w:rsidP="00CB784E">
      <w:pPr>
        <w:pStyle w:val="Bibliography"/>
      </w:pPr>
      <w:r>
        <w:t xml:space="preserve">Fukuda-Parr, Sakiko. 2003. ‘The Human Development Paradigm: Operationalizing Sen’s Ideas on Capabilities’. </w:t>
      </w:r>
      <w:r>
        <w:rPr>
          <w:i/>
          <w:iCs/>
        </w:rPr>
        <w:t>Feminist Economics</w:t>
      </w:r>
      <w:r>
        <w:t xml:space="preserve"> 9 (2–3): 301–17. https://doi.org/10.1080/1354570022000077980.</w:t>
      </w:r>
    </w:p>
    <w:p w14:paraId="0034A011" w14:textId="77777777" w:rsidR="00CB784E" w:rsidRDefault="00CB784E" w:rsidP="00CB784E">
      <w:pPr>
        <w:pStyle w:val="Bibliography"/>
      </w:pPr>
      <w:r>
        <w:t xml:space="preserve">Gailmard, Sean. 2012. ‘Accountability and Principal-Agent Models’. In </w:t>
      </w:r>
      <w:r>
        <w:rPr>
          <w:i/>
          <w:iCs/>
        </w:rPr>
        <w:t>Oxford Handbook of Public Accountability</w:t>
      </w:r>
      <w:r>
        <w:t>.</w:t>
      </w:r>
    </w:p>
    <w:p w14:paraId="7DED5FF3" w14:textId="77777777" w:rsidR="00CB784E" w:rsidRDefault="00CB784E" w:rsidP="00CB784E">
      <w:pPr>
        <w:pStyle w:val="Bibliography"/>
      </w:pPr>
      <w:r>
        <w:t xml:space="preserve">Gamoran, Adam. 2018. ‘Evidence-Based Policy in the Real World: A Cautionary View’. </w:t>
      </w:r>
      <w:r>
        <w:rPr>
          <w:i/>
          <w:iCs/>
        </w:rPr>
        <w:t>The Annals of the American Academy of Political and Social Science</w:t>
      </w:r>
      <w:r>
        <w:t xml:space="preserve"> 678: 180–91.</w:t>
      </w:r>
    </w:p>
    <w:p w14:paraId="1686DAD4" w14:textId="77777777" w:rsidR="00CB784E" w:rsidRDefault="00CB784E" w:rsidP="00CB784E">
      <w:pPr>
        <w:pStyle w:val="Bibliography"/>
      </w:pPr>
      <w:r>
        <w:t>Gill, Derek. 2018. ‘The Fiscal Responsibility Act 1994: The Astonishing Success of a Weak Non-Binding Policy’, November. https://think-asia.org/handle/11540/9522.</w:t>
      </w:r>
    </w:p>
    <w:p w14:paraId="4E85A7F1" w14:textId="77777777" w:rsidR="00CB784E" w:rsidRDefault="00CB784E" w:rsidP="00CB784E">
      <w:pPr>
        <w:pStyle w:val="Bibliography"/>
      </w:pPr>
      <w:r>
        <w:t xml:space="preserve">Gluckman, Peter. 2022. ‘Deepening Our Democracy’. </w:t>
      </w:r>
      <w:r>
        <w:rPr>
          <w:i/>
          <w:iCs/>
        </w:rPr>
        <w:t>Insights &amp; Opinion Koi Tū: The Centre for Informed Futures</w:t>
      </w:r>
      <w:r>
        <w:t xml:space="preserve"> (blog). 6 November 2022. https://informedfutures.org/deepening-our-democracy/.</w:t>
      </w:r>
    </w:p>
    <w:p w14:paraId="7888B9D7" w14:textId="77777777" w:rsidR="00CB784E" w:rsidRDefault="00CB784E" w:rsidP="00CB784E">
      <w:pPr>
        <w:pStyle w:val="Bibliography"/>
      </w:pPr>
      <w:r>
        <w:t>Government of Canada, Statistics Canada. 2022. ‘The Daily — Indigenous Population Continues to Grow and Is Much Younger than the Non-Indigenous Population, Although the Pace of Growth Has Slowed’. 21 September 2022. https://www150.statcan.gc.ca/n1/daily-quotidien/220921/dq220921a-eng.htm.</w:t>
      </w:r>
    </w:p>
    <w:p w14:paraId="304E5F86" w14:textId="77777777" w:rsidR="00CB784E" w:rsidRDefault="00CB784E" w:rsidP="00CB784E">
      <w:pPr>
        <w:pStyle w:val="Bibliography"/>
      </w:pPr>
      <w:r>
        <w:t>Government of New Zealand. 2019. ‘Improving Child Wellbeing’. The Beehive. 2019. https://www.beehive.govt.nz/release/improving-child-wellbeing.</w:t>
      </w:r>
    </w:p>
    <w:p w14:paraId="49B3593E" w14:textId="77777777" w:rsidR="00CB784E" w:rsidRDefault="00CB784E" w:rsidP="00CB784E">
      <w:pPr>
        <w:pStyle w:val="Bibliography"/>
      </w:pPr>
      <w:r>
        <w:t>———. 2022. ‘Budget Policy Statement’. Wellington: The Treasury.</w:t>
      </w:r>
    </w:p>
    <w:p w14:paraId="007376E5" w14:textId="77777777" w:rsidR="00CB784E" w:rsidRDefault="00CB784E" w:rsidP="00CB784E">
      <w:pPr>
        <w:pStyle w:val="Bibliography"/>
      </w:pPr>
      <w:r>
        <w:lastRenderedPageBreak/>
        <w:t>Government Outcomes Lab. 2023. ‘Outcomes-Based Contracting’. The Government Outcomes Lab. 2023. https://golab.bsg.ox.ac.uk/the-basics/outcomes-based-contracting/.</w:t>
      </w:r>
    </w:p>
    <w:p w14:paraId="68A4DAB9" w14:textId="77777777" w:rsidR="00CB784E" w:rsidRDefault="00CB784E" w:rsidP="00CB784E">
      <w:pPr>
        <w:pStyle w:val="Bibliography"/>
      </w:pPr>
      <w:r>
        <w:t>Guerin, Benoit, Julian McCrae, and Marcus Shepheard. 2018. ‘Accountability in Modern Government: What Are the Issues.’ Institute for Government Discussion Paper 23. London: Institute for Government.</w:t>
      </w:r>
    </w:p>
    <w:p w14:paraId="1767D981" w14:textId="77777777" w:rsidR="00CB784E" w:rsidRDefault="00CB784E" w:rsidP="00CB784E">
      <w:pPr>
        <w:pStyle w:val="Bibliography"/>
      </w:pPr>
      <w:r>
        <w:t>Haemata Limited. 2022a. ‘Colonisation, Racism and Wellbeing’. Wellington: New Zealand Productivity Commission.</w:t>
      </w:r>
    </w:p>
    <w:p w14:paraId="060FF731" w14:textId="77777777" w:rsidR="00CB784E" w:rsidRDefault="00CB784E" w:rsidP="00CB784E">
      <w:pPr>
        <w:pStyle w:val="Bibliography"/>
      </w:pPr>
      <w:r>
        <w:t>———. 2022b. ‘Māori Perspectives on Public Accountability’. Wellington: Office of the Controller and Auditor-General. https://oag.parliament.nz/2022/maori-perspectives.</w:t>
      </w:r>
    </w:p>
    <w:p w14:paraId="2D8AD7A9" w14:textId="77777777" w:rsidR="00CB784E" w:rsidRDefault="00CB784E" w:rsidP="00CB784E">
      <w:pPr>
        <w:pStyle w:val="Bibliography"/>
      </w:pPr>
      <w:r>
        <w:t>———. 2022c. ‘Wānanga Feedback Report Prepared for Te Kōmihana Whai Hua o Aotearoa New Zealand Productivity Commission For the Inquiry A Fair Chance for All: Breaking the Cycle of Persistent Disadvantage’.</w:t>
      </w:r>
    </w:p>
    <w:p w14:paraId="42804576" w14:textId="77777777" w:rsidR="00CB784E" w:rsidRDefault="00CB784E" w:rsidP="00CB784E">
      <w:pPr>
        <w:pStyle w:val="Bibliography"/>
      </w:pPr>
      <w:r>
        <w:t xml:space="preserve">Hall, David. 2019. ‘New Zealand’s Living Standards Framework: What Might Amartya Sen Say?’ </w:t>
      </w:r>
      <w:r>
        <w:rPr>
          <w:i/>
          <w:iCs/>
        </w:rPr>
        <w:t>Policy Quarterly</w:t>
      </w:r>
      <w:r>
        <w:t xml:space="preserve"> 15 (1).</w:t>
      </w:r>
    </w:p>
    <w:p w14:paraId="4DF59C41" w14:textId="77777777" w:rsidR="00CB784E" w:rsidRDefault="00CB784E" w:rsidP="00CB784E">
      <w:pPr>
        <w:pStyle w:val="Bibliography"/>
      </w:pPr>
      <w:r>
        <w:t>Health Quality &amp; Safety Commission. 2021a. ‘Learning from Adverse Events: Adverse Events Reported to the Health Quality &amp; Safety Commission 1 July 2017 to 30 June 2018.’ Wellington: Health Quality &amp; Safety Commission.</w:t>
      </w:r>
    </w:p>
    <w:p w14:paraId="62784207" w14:textId="77777777" w:rsidR="00CB784E" w:rsidRDefault="00CB784E" w:rsidP="00CB784E">
      <w:pPr>
        <w:pStyle w:val="Bibliography"/>
      </w:pPr>
      <w:r>
        <w:t>———. 2021b. ‘National Adverse Events Reporting Policy’. Health Quality &amp; Safety Commission. 2021. https://www.hqsc.govt.nz/our-work/system-safety/adverse-events/national-adverse-events-reporting-policy/.</w:t>
      </w:r>
    </w:p>
    <w:p w14:paraId="3A89ED45" w14:textId="77777777" w:rsidR="00CB784E" w:rsidRDefault="00CB784E" w:rsidP="00CB784E">
      <w:pPr>
        <w:pStyle w:val="Bibliography"/>
      </w:pPr>
      <w:r>
        <w:t>Health Transition Unit. 2021. ‘The New Health System’. The New Health System. 2021. https://dpmc.govt.nz/our-business-units/transition-unit/response-health-and-disability-system-review/information.</w:t>
      </w:r>
    </w:p>
    <w:p w14:paraId="58604B07" w14:textId="77777777" w:rsidR="00CB784E" w:rsidRDefault="00CB784E" w:rsidP="00CB784E">
      <w:pPr>
        <w:pStyle w:val="Bibliography"/>
      </w:pPr>
      <w:r>
        <w:t xml:space="preserve">Hennchen, Esther, and Judith Schrempf-Stirling. 2021. ‘Fit for Addressing Grand Challenges? A Process Model for Effective Accountability Relationships within Multi-Stakeholder Initiatives in Developing Countries’. </w:t>
      </w:r>
      <w:r>
        <w:rPr>
          <w:i/>
          <w:iCs/>
        </w:rPr>
        <w:t>Business Ethics, the Environment &amp; Responsibility</w:t>
      </w:r>
      <w:r>
        <w:t xml:space="preserve"> 30 (S1): 5–24. https://doi.org/10.1111/beer.12325.</w:t>
      </w:r>
    </w:p>
    <w:p w14:paraId="012B3904" w14:textId="77777777" w:rsidR="00CB784E" w:rsidRDefault="00CB784E" w:rsidP="00CB784E">
      <w:pPr>
        <w:pStyle w:val="Bibliography"/>
      </w:pPr>
      <w:r>
        <w:t>Ho, Elsie, Kelly Feng, and Ingrid Wang. 2021. ‘Supporting Equitable Perinatal Mental Health Outcomes for Asian Women: A Report for the Northern Region District Health Boards’.</w:t>
      </w:r>
    </w:p>
    <w:p w14:paraId="72371063" w14:textId="77777777" w:rsidR="00CB784E" w:rsidRDefault="00CB784E" w:rsidP="00CB784E">
      <w:pPr>
        <w:pStyle w:val="Bibliography"/>
      </w:pPr>
      <w:r>
        <w:t xml:space="preserve">Holmström, Bengt. 1979. ‘Moral Hazard and Observability’. </w:t>
      </w:r>
      <w:r>
        <w:rPr>
          <w:i/>
          <w:iCs/>
        </w:rPr>
        <w:t>The Bell Journal of Economics</w:t>
      </w:r>
      <w:r>
        <w:t xml:space="preserve"> 10 (1): 74–91. https://doi.org/10.2307/3003320.</w:t>
      </w:r>
    </w:p>
    <w:p w14:paraId="457CA02D" w14:textId="77777777" w:rsidR="00CB784E" w:rsidRDefault="00CB784E" w:rsidP="00CB784E">
      <w:pPr>
        <w:pStyle w:val="Bibliography"/>
      </w:pPr>
      <w:r>
        <w:t>Hopkins, Mark. 2015. ‘Zero-Based Budgeting: Zero or Hero?’ Deloitte. https://www2.deloitte.com/global/en/pages/operations/articles/gx-zero-based-budgeting.html.</w:t>
      </w:r>
    </w:p>
    <w:p w14:paraId="5919A740" w14:textId="77777777" w:rsidR="00CB784E" w:rsidRDefault="00CB784E" w:rsidP="00CB784E">
      <w:pPr>
        <w:pStyle w:val="Bibliography"/>
      </w:pPr>
      <w:r>
        <w:t>Hughes, Tim. 2021. ‘Towards a Living Standards Framework for All Aotearoa: Culture, Children and Wellbeing’. New Zealand Treasury Discussion Paper 21/01. Wellington: The Treasury. https://treasury.govt.nz/publications/dp/dp-21-01.</w:t>
      </w:r>
    </w:p>
    <w:p w14:paraId="48323856" w14:textId="77777777" w:rsidR="00CB784E" w:rsidRDefault="00CB784E" w:rsidP="00CB784E">
      <w:pPr>
        <w:pStyle w:val="Bibliography"/>
      </w:pPr>
      <w:r>
        <w:t>Human Rights and Commission. 2022. ‘Ki Te Whaiao, Ki Te Ao Mārama: Community Engagement Report for Developing a National Action Plan Against Racism’. Wellington: Human Rights Commission.</w:t>
      </w:r>
    </w:p>
    <w:p w14:paraId="49A81F45" w14:textId="77777777" w:rsidR="00CB784E" w:rsidRDefault="00CB784E" w:rsidP="00CB784E">
      <w:pPr>
        <w:pStyle w:val="Bibliography"/>
      </w:pPr>
      <w:r>
        <w:t>Human Rights Commission. 2022. ‘Maranga Mai!: The Dynamics and Impacts of White Supremacy, Racism, and Colonisation upon Tangata Whenua in Aotearoa New Zealand.’ Wellington: Human Rights Commission.</w:t>
      </w:r>
    </w:p>
    <w:p w14:paraId="51C486B6" w14:textId="77777777" w:rsidR="00CB784E" w:rsidRDefault="00CB784E" w:rsidP="00CB784E">
      <w:pPr>
        <w:pStyle w:val="Bibliography"/>
      </w:pPr>
      <w:r>
        <w:t xml:space="preserve">Hupe, Peter, and Michael Hill. 2007. ‘Street-Level Bureaucracy and Public Accountability’. </w:t>
      </w:r>
      <w:r>
        <w:rPr>
          <w:i/>
          <w:iCs/>
        </w:rPr>
        <w:t>Public Administration</w:t>
      </w:r>
      <w:r>
        <w:t xml:space="preserve"> 85 (2): 279–99. https://doi.org/10.1111/j.1467-9299.2007.00650.x.</w:t>
      </w:r>
    </w:p>
    <w:p w14:paraId="7B70DC7D" w14:textId="77777777" w:rsidR="00CB784E" w:rsidRDefault="00CB784E" w:rsidP="00CB784E">
      <w:pPr>
        <w:pStyle w:val="Bibliography"/>
      </w:pPr>
      <w:r>
        <w:t>I Have A Dream Charitable Trust. 2012. ‘Managing Students INTO School Rather than OUT: Developing Strong Pathways to Tertiary Education and Employment’.</w:t>
      </w:r>
    </w:p>
    <w:p w14:paraId="33C7A896" w14:textId="77777777" w:rsidR="00CB784E" w:rsidRDefault="00CB784E" w:rsidP="00CB784E">
      <w:pPr>
        <w:pStyle w:val="Bibliography"/>
      </w:pPr>
      <w:r>
        <w:t xml:space="preserve">Johnston, Jocelyn M., and Barbara S. Romzek. 1999. ‘Contracting and Accountability in State Medicaid Reform: Rhetoric, Theories, and Reality’. </w:t>
      </w:r>
      <w:r>
        <w:rPr>
          <w:i/>
          <w:iCs/>
        </w:rPr>
        <w:t>Public Administration Review</w:t>
      </w:r>
      <w:r>
        <w:t xml:space="preserve"> 59 (5): 383–99. https://doi.org/10.2307/977422.</w:t>
      </w:r>
    </w:p>
    <w:p w14:paraId="0D9B6207" w14:textId="77777777" w:rsidR="00CB784E" w:rsidRDefault="00CB784E" w:rsidP="00CB784E">
      <w:pPr>
        <w:pStyle w:val="Bibliography"/>
      </w:pPr>
      <w:r>
        <w:lastRenderedPageBreak/>
        <w:t>Kalt, Joseph, and William Singer. 2004. ‘Myths And Realities of Tribal Sovereignty: The Law And Economics of Indian Self-Rule’. Faculty Research Working Papers Series RWP01-016. Cambridge, Mass.: John F. Kennedy School of Government, Harvard University.</w:t>
      </w:r>
    </w:p>
    <w:p w14:paraId="1D0C70B9" w14:textId="77777777" w:rsidR="00CB784E" w:rsidRDefault="00CB784E" w:rsidP="00CB784E">
      <w:pPr>
        <w:pStyle w:val="Bibliography"/>
      </w:pPr>
      <w:r>
        <w:t>Kawharu, Hugh. 1989. ‘Translation of the Te Reo Māori Text’. Waitangi Tribunal. https://waitangitribunal.govt.nz/treaty-of-waitangi/translation-of-te-reo-maori-text/.</w:t>
      </w:r>
    </w:p>
    <w:p w14:paraId="014D3C4F" w14:textId="77777777" w:rsidR="00CB784E" w:rsidRDefault="00CB784E" w:rsidP="00CB784E">
      <w:pPr>
        <w:pStyle w:val="Bibliography"/>
      </w:pPr>
      <w:r>
        <w:t xml:space="preserve">Kim, Nam-Kook, and Sa-Rang Jung. 2010. ‘Democratic Deficit, European Constitution, and a Vision of the Federal Europe: The EU’s Path after the Lisbon Treaty’. </w:t>
      </w:r>
      <w:r>
        <w:rPr>
          <w:i/>
          <w:iCs/>
        </w:rPr>
        <w:t>Journal of International and Area Studies</w:t>
      </w:r>
      <w:r>
        <w:t xml:space="preserve"> 17 (2): 53–70.</w:t>
      </w:r>
    </w:p>
    <w:p w14:paraId="0B0F40AD" w14:textId="77777777" w:rsidR="00CB784E" w:rsidRDefault="00CB784E" w:rsidP="00CB784E">
      <w:pPr>
        <w:pStyle w:val="Bibliography"/>
      </w:pPr>
      <w:r>
        <w:t>Klein, Elise. 2015. ‘A Critical Review of the Capability Approach in Australian Indigenous Policy’. CAEPR Working Paper No 102/2015. Canberra: Centre for Aboriginal Economic Policy Research. http://pandora.nla.gov.au/pan/10572/20160616-1354/caepr.anu.edu.au/publications/WP/2015WP102.html.</w:t>
      </w:r>
    </w:p>
    <w:p w14:paraId="6330D323" w14:textId="77777777" w:rsidR="00CB784E" w:rsidRDefault="00CB784E" w:rsidP="00CB784E">
      <w:pPr>
        <w:pStyle w:val="Bibliography"/>
      </w:pPr>
      <w:r>
        <w:t xml:space="preserve">———. 2016. ‘The Curious Case of Using the Capability Approach in Australian Indigenous Policy’. </w:t>
      </w:r>
      <w:r>
        <w:rPr>
          <w:i/>
          <w:iCs/>
        </w:rPr>
        <w:t>Journal of Human Development and Capabilities</w:t>
      </w:r>
      <w:r>
        <w:t xml:space="preserve"> 17 (2): 245–59. https://doi.org/10.1080/19452829.2016.1145199.</w:t>
      </w:r>
    </w:p>
    <w:p w14:paraId="6320C416" w14:textId="77777777" w:rsidR="00CB784E" w:rsidRDefault="00CB784E" w:rsidP="00CB784E">
      <w:pPr>
        <w:pStyle w:val="Bibliography"/>
      </w:pPr>
      <w:r>
        <w:t xml:space="preserve">LeFevre, Tate A. 2015. ‘Settler Colonialism’. </w:t>
      </w:r>
      <w:r>
        <w:rPr>
          <w:i/>
          <w:iCs/>
        </w:rPr>
        <w:t>Oxford Bibliographies</w:t>
      </w:r>
      <w:r>
        <w:t>. https://doi.org/10.1093/obo/9780199766567-0125.</w:t>
      </w:r>
    </w:p>
    <w:p w14:paraId="7B0F6465" w14:textId="77777777" w:rsidR="00CB784E" w:rsidRDefault="00CB784E" w:rsidP="00CB784E">
      <w:pPr>
        <w:pStyle w:val="Bibliography"/>
      </w:pPr>
      <w:r>
        <w:t xml:space="preserve">Lehti, Arja, Anne Hammarström, and Bengt Mattsson. 2009. ‘Recognition of Depression in People of Different Cultures: A Qualitative Study’. </w:t>
      </w:r>
      <w:r>
        <w:rPr>
          <w:i/>
          <w:iCs/>
        </w:rPr>
        <w:t>BMC Family Practice</w:t>
      </w:r>
      <w:r>
        <w:t xml:space="preserve"> 10 (1): 53. https://doi.org/10.1186/1471-2296-10-53.</w:t>
      </w:r>
    </w:p>
    <w:p w14:paraId="188B5FD2" w14:textId="77777777" w:rsidR="00CB784E" w:rsidRDefault="00CB784E" w:rsidP="00CB784E">
      <w:pPr>
        <w:pStyle w:val="Bibliography"/>
      </w:pPr>
      <w:r>
        <w:t xml:space="preserve">LeRoux, Kelly, Jaclyn Piatak, Barbara Romzek, and Jocelyn Johnston. 2019. ‘Informal Accountability in Children’s Service Networks: The Role of Frontline Workers’. </w:t>
      </w:r>
      <w:r>
        <w:rPr>
          <w:i/>
          <w:iCs/>
        </w:rPr>
        <w:t>Human Service Organizations: Management, Leadership &amp; Governance</w:t>
      </w:r>
      <w:r>
        <w:t xml:space="preserve"> 43 (3): 188–204. https://doi.org/10.1080/23303131.2019.1637804.</w:t>
      </w:r>
    </w:p>
    <w:p w14:paraId="35E7A8C5" w14:textId="77777777" w:rsidR="00CB784E" w:rsidRDefault="00CB784E" w:rsidP="00CB784E">
      <w:pPr>
        <w:pStyle w:val="Bibliography"/>
      </w:pPr>
      <w:r>
        <w:t xml:space="preserve">Lipsky, Michael. 2010. </w:t>
      </w:r>
      <w:r>
        <w:rPr>
          <w:i/>
          <w:iCs/>
        </w:rPr>
        <w:t>Street-Level Bureaucracy</w:t>
      </w:r>
      <w:r>
        <w:t>. 30th Anniversary, Expanded edition. Russell Sage Foundation.</w:t>
      </w:r>
    </w:p>
    <w:p w14:paraId="13427139" w14:textId="77777777" w:rsidR="00CB784E" w:rsidRDefault="00CB784E" w:rsidP="00CB784E">
      <w:pPr>
        <w:pStyle w:val="Bibliography"/>
      </w:pPr>
      <w:r>
        <w:t xml:space="preserve">‘List of Members of the New Zealand Legislative Council’. 2022. In </w:t>
      </w:r>
      <w:r>
        <w:rPr>
          <w:i/>
          <w:iCs/>
        </w:rPr>
        <w:t>Wikipedia</w:t>
      </w:r>
      <w:r>
        <w:t>. https://en.wikipedia.org/w/index.php?title=List_of_members_of_the_New_Zealand_Legislative_Council&amp;oldid=1067124277.</w:t>
      </w:r>
    </w:p>
    <w:p w14:paraId="76FE6182" w14:textId="77777777" w:rsidR="00CB784E" w:rsidRDefault="00CB784E" w:rsidP="00CB784E">
      <w:pPr>
        <w:pStyle w:val="Bibliography"/>
      </w:pPr>
      <w:r>
        <w:t xml:space="preserve">Lourenço, Rui Pedro, Suzanne Piotrowski, and Alex Ingrams. 2015. ‘Public Accountability ICT Support: A Detailed Account of Public Accountability Process and Tasks’. In </w:t>
      </w:r>
      <w:r>
        <w:rPr>
          <w:i/>
          <w:iCs/>
        </w:rPr>
        <w:t>Electronic Government</w:t>
      </w:r>
      <w:r>
        <w:t>, edited by Efthimios Tambouris, Marijn Janssen, Hans Jochen Scholl, Maria A. Wimmer, Konstantinos Tarabanis, Mila Gascó, Bram Klievink, Ida Lindgren, and Peter Parycek, 105–17. Lecture Notes in Computer Science. Cham: Springer International Publishing. https://doi.org/10.1007/978-3-319-22479-4_8.</w:t>
      </w:r>
    </w:p>
    <w:p w14:paraId="17EFB536" w14:textId="77777777" w:rsidR="00CB784E" w:rsidRDefault="00CB784E" w:rsidP="00CB784E">
      <w:pPr>
        <w:pStyle w:val="Bibliography"/>
      </w:pPr>
      <w:r>
        <w:t>Lovelock, Kirsten. 2020. ‘Implementation Evaluation of Mana Whaikaha System Transformation’. Allen &amp; Clarke. https://manawhaikaha.co.nz/assets/Uploads/Mana-Whaikaha-Implementation-Evaluation-Final-Version-3-March-2020-002.pdf.</w:t>
      </w:r>
    </w:p>
    <w:p w14:paraId="62078B31" w14:textId="77777777" w:rsidR="00CB784E" w:rsidRDefault="00CB784E" w:rsidP="00CB784E">
      <w:pPr>
        <w:pStyle w:val="Bibliography"/>
      </w:pPr>
      <w:r>
        <w:t xml:space="preserve">Maaka, Roger, and Augie Fleras. 2005. </w:t>
      </w:r>
      <w:r>
        <w:rPr>
          <w:i/>
          <w:iCs/>
        </w:rPr>
        <w:t>The Politics of Indigeneity: Challenging the State in Canada and Aotearoa New Zealand</w:t>
      </w:r>
      <w:r>
        <w:t>. Dunedin, New Zealand: University of Otago Press.</w:t>
      </w:r>
    </w:p>
    <w:p w14:paraId="5673C7F1" w14:textId="77777777" w:rsidR="00CB784E" w:rsidRDefault="00CB784E" w:rsidP="00CB784E">
      <w:pPr>
        <w:pStyle w:val="Bibliography"/>
      </w:pPr>
      <w:r>
        <w:t>Martin Jenkins. 2019. ‘Social Service System: The Funding Gap and How to Bridge It’. Wellington: Social Service Providers Aotearoa.</w:t>
      </w:r>
    </w:p>
    <w:p w14:paraId="32CA4D08" w14:textId="77777777" w:rsidR="00CB784E" w:rsidRDefault="00CB784E" w:rsidP="00CB784E">
      <w:pPr>
        <w:pStyle w:val="Bibliography"/>
      </w:pPr>
      <w:r>
        <w:t xml:space="preserve">McGee, David G. 2005. </w:t>
      </w:r>
      <w:r>
        <w:rPr>
          <w:i/>
          <w:iCs/>
        </w:rPr>
        <w:t>Parliamentary Practice in New Zealand</w:t>
      </w:r>
      <w:r>
        <w:t>. 3rd ed. Wellington: Dunmore Pub.</w:t>
      </w:r>
    </w:p>
    <w:p w14:paraId="15F9F5A3" w14:textId="77777777" w:rsidR="00CB784E" w:rsidRDefault="00CB784E" w:rsidP="00CB784E">
      <w:pPr>
        <w:pStyle w:val="Bibliography"/>
      </w:pPr>
      <w:r>
        <w:t xml:space="preserve">———. 2017. </w:t>
      </w:r>
      <w:r>
        <w:rPr>
          <w:i/>
          <w:iCs/>
        </w:rPr>
        <w:t>Parliamentary Practice in New Zealand</w:t>
      </w:r>
      <w:r>
        <w:t>. Edited by Mary Harris, David Bagnall, and Pavan Sharma. Fourth edition. Auckland, New Zealand: Oratia Books, Oratia Media Ltd.</w:t>
      </w:r>
    </w:p>
    <w:p w14:paraId="31513DDD" w14:textId="77777777" w:rsidR="00CB784E" w:rsidRDefault="00CB784E" w:rsidP="00CB784E">
      <w:pPr>
        <w:pStyle w:val="Bibliography"/>
      </w:pPr>
      <w:r>
        <w:t xml:space="preserve">McIntyre, W. David. 1997. Review of </w:t>
      </w:r>
      <w:r>
        <w:rPr>
          <w:i/>
          <w:iCs/>
        </w:rPr>
        <w:t>Review of Colonialism and Development: Britain and Its Tropical Colonies, 1850-1960; Imperialism and Its Contradictions</w:t>
      </w:r>
      <w:r>
        <w:t xml:space="preserve">, by Michael Havinden, David Meredith, and V. G. Kiernan. </w:t>
      </w:r>
      <w:r>
        <w:rPr>
          <w:i/>
          <w:iCs/>
        </w:rPr>
        <w:t>The International History Review</w:t>
      </w:r>
      <w:r>
        <w:t xml:space="preserve"> 19 (1): 192–95.</w:t>
      </w:r>
    </w:p>
    <w:p w14:paraId="14BF2459" w14:textId="77777777" w:rsidR="00CB784E" w:rsidRDefault="00CB784E" w:rsidP="00CB784E">
      <w:pPr>
        <w:pStyle w:val="Bibliography"/>
      </w:pPr>
      <w:r>
        <w:t xml:space="preserve">———. 1999. ‘Australia, New Zealand, and the Pacific Islands’. In </w:t>
      </w:r>
      <w:r>
        <w:rPr>
          <w:i/>
          <w:iCs/>
        </w:rPr>
        <w:t>The Oxford History of the British Empire: Volume IV: The Twentieth Century</w:t>
      </w:r>
      <w:r>
        <w:t xml:space="preserve">, by Wm Roger Louis, edited by Judith Brown </w:t>
      </w:r>
      <w:r>
        <w:lastRenderedPageBreak/>
        <w:t>and Wm Roger Louis, 667–92. Oxford University Press. https://doi.org/10.1093/acprof:oso/9780198205647.003.0029.</w:t>
      </w:r>
    </w:p>
    <w:p w14:paraId="03E234BD" w14:textId="77777777" w:rsidR="00CB784E" w:rsidRDefault="00CB784E" w:rsidP="00CB784E">
      <w:pPr>
        <w:pStyle w:val="Bibliography"/>
      </w:pPr>
      <w:r>
        <w:t>McLeod, Keith. 2018. ‘Our People - Multidimensional Wellbeing in New Zealand (AP 18/04)’. Treasury Analytical Paper No. 18/04. The Treasury. https://www.treasury.govt.nz/publications/ap/ap-18-04.</w:t>
      </w:r>
    </w:p>
    <w:p w14:paraId="180DF84D" w14:textId="77777777" w:rsidR="00CB784E" w:rsidRDefault="00CB784E" w:rsidP="00CB784E">
      <w:pPr>
        <w:pStyle w:val="Bibliography"/>
      </w:pPr>
      <w:r>
        <w:t xml:space="preserve">Mead, Hirini Moko. 2003. </w:t>
      </w:r>
      <w:r>
        <w:rPr>
          <w:i/>
          <w:iCs/>
        </w:rPr>
        <w:t>Tikanga Māori: Living by Māori Values</w:t>
      </w:r>
      <w:r>
        <w:t>. Wellington, Aotearoa: Huia Publishers.</w:t>
      </w:r>
    </w:p>
    <w:p w14:paraId="6AFB59F1" w14:textId="77777777" w:rsidR="00CB784E" w:rsidRDefault="00CB784E" w:rsidP="00CB784E">
      <w:pPr>
        <w:pStyle w:val="Bibliography"/>
      </w:pPr>
      <w:r>
        <w:t xml:space="preserve">Mees, Heleen, and Peter Driessen. 2019. ‘A Framework for Assessing the Accountability of Local Governance Arrangements for Adaptation to Climate Change’. </w:t>
      </w:r>
      <w:r>
        <w:rPr>
          <w:i/>
          <w:iCs/>
        </w:rPr>
        <w:t>Journal of Environmental Planning and Management</w:t>
      </w:r>
      <w:r>
        <w:t xml:space="preserve"> 62 (4): 671–91. https://doi.org/10.1080/09640568.2018.1428184.</w:t>
      </w:r>
    </w:p>
    <w:p w14:paraId="47B666B1" w14:textId="77777777" w:rsidR="00CB784E" w:rsidRDefault="00CB784E" w:rsidP="00CB784E">
      <w:pPr>
        <w:pStyle w:val="Bibliography"/>
      </w:pPr>
      <w:r>
        <w:t xml:space="preserve">Mika, Jason Paul, Kiri Dell, Jamie Newth, and Carla Houkamau. 2022. ‘Manahau: Toward an Indigenous Māori Theory of Value’. </w:t>
      </w:r>
      <w:r>
        <w:rPr>
          <w:i/>
          <w:iCs/>
        </w:rPr>
        <w:t>Philosophy of Management</w:t>
      </w:r>
      <w:r>
        <w:t>, February. https://doi.org/10.1007/s40926-022-00195-3.</w:t>
      </w:r>
    </w:p>
    <w:p w14:paraId="3B8E5CC2" w14:textId="77777777" w:rsidR="00CB784E" w:rsidRDefault="00CB784E" w:rsidP="00CB784E">
      <w:pPr>
        <w:pStyle w:val="Bibliography"/>
      </w:pPr>
      <w:r>
        <w:t xml:space="preserve">Mikaere, Annabel. 2011a. </w:t>
      </w:r>
      <w:r>
        <w:rPr>
          <w:i/>
          <w:iCs/>
        </w:rPr>
        <w:t>Colonising Myths--Māori Realities: He Rukuruku Whakaaro</w:t>
      </w:r>
      <w:r>
        <w:t>. Wellington, N.Z: Huia Publishers and Te Wānanga o Raukawa.</w:t>
      </w:r>
    </w:p>
    <w:p w14:paraId="5F894AC1" w14:textId="77777777" w:rsidR="00CB784E" w:rsidRDefault="00CB784E" w:rsidP="00CB784E">
      <w:pPr>
        <w:pStyle w:val="Bibliography"/>
      </w:pPr>
      <w:r>
        <w:t xml:space="preserve">———. 2011b. </w:t>
      </w:r>
      <w:r>
        <w:rPr>
          <w:i/>
          <w:iCs/>
        </w:rPr>
        <w:t>Colonising Myths--Māori Realities: He Rukuruku Whakaaro</w:t>
      </w:r>
      <w:r>
        <w:t>. Wellington, N.Z: Huia Publishers and Te Wānanga o Raukawa.</w:t>
      </w:r>
    </w:p>
    <w:p w14:paraId="3105A482" w14:textId="77777777" w:rsidR="00CB784E" w:rsidRDefault="00CB784E" w:rsidP="00CB784E">
      <w:pPr>
        <w:pStyle w:val="Bibliography"/>
      </w:pPr>
      <w:r>
        <w:t xml:space="preserve">Miller, Gary J. 2005. ‘The Political Evolution of Principal-Agent Models’. </w:t>
      </w:r>
      <w:r>
        <w:rPr>
          <w:i/>
          <w:iCs/>
        </w:rPr>
        <w:t>Annual Review of Political Science</w:t>
      </w:r>
      <w:r>
        <w:t xml:space="preserve"> 8 (1): 203–25. https://doi.org/10.1146/annurev.polisci.8.082103.104840.</w:t>
      </w:r>
    </w:p>
    <w:p w14:paraId="4084D343" w14:textId="77777777" w:rsidR="00CB784E" w:rsidRDefault="00CB784E" w:rsidP="00CB784E">
      <w:pPr>
        <w:pStyle w:val="Bibliography"/>
      </w:pPr>
      <w:r>
        <w:t>Ministry for Culture and Heritage. 2016. ‘Setting up the Māori Seats’. New Zealand History. 2016. https://nzhistory.govt.nz/politics/maori-and-the-vote/setting-up-seats.</w:t>
      </w:r>
    </w:p>
    <w:p w14:paraId="42A9887B" w14:textId="77777777" w:rsidR="00CB784E" w:rsidRDefault="00CB784E" w:rsidP="00CB784E">
      <w:pPr>
        <w:pStyle w:val="Bibliography"/>
      </w:pPr>
      <w:r>
        <w:t>Ministry for Foreign Affairs and Trade. 2021. ‘Our Strategic Direction’. New Zealand Ministry of Foreign Affairs and Trade. 2021. https://www.mfat.govt.nz/en/about-us/our-strategic-direction/.</w:t>
      </w:r>
    </w:p>
    <w:p w14:paraId="7CE5BA09" w14:textId="77777777" w:rsidR="00CB784E" w:rsidRDefault="00CB784E" w:rsidP="00CB784E">
      <w:pPr>
        <w:pStyle w:val="Bibliography"/>
      </w:pPr>
      <w:r>
        <w:t>Ministry for Social Development. 2023. ‘The Guide to Social Development Policy’. Ministry for Social Development. https://www.workandincome.govt.nz/map/index.html.</w:t>
      </w:r>
    </w:p>
    <w:p w14:paraId="141EE5EE" w14:textId="77777777" w:rsidR="00CB784E" w:rsidRDefault="00CB784E" w:rsidP="00CB784E">
      <w:pPr>
        <w:pStyle w:val="Bibliography"/>
      </w:pPr>
      <w:r>
        <w:t>Ministry of Education. 2021. ‘Operations Grant Entitlement and Instalment Notices’. Education in New Zealand. 2021. https://www.education.govt.nz/school/funding-and-financials/resourcing/operational-funding/operations-grant-entitlement-and-instalment-notices/.</w:t>
      </w:r>
    </w:p>
    <w:p w14:paraId="00679C47" w14:textId="77777777" w:rsidR="00CB784E" w:rsidRDefault="00CB784E" w:rsidP="00CB784E">
      <w:pPr>
        <w:pStyle w:val="Bibliography"/>
      </w:pPr>
      <w:r>
        <w:t>Ministry of Foreign Affairs and Trade. 2022. ‘Annual Report 2021-22’. New Zealand Ministry of Foreign Affairs and Trade. 2022. https://www.mfat.govt.nz/en/about-us/mfat-annual-reports/mfat-annual-report-2021-22/read-the-mfat-annual-report-2021-22/.</w:t>
      </w:r>
    </w:p>
    <w:p w14:paraId="21E307D7" w14:textId="77777777" w:rsidR="00CB784E" w:rsidRDefault="00CB784E" w:rsidP="00CB784E">
      <w:pPr>
        <w:pStyle w:val="Bibliography"/>
      </w:pPr>
      <w:r>
        <w:t>Ministry of Health. 2006. ‘Asian Health Chart Book 2006’, 140.</w:t>
      </w:r>
    </w:p>
    <w:p w14:paraId="1DB097DA" w14:textId="77777777" w:rsidR="00CB784E" w:rsidRDefault="00CB784E" w:rsidP="00CB784E">
      <w:pPr>
        <w:pStyle w:val="Bibliography"/>
      </w:pPr>
      <w:r>
        <w:t>———. 2017. ‘HISO 10001:2017 Ethnicity Data Protocols.’ Wellington: Ministry of Health.</w:t>
      </w:r>
    </w:p>
    <w:p w14:paraId="1ABE58C5" w14:textId="77777777" w:rsidR="00CB784E" w:rsidRDefault="00CB784E" w:rsidP="00CB784E">
      <w:pPr>
        <w:pStyle w:val="Bibliography"/>
      </w:pPr>
      <w:r>
        <w:t>———. 2023. ‘Publications: Guides and Standards’. Ministry of Health NZ. 2023. https://www.health.govt.nz/publications.</w:t>
      </w:r>
    </w:p>
    <w:p w14:paraId="1360377D" w14:textId="77777777" w:rsidR="00CB784E" w:rsidRDefault="00CB784E" w:rsidP="00CB784E">
      <w:pPr>
        <w:pStyle w:val="Bibliography"/>
      </w:pPr>
      <w:r>
        <w:t>Ministry of Justice. 2022. ‘Kaiārahi o Te Kooti-a-Whānau’. 2022. https://www.justice.govt.nz/family/kaiarahi-o-te-kooti-a-whanau/.</w:t>
      </w:r>
    </w:p>
    <w:p w14:paraId="6D3D798B" w14:textId="77777777" w:rsidR="00CB784E" w:rsidRDefault="00CB784E" w:rsidP="00CB784E">
      <w:pPr>
        <w:pStyle w:val="Bibliography"/>
      </w:pPr>
      <w:r>
        <w:t>Ministry of Social Development. 2017. ‘New Childrens Agency Established the Ministry for Vulnerable Children, Oranga Tamariki -’. 2017. https://www.msd.govt.nz/about-msd-and-our-work/work-programmes/investing-in-children/new-childrens-agency-established.html.</w:t>
      </w:r>
    </w:p>
    <w:p w14:paraId="6A6CC01B" w14:textId="77777777" w:rsidR="00CB784E" w:rsidRDefault="00CB784E" w:rsidP="00CB784E">
      <w:pPr>
        <w:pStyle w:val="Bibliography"/>
      </w:pPr>
      <w:r>
        <w:t>———. 2022a. ‘Community Connection Service’. Ministry of Social Development. https://www.msd.govt.nz/what-we-can-do/community/community-connection-service/index.html.</w:t>
      </w:r>
    </w:p>
    <w:p w14:paraId="6912BA53" w14:textId="77777777" w:rsidR="00CB784E" w:rsidRDefault="00CB784E" w:rsidP="00CB784E">
      <w:pPr>
        <w:pStyle w:val="Bibliography"/>
      </w:pPr>
      <w:r>
        <w:t>———. 2022b. ‘Evaluation of the Intensive Case Management and Navigator Initiatives’. 2022. https://www.msd.govt.nz/about-msd-and-our-work/publications-resources/evaluation/intensive-case-management-and-navigator-initiatives/index.html.</w:t>
      </w:r>
    </w:p>
    <w:p w14:paraId="0E82FF49" w14:textId="77777777" w:rsidR="00CB784E" w:rsidRDefault="00CB784E" w:rsidP="00CB784E">
      <w:pPr>
        <w:pStyle w:val="Bibliography"/>
      </w:pPr>
      <w:r>
        <w:lastRenderedPageBreak/>
        <w:t>———. 2022c. ‘Social Sector Commissioning 2022–2028 Action Plan’. Wellington: Ministry of Social Development.</w:t>
      </w:r>
    </w:p>
    <w:p w14:paraId="52885408" w14:textId="77777777" w:rsidR="00CB784E" w:rsidRDefault="00CB784E" w:rsidP="00CB784E">
      <w:pPr>
        <w:pStyle w:val="Bibliography"/>
      </w:pPr>
      <w:r>
        <w:t>———. 2022d. ‘Social Sector Commissioning Progress, Principles  and Next Steps’. Wellington: Ministry of Social Development. https://www.msd.govt.nz/documents/about-msd-and-our-work/publications-resources/planning-strategy/social-sector-commissioning/msd-social-sector-commissioning.pdf.</w:t>
      </w:r>
    </w:p>
    <w:p w14:paraId="530C9FCE" w14:textId="77777777" w:rsidR="00CB784E" w:rsidRDefault="00CB784E" w:rsidP="00CB784E">
      <w:pPr>
        <w:pStyle w:val="Bibliography"/>
      </w:pPr>
      <w:r>
        <w:t>———. 2022e. ‘Update on the Future of Social Sector Commissioning Work Programme’. Wellington: Ministry for Social Development. https://www.msd.govt.nz/about-msd-and-our-work/publications-resources/planning-strategy/social-sector-commissioning/index.html.</w:t>
      </w:r>
    </w:p>
    <w:p w14:paraId="265B8711" w14:textId="77777777" w:rsidR="00CB784E" w:rsidRDefault="00CB784E" w:rsidP="00CB784E">
      <w:pPr>
        <w:pStyle w:val="Bibliography"/>
      </w:pPr>
      <w:r>
        <w:t xml:space="preserve">Møller, Anne Mette. 2022. ‘Mobilizing Knowledge in Frontline Work: A Conceptual Framework and Empirical Exploration’. </w:t>
      </w:r>
      <w:r>
        <w:rPr>
          <w:i/>
          <w:iCs/>
        </w:rPr>
        <w:t>Perspectives on Public Management and Governance</w:t>
      </w:r>
      <w:r>
        <w:t xml:space="preserve"> 5 (1): 50–62. https://doi.org/10.1093/ppmgov/gvab023.</w:t>
      </w:r>
    </w:p>
    <w:p w14:paraId="205959DD" w14:textId="77777777" w:rsidR="00CB784E" w:rsidRDefault="00CB784E" w:rsidP="00CB784E">
      <w:pPr>
        <w:pStyle w:val="Bibliography"/>
      </w:pPr>
      <w:r>
        <w:t>Morton, Susan, Sarah Knowles, and Manisha Morar. 2021. ‘Academic Perspectives on Wellbeing’. Auckland: Centre for Longitudinal Research, University of Auckland.</w:t>
      </w:r>
    </w:p>
    <w:p w14:paraId="1ED94017" w14:textId="77777777" w:rsidR="00CB784E" w:rsidRDefault="00CB784E" w:rsidP="00CB784E">
      <w:pPr>
        <w:pStyle w:val="Bibliography"/>
      </w:pPr>
      <w:r>
        <w:t xml:space="preserve">Mulgan, Richard. 2000. ‘“Accountability”: An Ever-Expanding Concept?’ </w:t>
      </w:r>
      <w:r>
        <w:rPr>
          <w:i/>
          <w:iCs/>
        </w:rPr>
        <w:t>Public Administration</w:t>
      </w:r>
      <w:r>
        <w:t xml:space="preserve"> 78 (3): 555–73. https://doi.org/10.1111/1467-9299.00218.</w:t>
      </w:r>
    </w:p>
    <w:p w14:paraId="0F7C6CCE" w14:textId="77777777" w:rsidR="00CB784E" w:rsidRDefault="00CB784E" w:rsidP="00CB784E">
      <w:pPr>
        <w:pStyle w:val="Bibliography"/>
      </w:pPr>
      <w:r>
        <w:t>———. 2002. ‘Accountability Issues in the New Model of Governance’. Canberra: Australian National University. https://openresearch-repository.anu.edu.au/handle/1885/41701.</w:t>
      </w:r>
    </w:p>
    <w:p w14:paraId="3366C206" w14:textId="77777777" w:rsidR="00CB784E" w:rsidRDefault="00CB784E" w:rsidP="00CB784E">
      <w:pPr>
        <w:pStyle w:val="Bibliography"/>
      </w:pPr>
      <w:r>
        <w:t xml:space="preserve">———. 2003. </w:t>
      </w:r>
      <w:r>
        <w:rPr>
          <w:i/>
          <w:iCs/>
        </w:rPr>
        <w:t>Holding Power to Account</w:t>
      </w:r>
      <w:r>
        <w:t>. London: Palgrave Macmillan UK. https://doi.org/10.1057/9781403943835.</w:t>
      </w:r>
    </w:p>
    <w:p w14:paraId="082E39F3" w14:textId="77777777" w:rsidR="00CB784E" w:rsidRDefault="00CB784E" w:rsidP="00CB784E">
      <w:pPr>
        <w:pStyle w:val="Bibliography"/>
      </w:pPr>
      <w:r>
        <w:t xml:space="preserve">———. 2006. ‘Government Accountability For Outsourced Services*’. </w:t>
      </w:r>
      <w:r>
        <w:rPr>
          <w:i/>
          <w:iCs/>
        </w:rPr>
        <w:t>Australian Journal of Public Administration</w:t>
      </w:r>
      <w:r>
        <w:t xml:space="preserve"> 65 (2): 48–58. https://doi.org/10.1111/j.1467-8500.2006.00481.x.</w:t>
      </w:r>
    </w:p>
    <w:p w14:paraId="7071C39D" w14:textId="77777777" w:rsidR="00CB784E" w:rsidRDefault="00CB784E" w:rsidP="00CB784E">
      <w:pPr>
        <w:pStyle w:val="Bibliography"/>
      </w:pPr>
      <w:r>
        <w:t xml:space="preserve">———. 2014. ‘Accountability Deficits’. In </w:t>
      </w:r>
      <w:r>
        <w:rPr>
          <w:i/>
          <w:iCs/>
        </w:rPr>
        <w:t>The Oxford Handbook of Public Accountability</w:t>
      </w:r>
      <w:r>
        <w:t>. Oxford University Press. https://doi.org/10.1093/oxfordhb/9780199641253.013.0010.</w:t>
      </w:r>
    </w:p>
    <w:p w14:paraId="576A61E8" w14:textId="77777777" w:rsidR="00CB784E" w:rsidRDefault="00CB784E" w:rsidP="00CB784E">
      <w:pPr>
        <w:pStyle w:val="Bibliography"/>
      </w:pPr>
      <w:r>
        <w:t xml:space="preserve">Munro, Doug. 1990. ‘The Origins of Labourers in the South Pacific: Commentary and Statistics’. In </w:t>
      </w:r>
      <w:r>
        <w:rPr>
          <w:i/>
          <w:iCs/>
        </w:rPr>
        <w:t>Labour in the South Pacific</w:t>
      </w:r>
      <w:r>
        <w:t>. Townsville: James Cook University of Northern Queensland.</w:t>
      </w:r>
    </w:p>
    <w:p w14:paraId="273AF57F" w14:textId="77777777" w:rsidR="00CB784E" w:rsidRDefault="00CB784E" w:rsidP="00CB784E">
      <w:pPr>
        <w:pStyle w:val="Bibliography"/>
      </w:pPr>
      <w:r>
        <w:t xml:space="preserve">Murphy, Michael. 2014. ‘Self-Determination as a Collective Capability: The Case of Indigenous Peoples’. </w:t>
      </w:r>
      <w:r>
        <w:rPr>
          <w:i/>
          <w:iCs/>
        </w:rPr>
        <w:t>Journal of Human Development and Capabilities</w:t>
      </w:r>
      <w:r>
        <w:t xml:space="preserve"> 15 (4): 320–34. https://doi.org/10.1080/19452829.2013.878320.</w:t>
      </w:r>
    </w:p>
    <w:p w14:paraId="1BE8D86A" w14:textId="77777777" w:rsidR="00CB784E" w:rsidRDefault="00CB784E" w:rsidP="00CB784E">
      <w:pPr>
        <w:pStyle w:val="Bibliography"/>
      </w:pPr>
      <w:r>
        <w:t>New Zealand Government Procurement. 2023. ‘​​Government Procurement Rules’. New Zealand Government Procurement and Property. 2023. https://www.procurement.govt.nz/procurement/principles-charter-and-rules/government-procurement-rules/.</w:t>
      </w:r>
    </w:p>
    <w:p w14:paraId="4EC314BA" w14:textId="77777777" w:rsidR="00CB784E" w:rsidRDefault="00CB784E" w:rsidP="00CB784E">
      <w:pPr>
        <w:pStyle w:val="Bibliography"/>
      </w:pPr>
      <w:r>
        <w:t>New Zealand Parliament. 2019a. ‘2019/20 Estimates for Vote Foreign Affairs and Trade’. 2019. https://www.parliament.nz/en/pb/sc/submissions-and-advice/all?custom=FINS_88150.</w:t>
      </w:r>
    </w:p>
    <w:p w14:paraId="2CFF0295" w14:textId="77777777" w:rsidR="00CB784E" w:rsidRDefault="00CB784E" w:rsidP="00CB784E">
      <w:pPr>
        <w:pStyle w:val="Bibliography"/>
      </w:pPr>
      <w:r>
        <w:t>———. 2019b. ‘Who Are the Officers of Parliament? -’. 2019. https://www.parliament.nz/en/visit-and-learn/how-parliament-works/fact-sheets/who-are-the-officers-of-parliament/.</w:t>
      </w:r>
    </w:p>
    <w:p w14:paraId="4E12CDE4" w14:textId="77777777" w:rsidR="00CB784E" w:rsidRDefault="00CB784E" w:rsidP="00CB784E">
      <w:pPr>
        <w:pStyle w:val="Bibliography"/>
      </w:pPr>
      <w:r>
        <w:t>New Zealand Productivity Commission. 2015. ‘More Effective Social Services’. Wellington: New Zealand Productivity Commission. http://www.productivity.govt.nz/sites/default/files/social-services-final-report-main.pdf.</w:t>
      </w:r>
    </w:p>
    <w:p w14:paraId="427193C5" w14:textId="77777777" w:rsidR="00CB784E" w:rsidRDefault="00CB784E" w:rsidP="00CB784E">
      <w:pPr>
        <w:pStyle w:val="Bibliography"/>
      </w:pPr>
      <w:r>
        <w:t>———. 2017. ‘New Models of Tertiary Education: Final Report.’ Wellington: New Zealand Productivity Commission. http://www.productivity.govt.nz/inquiry-content/tertiary-education.</w:t>
      </w:r>
    </w:p>
    <w:p w14:paraId="1A3ED4A5" w14:textId="77777777" w:rsidR="00CB784E" w:rsidRDefault="00CB784E" w:rsidP="00CB784E">
      <w:pPr>
        <w:pStyle w:val="Bibliography"/>
      </w:pPr>
      <w:r>
        <w:t>———. 2022a. ‘Fair Chance for All Interim Report - Breaking the Cycle of Persistent Disadvantage’. Wellington: New Zealand Productivity Commission.</w:t>
      </w:r>
    </w:p>
    <w:p w14:paraId="77707CE1" w14:textId="77777777" w:rsidR="00CB784E" w:rsidRDefault="00CB784E" w:rsidP="00CB784E">
      <w:pPr>
        <w:pStyle w:val="Bibliography"/>
      </w:pPr>
      <w:r>
        <w:t xml:space="preserve">———. 2022b. </w:t>
      </w:r>
      <w:r>
        <w:rPr>
          <w:i/>
          <w:iCs/>
        </w:rPr>
        <w:t>Immigration - Fit for the Future. Final Report, April 2022</w:t>
      </w:r>
      <w:r>
        <w:t>. Wellington, New Zealand: New Zealand Productivity Commission, Te Kōmihana Whai Hua o Aotearoa.</w:t>
      </w:r>
    </w:p>
    <w:p w14:paraId="3173B3C2" w14:textId="77777777" w:rsidR="00CB784E" w:rsidRDefault="00CB784E" w:rsidP="00CB784E">
      <w:pPr>
        <w:pStyle w:val="Bibliography"/>
      </w:pPr>
      <w:r>
        <w:t xml:space="preserve">———. 2022c. </w:t>
      </w:r>
      <w:r>
        <w:rPr>
          <w:i/>
          <w:iCs/>
        </w:rPr>
        <w:t>Immigration by the Numbers</w:t>
      </w:r>
      <w:r>
        <w:t>. Wellington, New Zealand: New Zealand Productivity Commission = Te Kōmihana Whai Hua o Aotearoa.</w:t>
      </w:r>
    </w:p>
    <w:p w14:paraId="3EC3E23B" w14:textId="77777777" w:rsidR="00CB784E" w:rsidRDefault="00CB784E" w:rsidP="00CB784E">
      <w:pPr>
        <w:pStyle w:val="Bibliography"/>
      </w:pPr>
      <w:r>
        <w:lastRenderedPageBreak/>
        <w:t>———. 2022d. ‘Te Puna Körero: Understanding Persistent Disadvantage in Aotearoa New Zealand’. Wellington: New Zealand Productivity Commission.</w:t>
      </w:r>
    </w:p>
    <w:p w14:paraId="7BCAD995" w14:textId="77777777" w:rsidR="00CB784E" w:rsidRDefault="00CB784E" w:rsidP="00CB784E">
      <w:pPr>
        <w:pStyle w:val="Bibliography"/>
      </w:pPr>
      <w:r>
        <w:t>Ning, Bo, and Kelly Feng. 2021. ‘Gaps, Challenges and Pathways to Improve Asian Mental Wellbeing’.</w:t>
      </w:r>
    </w:p>
    <w:p w14:paraId="300A1567" w14:textId="77777777" w:rsidR="00CB784E" w:rsidRDefault="00CB784E" w:rsidP="00CB784E">
      <w:pPr>
        <w:pStyle w:val="Bibliography"/>
      </w:pPr>
      <w:r>
        <w:t xml:space="preserve">Norman, Richard. 2007. ‘Managing Outcomes While Accounting for Outputs: Redefining “Public Value” in New Zealand’s Performance Management System’. </w:t>
      </w:r>
      <w:r>
        <w:rPr>
          <w:i/>
          <w:iCs/>
        </w:rPr>
        <w:t>Public Performance &amp; Management Review</w:t>
      </w:r>
      <w:r>
        <w:t xml:space="preserve"> 30 (4): 536–49.</w:t>
      </w:r>
    </w:p>
    <w:p w14:paraId="0DE3D608" w14:textId="77777777" w:rsidR="00CB784E" w:rsidRDefault="00CB784E" w:rsidP="00CB784E">
      <w:pPr>
        <w:pStyle w:val="Bibliography"/>
      </w:pPr>
      <w:r>
        <w:t xml:space="preserve">Nussbaum, Martha. 2013. </w:t>
      </w:r>
      <w:r>
        <w:rPr>
          <w:i/>
          <w:iCs/>
        </w:rPr>
        <w:t>Creating Capabilities: The Human Development Approach</w:t>
      </w:r>
      <w:r>
        <w:t>. 1st paperback ed. Cambridge, Mass.: Belknap Press of Harvard Univ. Press.</w:t>
      </w:r>
    </w:p>
    <w:p w14:paraId="78969A90" w14:textId="77777777" w:rsidR="00CB784E" w:rsidRDefault="00CB784E" w:rsidP="00CB784E">
      <w:pPr>
        <w:pStyle w:val="Bibliography"/>
      </w:pPr>
      <w:r>
        <w:t xml:space="preserve">Nye, Joseph S. 2001. ‘Globalization’s Democratic Deficit: How to Make International Institutions More Accountable’. </w:t>
      </w:r>
      <w:r>
        <w:rPr>
          <w:i/>
          <w:iCs/>
        </w:rPr>
        <w:t>Foreign Affairs</w:t>
      </w:r>
      <w:r>
        <w:t xml:space="preserve"> 80 (4): 2–6. https://doi.org/10.2307/20050221.</w:t>
      </w:r>
    </w:p>
    <w:p w14:paraId="44B48637" w14:textId="77777777" w:rsidR="00CB784E" w:rsidRDefault="00CB784E" w:rsidP="00CB784E">
      <w:pPr>
        <w:pStyle w:val="Bibliography"/>
      </w:pPr>
      <w:r>
        <w:t>Oakden, Judy, and Kellie Spee. 2022. ‘Fast Response of Talanoa Ako to Urgent Pacific Community Needs in the First COVID-19 Lockdown 2020’.</w:t>
      </w:r>
    </w:p>
    <w:p w14:paraId="5C8DC837" w14:textId="77777777" w:rsidR="00CB784E" w:rsidRDefault="00CB784E" w:rsidP="00CB784E">
      <w:pPr>
        <w:pStyle w:val="Bibliography"/>
      </w:pPr>
      <w:r>
        <w:t xml:space="preserve">OECD. 2019. </w:t>
      </w:r>
      <w:r>
        <w:rPr>
          <w:i/>
          <w:iCs/>
        </w:rPr>
        <w:t>Changing the Odds for Vulnerable Children: Building Opportunities and Resilience</w:t>
      </w:r>
      <w:r>
        <w:t>. Paris: Organisation for Economic Co-operation and Development. https://www.oecd-ilibrary.org/social-issues-migration-health/changing-the-odds-for-vulnerable-children_a2e8796c-en.</w:t>
      </w:r>
    </w:p>
    <w:p w14:paraId="4646D6D3" w14:textId="77777777" w:rsidR="00CB784E" w:rsidRDefault="00CB784E" w:rsidP="00CB784E">
      <w:pPr>
        <w:pStyle w:val="Bibliography"/>
      </w:pPr>
      <w:r>
        <w:t>———. 2023. ‘OECD Better Life Index’. 2023. https://www.oecdbetterlifeindex.org/.</w:t>
      </w:r>
    </w:p>
    <w:p w14:paraId="26AC2542" w14:textId="77777777" w:rsidR="00CB784E" w:rsidRDefault="00CB784E" w:rsidP="00CB784E">
      <w:pPr>
        <w:pStyle w:val="Bibliography"/>
      </w:pPr>
      <w:r>
        <w:t>Office of the Auditor-General. 2021. ‘The Problems, Progress, and Potential of Performance Reporting’. Wellington: Office of the Auditor-General.</w:t>
      </w:r>
    </w:p>
    <w:p w14:paraId="351E2F31" w14:textId="77777777" w:rsidR="00CB784E" w:rsidRDefault="00CB784E" w:rsidP="00CB784E">
      <w:pPr>
        <w:pStyle w:val="Bibliography"/>
      </w:pPr>
      <w:r>
        <w:t>———. 2022a. ‘Building a Stronger Public Accountability System for New Zealanders’. Office of the Auditor-General New Zealand. 14 September 2022. https://oag.parliament.nz/2021/public-accountability.</w:t>
      </w:r>
    </w:p>
    <w:p w14:paraId="620538F3" w14:textId="77777777" w:rsidR="00CB784E" w:rsidRDefault="00CB784E" w:rsidP="00CB784E">
      <w:pPr>
        <w:pStyle w:val="Bibliography"/>
      </w:pPr>
      <w:r>
        <w:t>———. 2022b. ‘Submission on “A Fair Chance Foe All -- Breaking the Cycles of Presistent Disadvantage”’, 10 November 2022. https://www.productivity.govt.nz/assets/DR-114-OAG-Productivity-Commission-submission.pdf.</w:t>
      </w:r>
    </w:p>
    <w:p w14:paraId="7D66AD6C" w14:textId="77777777" w:rsidR="00CB784E" w:rsidRDefault="00CB784E" w:rsidP="00CB784E">
      <w:pPr>
        <w:pStyle w:val="Bibliography"/>
      </w:pPr>
      <w:r>
        <w:t>Office of the Clerk of the House of Representatives. 2014. ‘Government Accountability to the House’. Wellington: New Zealand Parliament. https://www.parliament.nz/en/visit-and-learn/how-parliament-works/fact-sheets/pbrief1/.</w:t>
      </w:r>
    </w:p>
    <w:p w14:paraId="6717FEB2" w14:textId="77777777" w:rsidR="00CB784E" w:rsidRDefault="00CB784E" w:rsidP="00CB784E">
      <w:pPr>
        <w:pStyle w:val="Bibliography"/>
      </w:pPr>
      <w:r>
        <w:t>Office of the Controller and Auditor-General. 2019. ‘Public Accountability: A Matter of Trust and Confidence.’ Wellington: Office of the Auditor-General. https://www.oag.govt.nz/2019/public-accountability?utm_source=subs&amp;utm_medium=subs&amp;utm_campaign=public-accountability.</w:t>
      </w:r>
    </w:p>
    <w:p w14:paraId="1E92D340" w14:textId="77777777" w:rsidR="00CB784E" w:rsidRDefault="00CB784E" w:rsidP="00CB784E">
      <w:pPr>
        <w:pStyle w:val="Bibliography"/>
      </w:pPr>
      <w:r>
        <w:t>———. 2021. ‘Building a Stronger Public Accountability System for New Zealanders’. Wellington: Office of the Controller and Auditor-General. https://oag.parliament.nz/2021/public-accountability.</w:t>
      </w:r>
    </w:p>
    <w:p w14:paraId="01BEF6E6" w14:textId="77777777" w:rsidR="00CB784E" w:rsidRDefault="00CB784E" w:rsidP="00CB784E">
      <w:pPr>
        <w:pStyle w:val="Bibliography"/>
      </w:pPr>
      <w:r>
        <w:t xml:space="preserve">O’Kelly, Ciarán, and Melvin J. Dubnick. 2020. ‘Dissecting the Semantics of Accountability and Its Misuse’. In </w:t>
      </w:r>
      <w:r>
        <w:rPr>
          <w:i/>
          <w:iCs/>
        </w:rPr>
        <w:t>Quality of Governance: Values and Violations</w:t>
      </w:r>
      <w:r>
        <w:t>, edited by Hester Paanakker, Adam Masters, and Leo Huberts, 45–79. Cham: Springer International Publishing. https://doi.org/10.1007/978-3-030-21522-4_3.</w:t>
      </w:r>
    </w:p>
    <w:p w14:paraId="16129552" w14:textId="77777777" w:rsidR="00CB784E" w:rsidRDefault="00CB784E" w:rsidP="00CB784E">
      <w:pPr>
        <w:pStyle w:val="Bibliography"/>
      </w:pPr>
      <w:r>
        <w:t xml:space="preserve">O’Malley, Vincent, Bruce Stirling, and Wally Penetito, eds. 2010. </w:t>
      </w:r>
      <w:r>
        <w:rPr>
          <w:i/>
          <w:iCs/>
        </w:rPr>
        <w:t>The Treaty of Waitangi Companion: Māori and Pākeha from Tasman to Today</w:t>
      </w:r>
      <w:r>
        <w:t>. Auckland, N.Z: Auckland University Press.</w:t>
      </w:r>
    </w:p>
    <w:p w14:paraId="61F7345F" w14:textId="77777777" w:rsidR="00CB784E" w:rsidRDefault="00CB784E" w:rsidP="00CB784E">
      <w:pPr>
        <w:pStyle w:val="Bibliography"/>
      </w:pPr>
      <w:r>
        <w:t>Oranga Tamariki. 2019. ‘Service Specifications/Guidelines’. Oranga Tamariki — Ministry for Children. 2019. https://www.orangatamariki.govt.nz/working-with-children/information-for-providers/service-guidelines/.</w:t>
      </w:r>
    </w:p>
    <w:p w14:paraId="63A0F93A" w14:textId="77777777" w:rsidR="00CB784E" w:rsidRDefault="00CB784E" w:rsidP="00CB784E">
      <w:pPr>
        <w:pStyle w:val="Bibliography"/>
      </w:pPr>
      <w:r>
        <w:t>———. 2023. ‘New Ways of Working’. Oranga Tamariki — Ministry for Children. 30 January 2023. https://www.orangatamariki.govt.nz/about-us/how-we-work/new-ways-of-working/.</w:t>
      </w:r>
    </w:p>
    <w:p w14:paraId="3186024F" w14:textId="77777777" w:rsidR="00CB784E" w:rsidRDefault="00CB784E" w:rsidP="00CB784E">
      <w:pPr>
        <w:pStyle w:val="Bibliography"/>
      </w:pPr>
      <w:r>
        <w:t xml:space="preserve">Orange, Claudia. 2020a. </w:t>
      </w:r>
      <w:r>
        <w:rPr>
          <w:i/>
          <w:iCs/>
        </w:rPr>
        <w:t>The Treaty of Waitangi: An Illustrated History = Te Tiriti o Waitangi</w:t>
      </w:r>
      <w:r>
        <w:t>. Wellington: Bridget Williams Books.</w:t>
      </w:r>
    </w:p>
    <w:p w14:paraId="7D135B2D" w14:textId="77777777" w:rsidR="00CB784E" w:rsidRDefault="00CB784E" w:rsidP="00CB784E">
      <w:pPr>
        <w:pStyle w:val="Bibliography"/>
      </w:pPr>
      <w:r>
        <w:lastRenderedPageBreak/>
        <w:t xml:space="preserve">———. 2020b. </w:t>
      </w:r>
      <w:r>
        <w:rPr>
          <w:i/>
          <w:iCs/>
        </w:rPr>
        <w:t>Treaty of Waitangi | Te Tiriti o Waitangi: An Illustrated History.</w:t>
      </w:r>
      <w:r>
        <w:t xml:space="preserve"> Wellington: Bridget Williams Books.</w:t>
      </w:r>
    </w:p>
    <w:p w14:paraId="6A9DBC50" w14:textId="77777777" w:rsidR="00CB784E" w:rsidRDefault="00CB784E" w:rsidP="00CB784E">
      <w:pPr>
        <w:pStyle w:val="Bibliography"/>
      </w:pPr>
      <w:r>
        <w:t xml:space="preserve">Osch, Daniëlle van, Rik de Ruiter, and Kutsal Yesilkagit. 2021. ‘An Accountability Deficit? Holding Transgovernmental Networks to Account’. </w:t>
      </w:r>
      <w:r>
        <w:rPr>
          <w:i/>
          <w:iCs/>
        </w:rPr>
        <w:t>Journal of European Public Policy</w:t>
      </w:r>
      <w:r>
        <w:t xml:space="preserve"> 0 (0): 1–19. https://doi.org/10.1080/13501763.2021.1998193.</w:t>
      </w:r>
    </w:p>
    <w:p w14:paraId="404E49B7" w14:textId="77777777" w:rsidR="00CB784E" w:rsidRDefault="00CB784E" w:rsidP="00CB784E">
      <w:pPr>
        <w:pStyle w:val="Bibliography"/>
      </w:pPr>
      <w:r>
        <w:t xml:space="preserve">Page, Stephen. 2004. ‘Measuring Accountability for Results in Interagency Collaboratives’. </w:t>
      </w:r>
      <w:r>
        <w:rPr>
          <w:i/>
          <w:iCs/>
        </w:rPr>
        <w:t>Public Administration Review</w:t>
      </w:r>
      <w:r>
        <w:t xml:space="preserve"> 64 (5): 591–606.</w:t>
      </w:r>
    </w:p>
    <w:p w14:paraId="166EC69A" w14:textId="77777777" w:rsidR="00CB784E" w:rsidRDefault="00CB784E" w:rsidP="00CB784E">
      <w:pPr>
        <w:pStyle w:val="Bibliography"/>
      </w:pPr>
      <w:r>
        <w:t xml:space="preserve">Palmer, Matthew, and Dean R. Knight. 2022. </w:t>
      </w:r>
      <w:r>
        <w:rPr>
          <w:i/>
          <w:iCs/>
        </w:rPr>
        <w:t>The Constitution of New Zealand: A Contextual Analysis</w:t>
      </w:r>
      <w:r>
        <w:t>. Constitutional Systems of the World. Oxford, UK ; New York, NY: Hart Publishing, an imprint of Bloomsbury Publishing.</w:t>
      </w:r>
    </w:p>
    <w:p w14:paraId="32C5C29C" w14:textId="77777777" w:rsidR="00CB784E" w:rsidRDefault="00CB784E" w:rsidP="00CB784E">
      <w:pPr>
        <w:pStyle w:val="Bibliography"/>
      </w:pPr>
      <w:r>
        <w:t xml:space="preserve">Pansardi, Pamela, and Marianna Bindi. 2021. ‘The New Concepts of Power? Power-over, Power-to and Power-With.’ </w:t>
      </w:r>
      <w:r>
        <w:rPr>
          <w:i/>
          <w:iCs/>
        </w:rPr>
        <w:t>Journal of Political Power</w:t>
      </w:r>
      <w:r>
        <w:t xml:space="preserve"> 14: 51–71. https://doi.org/10.1080/2158379X.2021.1877001.</w:t>
      </w:r>
    </w:p>
    <w:p w14:paraId="67C7AB25" w14:textId="77777777" w:rsidR="00CB784E" w:rsidRDefault="00CB784E" w:rsidP="00CB784E">
      <w:pPr>
        <w:pStyle w:val="Bibliography"/>
      </w:pPr>
      <w:r>
        <w:t>Parliament of New Zealand. 2020. ‘What Is a Party Whip and What Do They Do? - New Zealand Parliament’. 2020. https://www.parliament.nz/en/get-involved/features/what-is-a-party-whip-and-what-do-they-do/.</w:t>
      </w:r>
    </w:p>
    <w:p w14:paraId="71FD876D" w14:textId="77777777" w:rsidR="00CB784E" w:rsidRDefault="00CB784E" w:rsidP="00CB784E">
      <w:pPr>
        <w:pStyle w:val="Bibliography"/>
      </w:pPr>
      <w:r>
        <w:t>Parliamentary Commissioner for the Environment. 2021. ‘The Commissioner’. 2021. https://www.pce.parliament.nz/about-us/the-commissioner.</w:t>
      </w:r>
    </w:p>
    <w:p w14:paraId="26414A66" w14:textId="77777777" w:rsidR="00CB784E" w:rsidRDefault="00CB784E" w:rsidP="00CB784E">
      <w:pPr>
        <w:pStyle w:val="Bibliography"/>
      </w:pPr>
      <w:r>
        <w:t>Peiris-John, Roshini, Kristy Kang, L Bavin, Lovely Dizon, N Singh, T Clark, T Fleming, and Ameratunga, S. 2021. ‘East Asian, South Asian, Chinese and Indian Students in Aotearoa: A Youth19 Report’. 2021. https:/.asianfamilyservices.nz/media/jqscvlai/east-asian-south-asian-chinese-and-indian-studetns-in-aotearoa-youth-2000-survey-series.pdf.</w:t>
      </w:r>
    </w:p>
    <w:p w14:paraId="31CFF0D0" w14:textId="77777777" w:rsidR="00CB784E" w:rsidRDefault="00CB784E" w:rsidP="00CB784E">
      <w:pPr>
        <w:pStyle w:val="Bibliography"/>
      </w:pPr>
      <w:r>
        <w:t xml:space="preserve">Perry, Paul, and Polly Yeung. 2021. ‘Keeping New Zealand in the World Values Survey, 1985-2019:A Brief Project History and Selected New Zealand Social Trends from the World’s Largest Non-Commercial Social Survey’. </w:t>
      </w:r>
      <w:r>
        <w:rPr>
          <w:i/>
          <w:iCs/>
        </w:rPr>
        <w:t>Aotearoa New Zealand Journal of Social Issues</w:t>
      </w:r>
      <w:r>
        <w:t xml:space="preserve"> 1 (October). https://doi.org/10.24135/anzjsi.v1i.52.</w:t>
      </w:r>
    </w:p>
    <w:p w14:paraId="11563987" w14:textId="77777777" w:rsidR="00CB784E" w:rsidRDefault="00CB784E" w:rsidP="00CB784E">
      <w:pPr>
        <w:pStyle w:val="Bibliography"/>
      </w:pPr>
      <w:r>
        <w:t xml:space="preserve">Pickering, Dani. 2023. ‘Political Activation and Social Movements: Addressing Non-Participation in Aotearoa New Zealand’. </w:t>
      </w:r>
      <w:r>
        <w:rPr>
          <w:i/>
          <w:iCs/>
        </w:rPr>
        <w:t>Sociology Compass</w:t>
      </w:r>
      <w:r>
        <w:t xml:space="preserve"> 17 (1): e13022. https://doi.org/10.1111/soc4.13022.</w:t>
      </w:r>
    </w:p>
    <w:p w14:paraId="33E99AFA" w14:textId="77777777" w:rsidR="00CB784E" w:rsidRDefault="00CB784E" w:rsidP="00CB784E">
      <w:pPr>
        <w:pStyle w:val="Bibliography"/>
      </w:pPr>
      <w:r>
        <w:t xml:space="preserve">Pilon, Marc, and François Brouard. 2022. ‘Conceptualizing Accountability as an Integrated System of Relationships, Governance, and Information’. </w:t>
      </w:r>
      <w:r>
        <w:rPr>
          <w:i/>
          <w:iCs/>
        </w:rPr>
        <w:t>Financial Accountability &amp; Management</w:t>
      </w:r>
      <w:r>
        <w:t xml:space="preserve"> n/a (n/a). https://doi.org/10.1111/faam.12323.</w:t>
      </w:r>
    </w:p>
    <w:p w14:paraId="23EB45BC" w14:textId="77777777" w:rsidR="00CB784E" w:rsidRDefault="00CB784E" w:rsidP="00CB784E">
      <w:pPr>
        <w:pStyle w:val="Bibliography"/>
      </w:pPr>
      <w:r>
        <w:t>Polger, Mark Aaron. 2022. ‘CSI Library: Misinformation and Disinformation: Thinking Critically about Information Sources: Definitions of Terms’. 2022. https://library.csi.cuny.edu/c.php?g=619342&amp;p=4310781.</w:t>
      </w:r>
    </w:p>
    <w:p w14:paraId="13DEF9C4" w14:textId="77777777" w:rsidR="00CB784E" w:rsidRDefault="00CB784E" w:rsidP="00CB784E">
      <w:pPr>
        <w:pStyle w:val="Bibliography"/>
      </w:pPr>
      <w:r>
        <w:t xml:space="preserve">Prebble, Mark, and Andrew Ladley. 2010. ‘The Iron Rule of Political Contest’. In </w:t>
      </w:r>
      <w:r>
        <w:rPr>
          <w:i/>
          <w:iCs/>
        </w:rPr>
        <w:t>With Respect: Parliamentarians, Officials, and Judges Too</w:t>
      </w:r>
      <w:r>
        <w:t>. Institute of Policy Studies, Victoria University of Wellington.</w:t>
      </w:r>
    </w:p>
    <w:p w14:paraId="6C209E14" w14:textId="77777777" w:rsidR="00CB784E" w:rsidRDefault="00CB784E" w:rsidP="00CB784E">
      <w:pPr>
        <w:pStyle w:val="Bibliography"/>
      </w:pPr>
      <w:r>
        <w:t>Presbyterian Support East Coast. 2020. ‘Ten Years of Tauawhi: Creating a Community of Caring Men’. https://issuu.com/psec.nz/docs/psec_tauawhi_booklet_nov20_digital_final.</w:t>
      </w:r>
    </w:p>
    <w:p w14:paraId="3A5D6937" w14:textId="77777777" w:rsidR="00CB784E" w:rsidRDefault="00CB784E" w:rsidP="00CB784E">
      <w:pPr>
        <w:pStyle w:val="Bibliography"/>
      </w:pPr>
      <w:r>
        <w:t>Prickett, Kate, Sarah-Jane Paine, Polly Carr, and Susan Morton. 2022. ‘A Fair Chance for All? Family Resources across the Early Life Course and Children’s Development in Aotearoa New Zealand’. Wellington: New Zealand Productivity Commission.</w:t>
      </w:r>
    </w:p>
    <w:p w14:paraId="2C9A37E0" w14:textId="77777777" w:rsidR="00CB784E" w:rsidRDefault="00CB784E" w:rsidP="00CB784E">
      <w:pPr>
        <w:pStyle w:val="Bibliography"/>
      </w:pPr>
      <w:r>
        <w:t>Public Health Scotland. 2021. ‘Causes of Child Poverty’. 2021. http://www.healthscotland.scot/population-groups/children/child-poverty/child-poverty-overview/causes-of-child-poverty.</w:t>
      </w:r>
    </w:p>
    <w:p w14:paraId="335E5E7F" w14:textId="77777777" w:rsidR="00CB784E" w:rsidRDefault="00CB784E" w:rsidP="00CB784E">
      <w:pPr>
        <w:pStyle w:val="Bibliography"/>
      </w:pPr>
      <w:r>
        <w:t>Public Service Commission. 2021. ‘Te Whakapakari i Te Hononga i Waenga i Te Māori Me Te Karauna: Strengthening the Māori Crown Relationship’. Wellington: Public Service Commission.</w:t>
      </w:r>
    </w:p>
    <w:p w14:paraId="465C0AF9" w14:textId="77777777" w:rsidR="00CB784E" w:rsidRDefault="00CB784E" w:rsidP="00CB784E">
      <w:pPr>
        <w:pStyle w:val="Bibliography"/>
      </w:pPr>
      <w:r>
        <w:t>Rangi, Caren, Tania Hodges, Te Rau Kupenga, Donna Matahaere-Atariki, Kim Ngārimu, and Brenda Steele. 2018. ‘The Whānau Ora Review Report – Tipu Mātoro Ki Te Ao’.</w:t>
      </w:r>
    </w:p>
    <w:p w14:paraId="541DCE51" w14:textId="77777777" w:rsidR="00CB784E" w:rsidRDefault="00CB784E" w:rsidP="00CB784E">
      <w:pPr>
        <w:pStyle w:val="Bibliography"/>
      </w:pPr>
      <w:r>
        <w:lastRenderedPageBreak/>
        <w:t>Reid, Chelsey, and Paul Evans. 2022. ‘Trends in Māori Wellbeing’. Treasury Analytical Paper 22/02. Wellingon: The Treasury.</w:t>
      </w:r>
    </w:p>
    <w:p w14:paraId="1680EDCB" w14:textId="77777777" w:rsidR="00CB784E" w:rsidRDefault="00CB784E" w:rsidP="00CB784E">
      <w:pPr>
        <w:pStyle w:val="Bibliography"/>
      </w:pPr>
      <w:r>
        <w:t xml:space="preserve">Richardson, Ruth. 1995. </w:t>
      </w:r>
      <w:r>
        <w:rPr>
          <w:i/>
          <w:iCs/>
        </w:rPr>
        <w:t>Making a Difference</w:t>
      </w:r>
      <w:r>
        <w:t>. Christchurch, N.Z: Shoal Bay Press.</w:t>
      </w:r>
    </w:p>
    <w:p w14:paraId="6B2F3B97" w14:textId="77777777" w:rsidR="00CB784E" w:rsidRDefault="00CB784E" w:rsidP="00CB784E">
      <w:pPr>
        <w:pStyle w:val="Bibliography"/>
      </w:pPr>
      <w:r>
        <w:t xml:space="preserve">Robbins, Lionel. 1945. </w:t>
      </w:r>
      <w:r>
        <w:rPr>
          <w:i/>
          <w:iCs/>
        </w:rPr>
        <w:t>An Essay on the Nature and Significance of Economic Science</w:t>
      </w:r>
      <w:r>
        <w:t>. 2nd Revised. London: Macmillan and Co Limited.</w:t>
      </w:r>
    </w:p>
    <w:p w14:paraId="0E0E0E90" w14:textId="77777777" w:rsidR="00CB784E" w:rsidRDefault="00CB784E" w:rsidP="00CB784E">
      <w:pPr>
        <w:pStyle w:val="Bibliography"/>
      </w:pPr>
      <w:r>
        <w:t xml:space="preserve">Robeyns, Ingrid. 2005. ‘The Capability Approach: A Theoretical Survey’. </w:t>
      </w:r>
      <w:r>
        <w:rPr>
          <w:i/>
          <w:iCs/>
        </w:rPr>
        <w:t>Journal of Human Development</w:t>
      </w:r>
      <w:r>
        <w:t xml:space="preserve"> 6 (1): 93–117. https://doi.org/10.1080/146498805200034266.</w:t>
      </w:r>
    </w:p>
    <w:p w14:paraId="4C5163C8" w14:textId="77777777" w:rsidR="00CB784E" w:rsidRDefault="00CB784E" w:rsidP="00CB784E">
      <w:pPr>
        <w:pStyle w:val="Bibliography"/>
      </w:pPr>
      <w:r>
        <w:t xml:space="preserve">———. 2017. </w:t>
      </w:r>
      <w:r>
        <w:rPr>
          <w:i/>
          <w:iCs/>
        </w:rPr>
        <w:t>Wellbeing, Freedom and Social Justice: The Capability Approach Re-Examined</w:t>
      </w:r>
      <w:r>
        <w:t>. Cambridge: Open Book Publishers. https://doi.org/10.11647/OBP.0130.</w:t>
      </w:r>
    </w:p>
    <w:p w14:paraId="696DD5B5" w14:textId="77777777" w:rsidR="00CB784E" w:rsidRDefault="00CB784E" w:rsidP="00CB784E">
      <w:pPr>
        <w:pStyle w:val="Bibliography"/>
      </w:pPr>
      <w:r>
        <w:t xml:space="preserve">Robeyns, Ingrid, and Morten Fibieger Byskov. 2021. ‘The Capability Approach’. In </w:t>
      </w:r>
      <w:r>
        <w:rPr>
          <w:i/>
          <w:iCs/>
        </w:rPr>
        <w:t>The Stanford Encyclopedia of Philosophy</w:t>
      </w:r>
      <w:r>
        <w:t>, Winter 2021. https://plato.stanford.edu/archives/win2021/entries/capability-approach/.</w:t>
      </w:r>
    </w:p>
    <w:p w14:paraId="35AC69BB" w14:textId="77777777" w:rsidR="00CB784E" w:rsidRDefault="00CB784E" w:rsidP="00CB784E">
      <w:pPr>
        <w:pStyle w:val="Bibliography"/>
      </w:pPr>
      <w:r>
        <w:t xml:space="preserve">Romzek, Barbara, and Melvin J. Dubnick. 1987. ‘Accountability in the Public Sector: Lessons from the Challenger Tragedy’. </w:t>
      </w:r>
      <w:r>
        <w:rPr>
          <w:i/>
          <w:iCs/>
        </w:rPr>
        <w:t>Public Administration Review</w:t>
      </w:r>
      <w:r>
        <w:t xml:space="preserve"> 47 (3): 227–38. https://doi.org/10.2307/975901.</w:t>
      </w:r>
    </w:p>
    <w:p w14:paraId="3260F0C5" w14:textId="77777777" w:rsidR="00CB784E" w:rsidRDefault="00CB784E" w:rsidP="00CB784E">
      <w:pPr>
        <w:pStyle w:val="Bibliography"/>
      </w:pPr>
      <w:r>
        <w:t xml:space="preserve">Romzek, Barbara, Kelly LeRoux, and Jeannette M. Blackmar. 2012. ‘A Preliminary Theory of Informal Accountability among Network Organizational Actors’. </w:t>
      </w:r>
      <w:r>
        <w:rPr>
          <w:i/>
          <w:iCs/>
        </w:rPr>
        <w:t>Public Administration Review</w:t>
      </w:r>
      <w:r>
        <w:t xml:space="preserve"> 72 (3): 442–53. https://doi.org/10.1111/j.1540-6210.2011.02547.x.</w:t>
      </w:r>
    </w:p>
    <w:p w14:paraId="4C017422" w14:textId="77777777" w:rsidR="00CB784E" w:rsidRDefault="00CB784E" w:rsidP="00CB784E">
      <w:pPr>
        <w:pStyle w:val="Bibliography"/>
      </w:pPr>
      <w:r>
        <w:t xml:space="preserve">Romzek, Barbara S., Kelly LeRoux, and Jeannette M. Blackmar. 2012. ‘A Preliminary Theory of Informal Accountability among Network Organizational Actors’. </w:t>
      </w:r>
      <w:r>
        <w:rPr>
          <w:i/>
          <w:iCs/>
        </w:rPr>
        <w:t>Public Administration Review</w:t>
      </w:r>
      <w:r>
        <w:t xml:space="preserve"> 72 (3): 442–53. https://doi.org/10.1111/j.1540-6210.2011.02547.x.</w:t>
      </w:r>
    </w:p>
    <w:p w14:paraId="6ED10986" w14:textId="77777777" w:rsidR="00CB784E" w:rsidRDefault="00CB784E" w:rsidP="00CB784E">
      <w:pPr>
        <w:pStyle w:val="Bibliography"/>
      </w:pPr>
      <w:r>
        <w:t xml:space="preserve">Ross, Ruth. 1972. ‘Te Tiriti o Waitangi: Texts and Translations’. </w:t>
      </w:r>
      <w:r>
        <w:rPr>
          <w:i/>
          <w:iCs/>
        </w:rPr>
        <w:t>New Zealand Journal of History</w:t>
      </w:r>
      <w:r>
        <w:t xml:space="preserve"> 6 (2): 129–57.</w:t>
      </w:r>
    </w:p>
    <w:p w14:paraId="64675D54" w14:textId="77777777" w:rsidR="00CB784E" w:rsidRDefault="00CB784E" w:rsidP="00CB784E">
      <w:pPr>
        <w:pStyle w:val="Bibliography"/>
      </w:pPr>
      <w:r>
        <w:t xml:space="preserve">Rubie-Davies, Christine M., Elizabeth R. Peterson, Chris G. Sibley, and Robert Rosenthal. 2015. ‘A Teacher Expectation Intervention: Modelling the Practices of High Expectation Teachers’. </w:t>
      </w:r>
      <w:r>
        <w:rPr>
          <w:i/>
          <w:iCs/>
        </w:rPr>
        <w:t>Contemporary Educational Psychology</w:t>
      </w:r>
      <w:r>
        <w:t>, Examining Innovations—Navigating the Dynamic Complexities of School-Based Intervention Research, 40 (January): 72–85. https://doi.org/10.1016/j.cedpsych.2014.03.003.</w:t>
      </w:r>
    </w:p>
    <w:p w14:paraId="6C743EE6" w14:textId="77777777" w:rsidR="00CB784E" w:rsidRDefault="00CB784E" w:rsidP="00CB784E">
      <w:pPr>
        <w:pStyle w:val="Bibliography"/>
      </w:pPr>
      <w:r>
        <w:t xml:space="preserve">Russell, Jill, Trisha Greenhalgh, Harriet Lewis, Ian MacKenzie, Neal Maskrey, Jonathan Montgomery, and Claire O’Donnell. 2013. ‘Addressing the “Postcode Lottery” in Local Resource Allocation Decisions: A Framework for Clinical Commissioning Groups’. </w:t>
      </w:r>
      <w:r>
        <w:rPr>
          <w:i/>
          <w:iCs/>
        </w:rPr>
        <w:t>Journal of the Royal Society of Medicine</w:t>
      </w:r>
      <w:r>
        <w:t xml:space="preserve"> 106 (4): 120–23. https://doi.org/10.1177/0141076813479192.</w:t>
      </w:r>
    </w:p>
    <w:p w14:paraId="429DE029" w14:textId="77777777" w:rsidR="00CB784E" w:rsidRDefault="00CB784E" w:rsidP="00CB784E">
      <w:pPr>
        <w:pStyle w:val="Bibliography"/>
      </w:pPr>
      <w:r>
        <w:t xml:space="preserve">Salesa, Damon. 2019. ‘Decolonising the Pacific’. </w:t>
      </w:r>
      <w:r>
        <w:rPr>
          <w:i/>
          <w:iCs/>
        </w:rPr>
        <w:t>E-Tangata</w:t>
      </w:r>
      <w:r>
        <w:t xml:space="preserve"> (blog). 1 June 2019. https://e-tangata.co.nz/history/decolonising-the-pacific/.</w:t>
      </w:r>
    </w:p>
    <w:p w14:paraId="3DAD603C" w14:textId="77777777" w:rsidR="00CB784E" w:rsidRDefault="00CB784E" w:rsidP="00CB784E">
      <w:pPr>
        <w:pStyle w:val="Bibliography"/>
      </w:pPr>
      <w:r>
        <w:t xml:space="preserve">Scobie, Matthew, Bill Lee, and Stewart Smyth. 2020. ‘Grounded Accountability and Indigenous Self-Determination’. </w:t>
      </w:r>
      <w:r>
        <w:rPr>
          <w:i/>
          <w:iCs/>
        </w:rPr>
        <w:t>Critical Perspectives on Accounting</w:t>
      </w:r>
      <w:r>
        <w:t>, June, 102198. https://doi.org/10.1016/j.cpa.2020.102198.</w:t>
      </w:r>
    </w:p>
    <w:p w14:paraId="3F51A162" w14:textId="77777777" w:rsidR="00CB784E" w:rsidRDefault="00CB784E" w:rsidP="00CB784E">
      <w:pPr>
        <w:pStyle w:val="Bibliography"/>
      </w:pPr>
      <w:r>
        <w:t xml:space="preserve">Scott, Graham. 1995. ‘New Zealand’s Fiscal Responsibility Act’. </w:t>
      </w:r>
      <w:r>
        <w:rPr>
          <w:i/>
          <w:iCs/>
        </w:rPr>
        <w:t>Agenda: A Journal of Policy Analysis and Reform</w:t>
      </w:r>
      <w:r>
        <w:t xml:space="preserve"> 2 (1): 3–16.</w:t>
      </w:r>
    </w:p>
    <w:p w14:paraId="39A9004C" w14:textId="77777777" w:rsidR="00CB784E" w:rsidRDefault="00CB784E" w:rsidP="00CB784E">
      <w:pPr>
        <w:pStyle w:val="Bibliography"/>
      </w:pPr>
      <w:r>
        <w:t xml:space="preserve">Sen, Amartya. 1979a. ‘Personal Utilities and Public Judgements: Or What’s Wrong With Welfare Economics’. </w:t>
      </w:r>
      <w:r>
        <w:rPr>
          <w:i/>
          <w:iCs/>
        </w:rPr>
        <w:t>The Economic Journal</w:t>
      </w:r>
      <w:r>
        <w:t xml:space="preserve"> 89 (355): 537–58. https://doi.org/10.2307/2231867.</w:t>
      </w:r>
    </w:p>
    <w:p w14:paraId="237D3954" w14:textId="77777777" w:rsidR="00CB784E" w:rsidRDefault="00CB784E" w:rsidP="00CB784E">
      <w:pPr>
        <w:pStyle w:val="Bibliography"/>
      </w:pPr>
      <w:r>
        <w:t>———. 1979b. ‘Equality of What?’ Presented at the Tanner Lecture on Human Values, Stanford, May 22. http://www.ophi.org.uk/wp-content/uploads/Sen-1979_Equality-of-What.pdf.</w:t>
      </w:r>
    </w:p>
    <w:p w14:paraId="160D1D91" w14:textId="77777777" w:rsidR="00CB784E" w:rsidRDefault="00CB784E" w:rsidP="00CB784E">
      <w:pPr>
        <w:pStyle w:val="Bibliography"/>
      </w:pPr>
      <w:r>
        <w:t xml:space="preserve">———. 1989. ‘Development as Capability Expansion.’ </w:t>
      </w:r>
      <w:r>
        <w:rPr>
          <w:i/>
          <w:iCs/>
        </w:rPr>
        <w:t>Journal of Development Planning</w:t>
      </w:r>
      <w:r>
        <w:t xml:space="preserve"> 19 (1): 41–58.</w:t>
      </w:r>
    </w:p>
    <w:p w14:paraId="1033F32F" w14:textId="77777777" w:rsidR="00CB784E" w:rsidRDefault="00CB784E" w:rsidP="00CB784E">
      <w:pPr>
        <w:pStyle w:val="Bibliography"/>
      </w:pPr>
      <w:r>
        <w:t xml:space="preserve">———. 1993. ‘Capability and Well‐Being’. In </w:t>
      </w:r>
      <w:r>
        <w:rPr>
          <w:i/>
          <w:iCs/>
        </w:rPr>
        <w:t>The Quality of Life</w:t>
      </w:r>
      <w:r>
        <w:t>, edited by Martha Nussbaum and Amartya Sen, 30–53. Oxford University Press. https://doi.org/10.1093/0198287976.003.0003.</w:t>
      </w:r>
    </w:p>
    <w:p w14:paraId="34050BB2" w14:textId="77777777" w:rsidR="00CB784E" w:rsidRDefault="00CB784E" w:rsidP="00CB784E">
      <w:pPr>
        <w:pStyle w:val="Bibliography"/>
      </w:pPr>
      <w:r>
        <w:t xml:space="preserve">———. 1999. </w:t>
      </w:r>
      <w:r>
        <w:rPr>
          <w:i/>
          <w:iCs/>
        </w:rPr>
        <w:t>Commodities and Capabilities.</w:t>
      </w:r>
      <w:r>
        <w:t xml:space="preserve"> 2nd ed. New Delhi and New York: Oxford University Press.</w:t>
      </w:r>
    </w:p>
    <w:p w14:paraId="409E794A" w14:textId="77777777" w:rsidR="00CB784E" w:rsidRDefault="00CB784E" w:rsidP="00CB784E">
      <w:pPr>
        <w:pStyle w:val="Bibliography"/>
      </w:pPr>
      <w:r>
        <w:lastRenderedPageBreak/>
        <w:t xml:space="preserve">———. 2000. </w:t>
      </w:r>
      <w:r>
        <w:rPr>
          <w:i/>
          <w:iCs/>
        </w:rPr>
        <w:t>Development as Freedom</w:t>
      </w:r>
      <w:r>
        <w:t>. Anchor Books Edition. New York: Anchor Books.</w:t>
      </w:r>
    </w:p>
    <w:p w14:paraId="1A9FEC9E" w14:textId="77777777" w:rsidR="00CB784E" w:rsidRDefault="00CB784E" w:rsidP="00CB784E">
      <w:pPr>
        <w:pStyle w:val="Bibliography"/>
      </w:pPr>
      <w:r>
        <w:t xml:space="preserve">Shaheed, Ahmed, and Rose Parris Richter. 2018. ‘Is “Human Rights” a Western Concept?’ </w:t>
      </w:r>
      <w:r>
        <w:rPr>
          <w:i/>
          <w:iCs/>
        </w:rPr>
        <w:t>IPI Global Observatory</w:t>
      </w:r>
      <w:r>
        <w:t xml:space="preserve"> (blog). 17 October 2018. https://theglobalobservatory.org/2018/10/are-human-rights-a-western-concept/.</w:t>
      </w:r>
    </w:p>
    <w:p w14:paraId="04452FFC" w14:textId="77777777" w:rsidR="00CB784E" w:rsidRDefault="00CB784E" w:rsidP="00CB784E">
      <w:pPr>
        <w:pStyle w:val="Bibliography"/>
      </w:pPr>
      <w:r>
        <w:t xml:space="preserve">Shavell, Steven. 1979. ‘Risk Sharing and Incentives in the Principal and Agent Relationship’. </w:t>
      </w:r>
      <w:r>
        <w:rPr>
          <w:i/>
          <w:iCs/>
        </w:rPr>
        <w:t>The Bell Journal of Economics</w:t>
      </w:r>
      <w:r>
        <w:t xml:space="preserve"> 10 (1): 55–73. https://doi.org/10.2307/3003319.</w:t>
      </w:r>
    </w:p>
    <w:p w14:paraId="6D4E8E11" w14:textId="77777777" w:rsidR="00CB784E" w:rsidRDefault="00CB784E" w:rsidP="00CB784E">
      <w:pPr>
        <w:pStyle w:val="Bibliography"/>
      </w:pPr>
      <w:r>
        <w:t>Social Service Providers Aotearoa. 2021. ‘Strategic Plan 2021 - 23’. Wellington: Social Service Providers Aotearoa. https://www.sspa.org.nz/about-sspa.</w:t>
      </w:r>
    </w:p>
    <w:p w14:paraId="79AD12DD" w14:textId="77777777" w:rsidR="00CB784E" w:rsidRDefault="00CB784E" w:rsidP="00CB784E">
      <w:pPr>
        <w:pStyle w:val="Bibliography"/>
      </w:pPr>
      <w:r>
        <w:t>South Auckland Social Wellbeing Board. 2023. ‘How We Work’. South Auckland Social Wellbeing Board. 2023. https://saswb.com/how-we-work.</w:t>
      </w:r>
    </w:p>
    <w:p w14:paraId="7FB9AFAD" w14:textId="77777777" w:rsidR="00CB784E" w:rsidRDefault="00CB784E" w:rsidP="00CB784E">
      <w:pPr>
        <w:pStyle w:val="Bibliography"/>
      </w:pPr>
      <w:r>
        <w:t xml:space="preserve">Spence, Michael, and Richard Zeckhauser. 1971. ‘Insurance, Information, and Individual Action’. </w:t>
      </w:r>
      <w:r>
        <w:rPr>
          <w:i/>
          <w:iCs/>
        </w:rPr>
        <w:t>The American Economic Review</w:t>
      </w:r>
      <w:r>
        <w:t xml:space="preserve"> 61 (2): 380–87.</w:t>
      </w:r>
    </w:p>
    <w:p w14:paraId="119588BF" w14:textId="77777777" w:rsidR="00CB784E" w:rsidRDefault="00CB784E" w:rsidP="00CB784E">
      <w:pPr>
        <w:pStyle w:val="Bibliography"/>
      </w:pPr>
      <w:r>
        <w:t xml:space="preserve">Spoonley, Paul, and Richard Bedford. 2012. </w:t>
      </w:r>
      <w:r>
        <w:rPr>
          <w:i/>
          <w:iCs/>
        </w:rPr>
        <w:t>Welcome to Our World? Immigration and the Reshaping of New Zealand</w:t>
      </w:r>
      <w:r>
        <w:t>. Auckland, N.Z: Dunmore Pub.</w:t>
      </w:r>
    </w:p>
    <w:p w14:paraId="30ABB578" w14:textId="77777777" w:rsidR="00CB784E" w:rsidRDefault="00CB784E" w:rsidP="00CB784E">
      <w:pPr>
        <w:pStyle w:val="Bibliography"/>
      </w:pPr>
      <w:r>
        <w:t>Stanbury, William. 2003. ‘Accountability to Citizens in the Westminster Model of Government: More Myth than Reality’. Vancouver: Fraser Institute. https://bit.ly/1LFs5nE.</w:t>
      </w:r>
    </w:p>
    <w:p w14:paraId="465D8B45" w14:textId="77777777" w:rsidR="00CB784E" w:rsidRDefault="00CB784E" w:rsidP="00CB784E">
      <w:pPr>
        <w:pStyle w:val="Bibliography"/>
      </w:pPr>
      <w:r>
        <w:t>Stats NZ. 2019. ‘2018 Census Population and Dwelling Counts’. 2019. https://www.stats.govt.nz/information-releases/2018-census-population-and-dwelling-counts.</w:t>
      </w:r>
    </w:p>
    <w:p w14:paraId="0DB4A545" w14:textId="77777777" w:rsidR="00CB784E" w:rsidRDefault="00CB784E" w:rsidP="00CB784E">
      <w:pPr>
        <w:pStyle w:val="Bibliography"/>
      </w:pPr>
      <w:r>
        <w:t>———. 2020. ‘2018 Census Data Allows Users to Dive Deep into New Zealand’s Diversity | Stats NZ’. 2020. https://www.stats.govt.nz/news/2018-census-data-allows-users-to-dive-deep-into-new-zealands-diversity.</w:t>
      </w:r>
    </w:p>
    <w:p w14:paraId="6634FB51" w14:textId="77777777" w:rsidR="00CB784E" w:rsidRDefault="00CB784E" w:rsidP="00CB784E">
      <w:pPr>
        <w:pStyle w:val="Bibliography"/>
      </w:pPr>
      <w:r>
        <w:t>———. 2022a. ‘Māori Population Estimates: At 30 June 2022’. https://secure.livechatinc.com/.</w:t>
      </w:r>
    </w:p>
    <w:p w14:paraId="199A358F" w14:textId="77777777" w:rsidR="00CB784E" w:rsidRDefault="00CB784E" w:rsidP="00CB784E">
      <w:pPr>
        <w:pStyle w:val="Bibliography"/>
      </w:pPr>
      <w:r>
        <w:t>———. 2022b. ‘NZ.Stat’. 2022. https://nzdotstat.stats.govt.nz/wbos/Index.aspx?_ga=2.255590664.1601334792.1562706338-799100744.1551837708#.</w:t>
      </w:r>
    </w:p>
    <w:p w14:paraId="4C056E57" w14:textId="77777777" w:rsidR="00CB784E" w:rsidRDefault="00CB784E" w:rsidP="00CB784E">
      <w:pPr>
        <w:pStyle w:val="Bibliography"/>
      </w:pPr>
      <w:r>
        <w:t xml:space="preserve">Stead, Victoria, and Lucy Davies. 2021. ‘Unfree Labour and Australia’s Obscured Pacific Histories: Towards a New Genealogy of Modern Slavery’. </w:t>
      </w:r>
      <w:r>
        <w:rPr>
          <w:i/>
          <w:iCs/>
        </w:rPr>
        <w:t>Journal of Australian Studies</w:t>
      </w:r>
      <w:r>
        <w:t xml:space="preserve"> 45 (3): 400–416. https://doi.org/10.1080/14443058.2021.1956571.</w:t>
      </w:r>
    </w:p>
    <w:p w14:paraId="0766CCB6" w14:textId="77777777" w:rsidR="00CB784E" w:rsidRDefault="00CB784E" w:rsidP="00CB784E">
      <w:pPr>
        <w:pStyle w:val="Bibliography"/>
      </w:pPr>
      <w:r>
        <w:t xml:space="preserve">Steets, Julia. 2010. </w:t>
      </w:r>
      <w:r>
        <w:rPr>
          <w:i/>
          <w:iCs/>
        </w:rPr>
        <w:t>Accountability in Public Policy Partnerships</w:t>
      </w:r>
      <w:r>
        <w:t>. Houndmills, Basingstoke, Hampshire; New York: Palgrave Macmillan.</w:t>
      </w:r>
    </w:p>
    <w:p w14:paraId="0DC81213" w14:textId="77777777" w:rsidR="00CB784E" w:rsidRDefault="00CB784E" w:rsidP="00CB784E">
      <w:pPr>
        <w:pStyle w:val="Bibliography"/>
      </w:pPr>
      <w:r>
        <w:t xml:space="preserve">Stewart, Frances. 2013. ‘Capabilities and Human Development’. UNDP Human Development Report Office Occasional paper 2013/30. </w:t>
      </w:r>
      <w:r>
        <w:rPr>
          <w:i/>
          <w:iCs/>
        </w:rPr>
        <w:t>Human Development Reports</w:t>
      </w:r>
      <w:r>
        <w:t>. United Nations. https://hdr.undp.org/content/capabilities-and-human-development.</w:t>
      </w:r>
    </w:p>
    <w:p w14:paraId="4F6A1FF8" w14:textId="77777777" w:rsidR="00CB784E" w:rsidRDefault="00CB784E" w:rsidP="00CB784E">
      <w:pPr>
        <w:pStyle w:val="Bibliography"/>
      </w:pPr>
      <w:r>
        <w:t xml:space="preserve">Stiglitz, Joseph E., Amartya Sen, and Jean-Paul Fitoussi. 2010. </w:t>
      </w:r>
      <w:r>
        <w:rPr>
          <w:i/>
          <w:iCs/>
        </w:rPr>
        <w:t>Mismeasuring Our Lives: Why GDP Doesn’t Add Up</w:t>
      </w:r>
      <w:r>
        <w:t>. New York: The New Press.</w:t>
      </w:r>
    </w:p>
    <w:p w14:paraId="3559485B" w14:textId="77777777" w:rsidR="00CB784E" w:rsidRDefault="00CB784E" w:rsidP="00CB784E">
      <w:pPr>
        <w:pStyle w:val="Bibliography"/>
      </w:pPr>
      <w:r>
        <w:t>Suicide Mortality Review Committee. 2019. ‘Understanding Deaths by Suicide in the Asian Population of Aotearoa New Zealand | Te Whakamārama i Ngā Mate Whakamomori i Te Taupori Āhia i Aotearoa’, 44.</w:t>
      </w:r>
    </w:p>
    <w:p w14:paraId="3D39AE0A" w14:textId="77777777" w:rsidR="00CB784E" w:rsidRDefault="00CB784E" w:rsidP="00CB784E">
      <w:pPr>
        <w:pStyle w:val="Bibliography"/>
      </w:pPr>
      <w:r>
        <w:t xml:space="preserve">Tan, Qiuyi Tan. 2023. ‘“Found with No Heartbeat”: How P Almost Killed Me - and How I Fought Back’. </w:t>
      </w:r>
      <w:r>
        <w:rPr>
          <w:i/>
          <w:iCs/>
        </w:rPr>
        <w:t>NZ Herald</w:t>
      </w:r>
      <w:r>
        <w:t>, 28 January 2023, sec. New Zealand. https://www.nzherald.co.nz/nz/she-was-a-slave-to-drugs-until-the-drug-court-took-her-out-of-jail/PTDKFKT6RZA7JJW5SC7U7VROQQ/.</w:t>
      </w:r>
    </w:p>
    <w:p w14:paraId="68D68D72" w14:textId="77777777" w:rsidR="00CB784E" w:rsidRDefault="00CB784E" w:rsidP="00CB784E">
      <w:pPr>
        <w:pStyle w:val="Bibliography"/>
      </w:pPr>
      <w:r>
        <w:t>Te Puni Kōkiri. 2016. ‘The Whānau Ora Outcomes Framework’. Wellington: Te Puni Kōkiri. https://www.tpk.govt.nz/docs/tpk-wo-outcomesframework-aug2016.pdf.</w:t>
      </w:r>
    </w:p>
    <w:p w14:paraId="09FD4A20" w14:textId="77777777" w:rsidR="00CB784E" w:rsidRDefault="00CB784E" w:rsidP="00CB784E">
      <w:pPr>
        <w:pStyle w:val="Bibliography"/>
      </w:pPr>
      <w:r>
        <w:t>———. 2023. ‘Whānau Ora’. 2023. http://www.tpk.govt.nz/en/nga-putea-me-nga-ratonga/whanau-ora/.</w:t>
      </w:r>
    </w:p>
    <w:p w14:paraId="55115CD4" w14:textId="77777777" w:rsidR="00CB784E" w:rsidRDefault="00CB784E" w:rsidP="00CB784E">
      <w:pPr>
        <w:pStyle w:val="Bibliography"/>
      </w:pPr>
      <w:r>
        <w:t>The New Zealand Parliamentary Library. 2019. ‘The Budget Policy Statement -’. Parliamentary Library Research and Information research paper 2019/06. Wellington: New Zealand Parliament. https://www.parliament.nz/en/pb/library-research-papers/research-papers/the-budget-policy-statement/.</w:t>
      </w:r>
    </w:p>
    <w:p w14:paraId="16231B7E" w14:textId="77777777" w:rsidR="00CB784E" w:rsidRDefault="00CB784E" w:rsidP="00CB784E">
      <w:pPr>
        <w:pStyle w:val="Bibliography"/>
      </w:pPr>
      <w:r>
        <w:lastRenderedPageBreak/>
        <w:t>The Treasury. 2015. ‘An Introduction to New Zealand’s Fiscal Policy Framework’. Wellington: The Treasury.</w:t>
      </w:r>
    </w:p>
    <w:p w14:paraId="5BE26885" w14:textId="77777777" w:rsidR="00CB784E" w:rsidRDefault="00CB784E" w:rsidP="00CB784E">
      <w:pPr>
        <w:pStyle w:val="Bibliography"/>
      </w:pPr>
      <w:r>
        <w:t>———. 2019. ‘A Guide to the Public Finance Act’. Wellington: The Treasury.</w:t>
      </w:r>
    </w:p>
    <w:p w14:paraId="17D0958E" w14:textId="77777777" w:rsidR="00CB784E" w:rsidRDefault="00CB784E" w:rsidP="00CB784E">
      <w:pPr>
        <w:pStyle w:val="Bibliography"/>
      </w:pPr>
      <w:r>
        <w:t>———. 2020. ‘The Future of Social Sector Commissioning’. Wellingon: The Treasury. https://www.treasury.govt.nz/publications/oia-response/copy-aide-memoire-future-social-sector-commissioning-oia-20200402.</w:t>
      </w:r>
    </w:p>
    <w:p w14:paraId="380616E4" w14:textId="77777777" w:rsidR="00CB784E" w:rsidRDefault="00CB784E" w:rsidP="00CB784E">
      <w:pPr>
        <w:pStyle w:val="Bibliography"/>
      </w:pPr>
      <w:r>
        <w:t>———. 2022a. ‘Our Living Standards Framework’. 2022. https://www.treasury.govt.nz/information-and-services/nz-economy/higher-living-standards/our-living-standards-framework.</w:t>
      </w:r>
    </w:p>
    <w:p w14:paraId="5CA90C68" w14:textId="77777777" w:rsidR="00CB784E" w:rsidRDefault="00CB784E" w:rsidP="00CB784E">
      <w:pPr>
        <w:pStyle w:val="Bibliography"/>
      </w:pPr>
      <w:r>
        <w:t>———. 2022b. ‘Te Tai Waiora: Wellbeing in Aotearoa New Zealand 2022’. Wellington: The Treasury.</w:t>
      </w:r>
    </w:p>
    <w:p w14:paraId="5C4DDAFB" w14:textId="77777777" w:rsidR="00CB784E" w:rsidRDefault="00CB784E" w:rsidP="00CB784E">
      <w:pPr>
        <w:pStyle w:val="Bibliography"/>
      </w:pPr>
      <w:r>
        <w:t>———. 2022c. ‘Budget 2022 Data from the Estimates of Appropriations 2022/23’. 19 May 2022. https://www.treasury.govt.nz/publications/data/budget-2022-data-estimates-appropriations-2022-23.</w:t>
      </w:r>
    </w:p>
    <w:p w14:paraId="31D6A9EC" w14:textId="77777777" w:rsidR="00CB784E" w:rsidRDefault="00CB784E" w:rsidP="00CB784E">
      <w:pPr>
        <w:pStyle w:val="Bibliography"/>
      </w:pPr>
      <w:r>
        <w:t>———. 2022d. ‘Guide to the Budget Process’. 19 May 2022. https://www.treasury.govt.nz/publications/guide/guide-budget-process.</w:t>
      </w:r>
    </w:p>
    <w:p w14:paraId="13419B4D" w14:textId="77777777" w:rsidR="00CB784E" w:rsidRDefault="00CB784E" w:rsidP="00CB784E">
      <w:pPr>
        <w:pStyle w:val="Bibliography"/>
      </w:pPr>
      <w:r>
        <w:t>———. 2022e. ‘Summary Tables for the Estimates of Appropriations 2022/23’. Wellingon: The Treasury. https://www.treasury.govt.nz/publications/summary-tables/summary-tables-estimates-appropriations-2022-23.</w:t>
      </w:r>
    </w:p>
    <w:p w14:paraId="56EFA746" w14:textId="77777777" w:rsidR="00CB784E" w:rsidRDefault="00CB784E" w:rsidP="00CB784E">
      <w:pPr>
        <w:pStyle w:val="Bibliography"/>
      </w:pPr>
      <w:r>
        <w:t>Thompson, Chris. 2022. ‘Equality, Equity, and Distributive Justice’. Treasury Analytical Paper 22/03. Wellington: The Treasury.</w:t>
      </w:r>
    </w:p>
    <w:p w14:paraId="42F0FB27" w14:textId="77777777" w:rsidR="00CB784E" w:rsidRDefault="00CB784E" w:rsidP="00CB784E">
      <w:pPr>
        <w:pStyle w:val="Bibliography"/>
      </w:pPr>
      <w:r>
        <w:t xml:space="preserve">Thomson, David. 1996. ‘The Future of New Zealand’s National Superannuation’. </w:t>
      </w:r>
      <w:r>
        <w:rPr>
          <w:i/>
          <w:iCs/>
        </w:rPr>
        <w:t>Agenda: A Journal of Policy Analysis and Reform</w:t>
      </w:r>
      <w:r>
        <w:t xml:space="preserve"> 3 (3): 297–304.</w:t>
      </w:r>
    </w:p>
    <w:p w14:paraId="31DFCF07" w14:textId="77777777" w:rsidR="00CB784E" w:rsidRDefault="00CB784E" w:rsidP="00CB784E">
      <w:pPr>
        <w:pStyle w:val="Bibliography"/>
      </w:pPr>
      <w:r>
        <w:t>Tōfā Mamao Collective. 2022. ‘Tagata Sa’ilimalo Strategic Framework’.</w:t>
      </w:r>
    </w:p>
    <w:p w14:paraId="7215FA6F" w14:textId="77777777" w:rsidR="00CB784E" w:rsidRDefault="00CB784E" w:rsidP="00CB784E">
      <w:pPr>
        <w:pStyle w:val="Bibliography"/>
      </w:pPr>
      <w:r>
        <w:t>Transparency International New Zealand. 2019. ‘New Zealand National Integrity System Assessment - 2018 Update’. Wellington: Transparency International New Zealand. https://uploads-ssl.webflow.com/5f3c5d2bb263505e25811876/5fbc02dfece6e60f63d4244b_National-Integrity-System-Assessment-2018-update-full-report.pdf.</w:t>
      </w:r>
    </w:p>
    <w:p w14:paraId="50356BAF" w14:textId="77777777" w:rsidR="00CB784E" w:rsidRDefault="00CB784E" w:rsidP="00CB784E">
      <w:pPr>
        <w:pStyle w:val="Bibliography"/>
      </w:pPr>
      <w:r>
        <w:t>Trust Tairāwhiti. 2023. ‘He Tohu Ora - Tairāwhiti Wellbeing’. Trust Tairāwhiti. 2023. https://trusttairawhiti.nz/about-us/he-tohu-ora-tairawhiti-wellbeing/.</w:t>
      </w:r>
    </w:p>
    <w:p w14:paraId="2C71000D" w14:textId="77777777" w:rsidR="00CB784E" w:rsidRDefault="00CB784E" w:rsidP="00CB784E">
      <w:pPr>
        <w:pStyle w:val="Bibliography"/>
      </w:pPr>
      <w:r>
        <w:t>UK Cabinet Office. 2022. ‘What Works Network’. GOV.UK. 2022. https://www.gov.uk/guidance/what-works-network.</w:t>
      </w:r>
    </w:p>
    <w:p w14:paraId="061BC6A5" w14:textId="77777777" w:rsidR="00CB784E" w:rsidRDefault="00CB784E" w:rsidP="00CB784E">
      <w:pPr>
        <w:pStyle w:val="Bibliography"/>
      </w:pPr>
      <w:r>
        <w:t>Upton, Simon. 2022a. ‘Governing an Unimaginable Future’. Presented at the Governing for the Future: The Futures of Democracy, Law, and Government Symposium, Banquet Hall, Parliament Buildings, 13 October 2022, Wellingon. Governing for the Future: The Futures of Democracy, Law, and Government Symposium, Banquet Hall, Parliament Buildings, 13 October 2022.</w:t>
      </w:r>
    </w:p>
    <w:p w14:paraId="72A06C33" w14:textId="77777777" w:rsidR="00CB784E" w:rsidRDefault="00CB784E" w:rsidP="00CB784E">
      <w:pPr>
        <w:pStyle w:val="Bibliography"/>
      </w:pPr>
      <w:r>
        <w:t>———. 2022b. ‘Letter to the Speaker’, 2022. https://www.parliament.nz/resource/en-NZ/53SCSO_EVI_122709_SO131/e0ecb3888ea4dc1f10723a874ab9848acc610b7a.</w:t>
      </w:r>
    </w:p>
    <w:p w14:paraId="0F63CC94" w14:textId="77777777" w:rsidR="00CB784E" w:rsidRDefault="00CB784E" w:rsidP="00CB784E">
      <w:pPr>
        <w:pStyle w:val="Bibliography"/>
      </w:pPr>
      <w:r>
        <w:t>US Census Bureau. 2022. ‘2020 Census Illuminates Racial and Ethnic Composition of the Country’. Census.Gov. 2022. https://www.census.gov/library/stories/2021/08/improved-race-ethnicity-measures-reveal-united-states-population-much-more-multiracial.html.</w:t>
      </w:r>
    </w:p>
    <w:p w14:paraId="02ABFA8C" w14:textId="77777777" w:rsidR="00CB784E" w:rsidRDefault="00CB784E" w:rsidP="00CB784E">
      <w:pPr>
        <w:pStyle w:val="Bibliography"/>
      </w:pPr>
      <w:r>
        <w:t>Ussher, Chris, and Andrew Kibblewhite. 2001. ‘Outcomes Focussed Management in New Zealand - A Background Paper’. Treasury Working Paper 01/05. The Treasury. https://www.treasury.govt.nz/publications/wp/outcomes-focussed-management-new-zealand-background-paper-wp-01-05-html.</w:t>
      </w:r>
    </w:p>
    <w:p w14:paraId="1AB789DB" w14:textId="77777777" w:rsidR="00CB784E" w:rsidRDefault="00CB784E" w:rsidP="00CB784E">
      <w:pPr>
        <w:pStyle w:val="Bibliography"/>
      </w:pPr>
      <w:r>
        <w:t>Waitangi Tribunal. 1998. ‘Te Whänau o Waipereira Report’. Wellington: Waitangi Tribunal.</w:t>
      </w:r>
    </w:p>
    <w:p w14:paraId="0E30447F" w14:textId="77777777" w:rsidR="00CB784E" w:rsidRDefault="00CB784E" w:rsidP="00CB784E">
      <w:pPr>
        <w:pStyle w:val="Bibliography"/>
      </w:pPr>
      <w:r>
        <w:t xml:space="preserve">———. 2014. ‘He Whakaputanga Me Te Tiriti The Declaration and the Treaty: The Report on Stage 1 of the Te Paparahi o Te Raki Inquiry’. WAI 1040. Waitangi Tribunal. </w:t>
      </w:r>
      <w:r>
        <w:lastRenderedPageBreak/>
        <w:t>https://forms.justice.govt.nz/search/Documents/WT/wt_DOC_85648980/Te%20Raki%20W.pdf.</w:t>
      </w:r>
    </w:p>
    <w:p w14:paraId="6CC06D83" w14:textId="77777777" w:rsidR="00CB784E" w:rsidRDefault="00CB784E" w:rsidP="00CB784E">
      <w:pPr>
        <w:pStyle w:val="Bibliography"/>
      </w:pPr>
      <w:r>
        <w:t>———. 2022. ‘Tino Rangatiratanga Me Te Kāwanatanga’. Wellington: Waitangi Tribunal.</w:t>
      </w:r>
    </w:p>
    <w:p w14:paraId="2D362F54" w14:textId="77777777" w:rsidR="00CB784E" w:rsidRDefault="00CB784E" w:rsidP="00CB784E">
      <w:pPr>
        <w:pStyle w:val="Bibliography"/>
      </w:pPr>
      <w:r>
        <w:t>Walton, Darren, and Samara Martin. 2021. ‘The Evaluation of Te Ara Oranga: The Path to Wellbeing. A Methamphetamine Harm Reduction Programme in Northland.’</w:t>
      </w:r>
    </w:p>
    <w:p w14:paraId="12C2835C" w14:textId="77777777" w:rsidR="00CB784E" w:rsidRDefault="00CB784E" w:rsidP="00CB784E">
      <w:pPr>
        <w:pStyle w:val="Bibliography"/>
      </w:pPr>
      <w:r>
        <w:t>Warren, Ken. 2021. ‘Designing a New Collective Operating and Funding Model in the New Zealand Public Sector’. Working Paper 21/12. Wellington: Institute for Governance and Policy Studies.</w:t>
      </w:r>
    </w:p>
    <w:p w14:paraId="4B360BBB" w14:textId="77777777" w:rsidR="00CB784E" w:rsidRDefault="00CB784E" w:rsidP="00CB784E">
      <w:pPr>
        <w:pStyle w:val="Bibliography"/>
      </w:pPr>
      <w:r>
        <w:t xml:space="preserve">Watene, Krushil. 2016. ‘Valuing Nature: Māori Philosophy and the Capability Approach’. </w:t>
      </w:r>
      <w:r>
        <w:rPr>
          <w:i/>
          <w:iCs/>
        </w:rPr>
        <w:t>Oxford Development Studies</w:t>
      </w:r>
      <w:r>
        <w:t xml:space="preserve"> 44 (3): 287–96. https://doi.org/10.1080/13600818.2015.1124077.</w:t>
      </w:r>
    </w:p>
    <w:p w14:paraId="736CDE52" w14:textId="77777777" w:rsidR="00CB784E" w:rsidRDefault="00CB784E" w:rsidP="00CB784E">
      <w:pPr>
        <w:pStyle w:val="Bibliography"/>
      </w:pPr>
      <w:r>
        <w:t xml:space="preserve">Weale, Albert. 2011. ‘New Modes of Governance, Political Accountability and Public Reason’. </w:t>
      </w:r>
      <w:r>
        <w:rPr>
          <w:i/>
          <w:iCs/>
        </w:rPr>
        <w:t>Government and Opposition</w:t>
      </w:r>
      <w:r>
        <w:t xml:space="preserve"> 46 (1): 58–80. https://doi.org/10.1111/j.1477-7053.2010.01330.x.</w:t>
      </w:r>
    </w:p>
    <w:p w14:paraId="3299E461" w14:textId="77777777" w:rsidR="00CB784E" w:rsidRDefault="00CB784E" w:rsidP="00CB784E">
      <w:pPr>
        <w:pStyle w:val="Bibliography"/>
      </w:pPr>
      <w:r>
        <w:t xml:space="preserve">Webber, David. 2004. ‘Wrestling with Outcomes: The New Zealand Experience’. </w:t>
      </w:r>
      <w:r>
        <w:rPr>
          <w:i/>
          <w:iCs/>
        </w:rPr>
        <w:t>Agenda: A Journal of Policy Analysis and Reform</w:t>
      </w:r>
      <w:r>
        <w:t xml:space="preserve"> 11 (4): 335–48.</w:t>
      </w:r>
    </w:p>
    <w:p w14:paraId="54DB28FD" w14:textId="77777777" w:rsidR="00CB784E" w:rsidRDefault="00CB784E" w:rsidP="00CB784E">
      <w:pPr>
        <w:pStyle w:val="Bibliography"/>
      </w:pPr>
      <w:r>
        <w:t xml:space="preserve">Welfare Experts Advisory Group. 2019. </w:t>
      </w:r>
      <w:r>
        <w:rPr>
          <w:i/>
          <w:iCs/>
        </w:rPr>
        <w:t>Whakamana Tangata Restoring Dignity to Social Security in New Zealand</w:t>
      </w:r>
      <w:r>
        <w:t>. Wellington, N.Z.: Welfare Expert Advisory Group. http://www.weag.govt.nz/weag-report.</w:t>
      </w:r>
    </w:p>
    <w:p w14:paraId="76C0643F" w14:textId="77777777" w:rsidR="00CB784E" w:rsidRDefault="00CB784E" w:rsidP="00CB784E">
      <w:pPr>
        <w:pStyle w:val="Bibliography"/>
      </w:pPr>
      <w:r>
        <w:t xml:space="preserve">What Works Network. n.d. ‘About WWN’. </w:t>
      </w:r>
      <w:r>
        <w:rPr>
          <w:i/>
          <w:iCs/>
        </w:rPr>
        <w:t>What Works Network</w:t>
      </w:r>
      <w:r>
        <w:t xml:space="preserve"> (blog). Accessed 15 June 2022. https://www.whatworksnetwork.org.uk/about-wwn/.</w:t>
      </w:r>
    </w:p>
    <w:p w14:paraId="4DD2CC22" w14:textId="77777777" w:rsidR="00CB784E" w:rsidRDefault="00CB784E" w:rsidP="00CB784E">
      <w:pPr>
        <w:pStyle w:val="Bibliography"/>
      </w:pPr>
      <w:r>
        <w:t xml:space="preserve">Whitaker, Gordon P. 1980. ‘Coproduction: Citizen Participation in Service Delivery’. </w:t>
      </w:r>
      <w:r>
        <w:rPr>
          <w:i/>
          <w:iCs/>
        </w:rPr>
        <w:t>Public Administration Review</w:t>
      </w:r>
      <w:r>
        <w:t xml:space="preserve"> 40 (3): 240–46. https://doi.org/10.2307/975377.</w:t>
      </w:r>
    </w:p>
    <w:p w14:paraId="2AEE08F2" w14:textId="77777777" w:rsidR="00CB784E" w:rsidRDefault="00CB784E" w:rsidP="00CB784E">
      <w:pPr>
        <w:pStyle w:val="Bibliography"/>
      </w:pPr>
      <w:r>
        <w:t xml:space="preserve">Williams, David V. 2004. ‘Myths, National Origins, Common Law and the Waitangi Tribunal’. </w:t>
      </w:r>
      <w:r>
        <w:rPr>
          <w:i/>
          <w:iCs/>
        </w:rPr>
        <w:t>Murdoch University Electronic Journal of Law</w:t>
      </w:r>
      <w:r>
        <w:t xml:space="preserve"> 11 (4). http://classic.austlii.edu.au/au/journals/MurdochUeJlLaw/2004/39.html.</w:t>
      </w:r>
    </w:p>
    <w:p w14:paraId="08DA0887" w14:textId="77777777" w:rsidR="00CB784E" w:rsidRDefault="00CB784E" w:rsidP="00CB784E">
      <w:pPr>
        <w:pStyle w:val="Bibliography"/>
      </w:pPr>
      <w:r>
        <w:t xml:space="preserve">Wilson, Peter. 2011. ‘The Economics of Emissions Trading’. In </w:t>
      </w:r>
      <w:r>
        <w:rPr>
          <w:i/>
          <w:iCs/>
        </w:rPr>
        <w:t>Climate Change Law and Policy in New Zealand</w:t>
      </w:r>
      <w:r>
        <w:t>. Wellington: LexisNexis NZ.</w:t>
      </w:r>
    </w:p>
    <w:p w14:paraId="2F85EA00" w14:textId="77777777" w:rsidR="00CB784E" w:rsidRDefault="00CB784E" w:rsidP="00CB784E">
      <w:pPr>
        <w:pStyle w:val="Bibliography"/>
      </w:pPr>
      <w:r>
        <w:t>———. 2017. ‘Keeping the Bastards Honest’. NZIER Insight 72. Wellington: New Zealand Institute of Economic Research. https://www.nzier.org.nz/publications/keeping-the-bastards-honest-nzier-insight-72.</w:t>
      </w:r>
    </w:p>
    <w:p w14:paraId="3F6EDC5D" w14:textId="77777777" w:rsidR="00CB784E" w:rsidRDefault="00CB784E" w:rsidP="00CB784E">
      <w:pPr>
        <w:pStyle w:val="Bibliography"/>
      </w:pPr>
      <w:r>
        <w:t>Wilson, Peter, and Julie Fry. 2019. ‘Kia Māia: Be Bold Improving the Wellbeing of Children Living in Poverty’. NZIER public discussion paper 2019/1. Wellington: New Zealand Institute of Economic Research.</w:t>
      </w:r>
    </w:p>
    <w:p w14:paraId="1B08B7E0" w14:textId="77777777" w:rsidR="00CB784E" w:rsidRDefault="00CB784E" w:rsidP="00CB784E">
      <w:pPr>
        <w:pStyle w:val="Bibliography"/>
      </w:pPr>
      <w:r>
        <w:t>———. 2020. ‘Could Do Better: Migration and New Zealand’s Frontier Firms’. New Zealand Institute of Economic Research. https://nzier.org.nz/publication/could-do-better-migration-and-new-zealands-frontier-firms.</w:t>
      </w:r>
    </w:p>
    <w:p w14:paraId="3882C8EB" w14:textId="77777777" w:rsidR="00CB784E" w:rsidRDefault="00CB784E" w:rsidP="00CB784E">
      <w:pPr>
        <w:pStyle w:val="Bibliography"/>
      </w:pPr>
      <w:r>
        <w:t>———. 2022. ‘Planning for Prosperity: Transparent and Public Immigration Targets’. Wellington: New Zealand Institute of Economic Research.</w:t>
      </w:r>
    </w:p>
    <w:p w14:paraId="0C62B039" w14:textId="77777777" w:rsidR="00CB784E" w:rsidRDefault="00CB784E" w:rsidP="00CB784E">
      <w:pPr>
        <w:pStyle w:val="Bibliography"/>
      </w:pPr>
      <w:r>
        <w:t>Winkleman, Claudia. 2022. Ellis v. R. Supreme Court of New Zealand.</w:t>
      </w:r>
    </w:p>
    <w:p w14:paraId="410F2DCF" w14:textId="77777777" w:rsidR="00CB784E" w:rsidRDefault="00CB784E" w:rsidP="00CB784E">
      <w:pPr>
        <w:pStyle w:val="Bibliography"/>
      </w:pPr>
      <w:r>
        <w:t>Wood, Michael. 2022. ‘2000 Visas a Year to Be Granted through Resumption of Parent Category’. Wellington: Government of New Zealand. https://www.beehive.govt.nz/release/2000-visas-year-be-granted-through-resumption-parent-category.</w:t>
      </w:r>
    </w:p>
    <w:p w14:paraId="7E5D3364" w14:textId="77777777" w:rsidR="00CB784E" w:rsidRDefault="00CB784E" w:rsidP="00CB784E">
      <w:pPr>
        <w:pStyle w:val="Bibliography"/>
      </w:pPr>
      <w:r>
        <w:t>Woodhouse, Michael. 2016. ‘NZRP Changes to Strike the Right Balance’. Wellington: Government of New Zealand. https://www.beehive.govt.nz/release/nzrp-changes-strike-right-balance.</w:t>
      </w:r>
    </w:p>
    <w:p w14:paraId="58897152" w14:textId="77777777" w:rsidR="00CB784E" w:rsidRDefault="00CB784E" w:rsidP="00CB784E">
      <w:pPr>
        <w:pStyle w:val="Bibliography"/>
      </w:pPr>
      <w:r>
        <w:t>World Bank. 2021. ‘Supreme Audit Institutions Independence Index 2021 Global Synthesis Report’. Equitable Growth, Finance and Institutions Insight. Washington: The World Bank.</w:t>
      </w:r>
    </w:p>
    <w:p w14:paraId="2BCD4981" w14:textId="77777777" w:rsidR="00CB784E" w:rsidRDefault="00CB784E" w:rsidP="00CB784E">
      <w:pPr>
        <w:pStyle w:val="Bibliography"/>
      </w:pPr>
      <w:r>
        <w:t xml:space="preserve">Yap, Mandy, and Eunice Yu. 2016. ‘Operationalising the Capability Approach: Developing Culturally Relevant Indicators of Indigenous Wellbeing – an Australian Example’. </w:t>
      </w:r>
      <w:r>
        <w:rPr>
          <w:i/>
          <w:iCs/>
        </w:rPr>
        <w:t>Oxford Development Studies</w:t>
      </w:r>
      <w:r>
        <w:t xml:space="preserve"> 44 (3): 315–31. https://doi.org/10.1080/13600818.2016.1178223.</w:t>
      </w:r>
    </w:p>
    <w:p w14:paraId="7D89B738" w14:textId="77777777" w:rsidR="00CB784E" w:rsidRDefault="00CB784E" w:rsidP="00CB784E">
      <w:pPr>
        <w:pStyle w:val="Bibliography"/>
      </w:pPr>
      <w:r>
        <w:t xml:space="preserve">Yong, Sue. 2018. ‘An Asian Perspective and the New Zealand Treasury Living Standards Framework, New Zealand Treasury Discussion Paper 18/10’. New Zealand Treasury </w:t>
      </w:r>
      <w:r>
        <w:lastRenderedPageBreak/>
        <w:t>Discussion Paper 18/10. Wellington: The Treasury. https://www.treasury.govt.nz/sites/default/files/2018-09/dp18-10.pdf.</w:t>
      </w:r>
    </w:p>
    <w:p w14:paraId="2746EBFC" w14:textId="77777777" w:rsidR="00CB784E" w:rsidRDefault="00CB784E" w:rsidP="00CB784E">
      <w:pPr>
        <w:pStyle w:val="Bibliography"/>
      </w:pPr>
      <w:r>
        <w:t>Zhu, Andrew. 2021. ‘New Zealand Asian Wellbeing &amp; Mental Health Report 2021 - A Snapshot Survey’. 2021. https://www.asianfamilyservices.nz/media/rsmi2s4a/asian-family-services-new-zealand-asian-wellbeing-mental-health-report-2021-trace-research.pdf.</w:t>
      </w:r>
    </w:p>
    <w:p w14:paraId="3CFFD3C9" w14:textId="06A3F785" w:rsidR="00605F35" w:rsidRPr="00F543C1" w:rsidRDefault="006A5DBB" w:rsidP="00605F35">
      <w:pPr>
        <w:pStyle w:val="USBodyText"/>
      </w:pPr>
      <w:r w:rsidRPr="00F543C1">
        <w:fldChar w:fldCharType="end"/>
      </w:r>
    </w:p>
    <w:p w14:paraId="02D46F98" w14:textId="2AC9C754" w:rsidR="00760FDE" w:rsidRPr="00F543C1" w:rsidRDefault="00760FDE">
      <w:pPr>
        <w:spacing w:after="160" w:line="259" w:lineRule="auto"/>
      </w:pPr>
      <w:r w:rsidRPr="00F543C1">
        <w:br w:type="page"/>
      </w:r>
    </w:p>
    <w:p w14:paraId="60C9CB62" w14:textId="77777777" w:rsidR="00A86AD1" w:rsidRPr="00F543C1" w:rsidRDefault="00A86AD1" w:rsidP="00A86AD1">
      <w:pPr>
        <w:pStyle w:val="ApxHeading1"/>
      </w:pPr>
      <w:bookmarkStart w:id="626" w:name="_Ref124937632"/>
      <w:bookmarkStart w:id="627" w:name="_Toc126841231"/>
      <w:bookmarkStart w:id="628" w:name="_Ref117692646"/>
      <w:bookmarkStart w:id="629" w:name="_Toc122443649"/>
      <w:bookmarkStart w:id="630" w:name="_Toc120275685"/>
      <w:r w:rsidRPr="00F543C1">
        <w:lastRenderedPageBreak/>
        <w:t>The capabilities of indigenous people</w:t>
      </w:r>
      <w:bookmarkEnd w:id="626"/>
      <w:bookmarkEnd w:id="627"/>
    </w:p>
    <w:bookmarkEnd w:id="628"/>
    <w:bookmarkEnd w:id="629"/>
    <w:bookmarkEnd w:id="630"/>
    <w:p w14:paraId="3D9517CB" w14:textId="0BC12B4A" w:rsidR="00605F35" w:rsidRPr="00F543C1" w:rsidRDefault="00605F35" w:rsidP="00605F35">
      <w:pPr>
        <w:ind w:left="851"/>
      </w:pPr>
      <w:r w:rsidRPr="00F543C1">
        <w:t>The capability approach is largely the result of work by academics from Europe and the United States.</w:t>
      </w:r>
      <w:r w:rsidRPr="009006D7">
        <w:rPr>
          <w:rStyle w:val="FootnoteReference"/>
        </w:rPr>
        <w:footnoteReference w:id="218"/>
      </w:r>
      <w:r w:rsidRPr="00F543C1">
        <w:t xml:space="preserve"> It is also the analytical core of the human development paradigm applied by the United Nations Development Program </w:t>
      </w:r>
      <w:r w:rsidRPr="00F543C1">
        <w:fldChar w:fldCharType="begin"/>
      </w:r>
      <w:r w:rsidR="009B0EC4">
        <w:instrText xml:space="preserve"> ADDIN ZOTERO_ITEM CSL_CITATION {"citationID":"HAhY3AVj","properties":{"formattedCitation":"(Stewart 2013)","plainCitation":"(Stewart 2013)","noteIndex":0},"citationItems":[{"id":15370,"uris":["http://zotero.org/groups/4623831/items/INXZEV2A"],"itemData":{"id":15370,"type":"report","abstract":"Individuals cannot flourish alone: Indeed, they cannot function alone. When they are born, the family provides their life support. In turn, families cannot function independently of the societies in which they are located. Being a member of a family, of a locality and of the larger society is an essential component of a flourishing existence.","genre":"UNDP Human Development Report Office Occasional paper","language":"en","note":"container-title: Human Development Reports","number":"2013/30","publisher":"United Nations","source":"hdr.undp.org","title":"Capabilities and Human Development","URL":"https://hdr.undp.org/content/capabilities-and-human-development","author":[{"family":"Stewart","given":"Frances"}],"accessed":{"date-parts":[["2022",7,4]]},"issued":{"date-parts":[["2013",1,1]]}}}],"schema":"https://github.com/citation-style-language/schema/raw/master/csl-citation.json"} </w:instrText>
      </w:r>
      <w:r w:rsidRPr="00F543C1">
        <w:fldChar w:fldCharType="separate"/>
      </w:r>
      <w:r w:rsidRPr="00F543C1">
        <w:rPr>
          <w:rFonts w:cs="Calibri"/>
        </w:rPr>
        <w:t>(Stewart 2013)</w:t>
      </w:r>
      <w:r w:rsidRPr="00F543C1">
        <w:fldChar w:fldCharType="end"/>
      </w:r>
      <w:r w:rsidRPr="00F543C1">
        <w:t xml:space="preserve">. It is very much within the western philosophical tradition, with particular links to Aristotle, Adam Smith, and Karl Marx </w:t>
      </w:r>
      <w:r w:rsidRPr="00F543C1">
        <w:fldChar w:fldCharType="begin"/>
      </w:r>
      <w:r w:rsidR="009B0EC4">
        <w:instrText xml:space="preserve"> ADDIN ZOTERO_ITEM CSL_CITATION {"citationID":"r3AJP5Uz","properties":{"formattedCitation":"(Robeyns and Byskov 2021)","plainCitation":"(Robeyns and Byskov 2021)","noteIndex":0},"citationItems":[{"id":14604,"uris":["http://zotero.org/groups/4623831/items/BZ8GADVP"],"itemData":{"id":14604,"type":"entry-encyclopedia","container-title":"The Stanford Encyclopedia of Philosophy","edition":"Winter 2021","title":"The Capability Approach","URL":"https://plato.stanford.edu/archives/win2021/entries/capability-approach/","author":[{"family":"Robeyns","given":"Ingrid"},{"family":"Byskov","given":"Morten Fibieger"}],"issued":{"date-parts":[["2021"]]}}}],"schema":"https://github.com/citation-style-language/schema/raw/master/csl-citation.json"} </w:instrText>
      </w:r>
      <w:r w:rsidRPr="00F543C1">
        <w:fldChar w:fldCharType="separate"/>
      </w:r>
      <w:r w:rsidRPr="00F543C1">
        <w:rPr>
          <w:rFonts w:cs="Calibri"/>
        </w:rPr>
        <w:t>(Robeyns and Byskov 2021)</w:t>
      </w:r>
      <w:r w:rsidRPr="00F543C1">
        <w:fldChar w:fldCharType="end"/>
      </w:r>
      <w:r w:rsidRPr="00F543C1">
        <w:t xml:space="preserve">. It was not specifically designed with indigenous worldviews in mind. </w:t>
      </w:r>
    </w:p>
    <w:p w14:paraId="38B94BA7" w14:textId="036437EC" w:rsidR="00DE1296" w:rsidRPr="00F543C1" w:rsidRDefault="00DE1296" w:rsidP="000509FB">
      <w:pPr>
        <w:pStyle w:val="ApxHeading2"/>
      </w:pPr>
      <w:r w:rsidRPr="00F543C1">
        <w:t>Capabilities in diverse societies</w:t>
      </w:r>
    </w:p>
    <w:p w14:paraId="1BBE9C8B" w14:textId="77777777" w:rsidR="00605F35" w:rsidRPr="00F543C1" w:rsidRDefault="00605F35" w:rsidP="00605F35">
      <w:pPr>
        <w:ind w:left="851"/>
      </w:pPr>
      <w:r w:rsidRPr="00F543C1">
        <w:t xml:space="preserve">In a recent review of the Treasury’s Living Standards Framework (LFS), which draws on the capability approach, Tim Hughes suggests that: </w:t>
      </w:r>
    </w:p>
    <w:p w14:paraId="7A883325" w14:textId="6B642E5E" w:rsidR="00605F35" w:rsidRPr="00F543C1" w:rsidRDefault="00605F35" w:rsidP="00605F35">
      <w:pPr>
        <w:spacing w:before="120"/>
        <w:ind w:left="1276" w:right="425"/>
        <w:rPr>
          <w:i/>
          <w:color w:val="30353F"/>
        </w:rPr>
      </w:pPr>
      <w:r w:rsidRPr="00F543C1">
        <w:rPr>
          <w:i/>
          <w:color w:val="30353F"/>
        </w:rPr>
        <w:t>Treasury should adopt a pluralistic approach to wellbeing, allowing for multiple interpretations of what wellbeing is depending on the context in which the framework is being used. I advance that the Treasury should allow for both collective and individual conceptions of wellbeing, as well as multiple approaches to each.</w:t>
      </w:r>
      <w:r w:rsidR="00302BD7">
        <w:rPr>
          <w:i/>
          <w:color w:val="30353F"/>
        </w:rPr>
        <w:t xml:space="preserve"> </w:t>
      </w:r>
      <w:r w:rsidRPr="00C2352A">
        <w:rPr>
          <w:iCs/>
          <w:color w:val="30353F"/>
        </w:rPr>
        <w:fldChar w:fldCharType="begin"/>
      </w:r>
      <w:r w:rsidR="009B0EC4">
        <w:rPr>
          <w:iCs/>
          <w:color w:val="30353F"/>
        </w:rPr>
        <w:instrText xml:space="preserve"> ADDIN ZOTERO_ITEM CSL_CITATION {"citationID":"a2bfgk6guv7","properties":{"formattedCitation":"(Hughes 2021, 33)","plainCitation":"(Hughes 2021, 33)","noteIndex":0},"citationItems":[{"id":16817,"uris":["http://zotero.org/groups/4801058/items/835G3TTW"],"itemData":{"id":16817,"type":"report","event-place":"Wellington","genre":"New Zealand Treasury Discussion Paper","number":"21/01","publisher":"The Treasury","publisher-place":"Wellington","title":"Towards a Living Standards Framework for all Aotearoa: Culture, children and wellbeing","URL":"https://treasury.govt.nz/publications/dp/dp-21-01","author":[{"family":"Hughes","given":"Tim"}],"issued":{"date-parts":[["2021"]]}},"locator":"33","label":"page"}],"schema":"https://github.com/citation-style-language/schema/raw/master/csl-citation.json"} </w:instrText>
      </w:r>
      <w:r w:rsidRPr="00C2352A">
        <w:rPr>
          <w:iCs/>
          <w:color w:val="30353F"/>
        </w:rPr>
        <w:fldChar w:fldCharType="separate"/>
      </w:r>
      <w:r w:rsidRPr="00C2352A">
        <w:rPr>
          <w:rFonts w:cs="Calibri"/>
          <w:iCs/>
          <w:color w:val="30353F"/>
          <w:szCs w:val="24"/>
        </w:rPr>
        <w:t>(Hughes 2021, 33)</w:t>
      </w:r>
      <w:r w:rsidRPr="00C2352A">
        <w:rPr>
          <w:iCs/>
          <w:color w:val="30353F"/>
        </w:rPr>
        <w:fldChar w:fldCharType="end"/>
      </w:r>
    </w:p>
    <w:p w14:paraId="561F0A8D" w14:textId="3A74726A" w:rsidR="00605F35" w:rsidRPr="00F543C1" w:rsidRDefault="00605F35" w:rsidP="00605F35">
      <w:pPr>
        <w:ind w:left="851"/>
      </w:pPr>
      <w:r w:rsidRPr="00F543C1">
        <w:t>Part of Hughes’ motivation for this proposal was a concern that the LFS is based on western philosophical traditions</w:t>
      </w:r>
      <w:r w:rsidR="00302BD7">
        <w:t>,</w:t>
      </w:r>
      <w:r w:rsidRPr="00F543C1">
        <w:t xml:space="preserve"> which are not appropriate when considering the wellbeing of a hyper-diverse society like Aotearoa New Zealand. He specifically notes that the capability approach focuses on individuals, compared with indigenous world views that often put more weight on groups or collectives:</w:t>
      </w:r>
    </w:p>
    <w:p w14:paraId="7FE4A3A7" w14:textId="7BBF41E2" w:rsidR="00605F35" w:rsidRPr="00F543C1" w:rsidRDefault="00605F35" w:rsidP="00605F35">
      <w:pPr>
        <w:spacing w:before="120"/>
        <w:ind w:left="1276" w:right="425"/>
        <w:rPr>
          <w:iCs/>
          <w:color w:val="30353F"/>
        </w:rPr>
      </w:pPr>
      <w:r w:rsidRPr="00F543C1">
        <w:rPr>
          <w:i/>
          <w:color w:val="30353F"/>
        </w:rPr>
        <w:t>In the previous version of the LSF, wellbeing was implicitly conceived as being about individual people. This new version introduces the concept of collective wellbeing to reflect the importance of families, whānau and community to the wellbeing of Māori, Pacific Peoples, and many other New Zealanders</w:t>
      </w:r>
      <w:r w:rsidRPr="00F543C1">
        <w:rPr>
          <w:iCs/>
          <w:color w:val="30353F"/>
        </w:rPr>
        <w:t>. (</w:t>
      </w:r>
      <w:r w:rsidR="00070CBD">
        <w:rPr>
          <w:iCs/>
          <w:color w:val="30353F"/>
        </w:rPr>
        <w:t>ibid</w:t>
      </w:r>
      <w:r w:rsidRPr="00F543C1">
        <w:rPr>
          <w:iCs/>
          <w:color w:val="30353F"/>
        </w:rPr>
        <w:t>.</w:t>
      </w:r>
      <w:r w:rsidR="00712F93">
        <w:rPr>
          <w:iCs/>
          <w:color w:val="30353F"/>
        </w:rPr>
        <w:t>,</w:t>
      </w:r>
      <w:r w:rsidRPr="00F543C1">
        <w:rPr>
          <w:iCs/>
          <w:color w:val="30353F"/>
        </w:rPr>
        <w:t xml:space="preserve"> 2) </w:t>
      </w:r>
      <w:r w:rsidRPr="00F543C1">
        <w:rPr>
          <w:iCs/>
          <w:color w:val="30353F"/>
        </w:rPr>
        <w:fldChar w:fldCharType="begin"/>
      </w:r>
      <w:r w:rsidR="009B0EC4">
        <w:rPr>
          <w:iCs/>
          <w:color w:val="30353F"/>
        </w:rPr>
        <w:instrText xml:space="preserve"> ADDIN ZOTERO_ITEM CSL_CITATION {"citationID":"a1n61fpc2vv","properties":{"formattedCitation":"(Hughes 2021, 2)","plainCitation":"(Hughes 2021, 2)","dontUpdate":true,"noteIndex":0},"citationItems":[{"id":16817,"uris":["http://zotero.org/groups/4801058/items/835G3TTW"],"itemData":{"id":16817,"type":"report","event-place":"Wellington","genre":"New Zealand Treasury Discussion Paper","number":"21/01","publisher":"The Treasury","publisher-place":"Wellington","title":"Towards a Living Standards Framework for all Aotearoa: Culture, children and wellbeing","URL":"https://treasury.govt.nz/publications/dp/dp-21-01","author":[{"family":"Hughes","given":"Tim"}],"issued":{"date-parts":[["2021"]]}},"locator":"2","label":"page"}],"schema":"https://github.com/citation-style-language/schema/raw/master/csl-citation.json"} </w:instrText>
      </w:r>
      <w:r w:rsidRPr="00F543C1">
        <w:rPr>
          <w:iCs/>
          <w:color w:val="30353F"/>
        </w:rPr>
        <w:fldChar w:fldCharType="end"/>
      </w:r>
    </w:p>
    <w:p w14:paraId="3EC5916A" w14:textId="2EA37835" w:rsidR="00E63964" w:rsidRPr="00F543C1" w:rsidRDefault="00453CBC" w:rsidP="00605F35">
      <w:pPr>
        <w:ind w:left="851"/>
      </w:pPr>
      <w:r w:rsidRPr="00F543C1">
        <w:t xml:space="preserve">While we agree with these comments regarding the </w:t>
      </w:r>
      <w:r w:rsidR="00605F35" w:rsidRPr="00F543C1">
        <w:t>LSF</w:t>
      </w:r>
      <w:r w:rsidRPr="00F543C1">
        <w:t xml:space="preserve">, we do not think they apply to how we are using the </w:t>
      </w:r>
      <w:r w:rsidR="00605F35" w:rsidRPr="00F543C1">
        <w:t xml:space="preserve">capability approach. </w:t>
      </w:r>
    </w:p>
    <w:p w14:paraId="0167351C" w14:textId="2E8A46C7" w:rsidR="00605F35" w:rsidRPr="00F543C1" w:rsidRDefault="00605F35" w:rsidP="00605F35">
      <w:pPr>
        <w:ind w:left="851"/>
      </w:pPr>
      <w:r w:rsidRPr="00F543C1">
        <w:t>The capability approach is an assessment tool designed to test proposals and programmes against a concise definition of what wellbeing consists of (‘the freedom to live a life a person values and has reason to value’). A proposal is ‘better’ if it expands a person’s f</w:t>
      </w:r>
      <w:r w:rsidR="00E63964" w:rsidRPr="00F543C1">
        <w:t xml:space="preserve">reedoms. </w:t>
      </w:r>
      <w:bookmarkStart w:id="631" w:name="_Hlk119933159"/>
      <w:r w:rsidRPr="00F543C1">
        <w:t>It is not a statement of the things that make up a good life, at least in Sen’s work.</w:t>
      </w:r>
      <w:r w:rsidRPr="009006D7">
        <w:rPr>
          <w:rStyle w:val="FootnoteReference"/>
        </w:rPr>
        <w:footnoteReference w:id="219"/>
      </w:r>
      <w:r w:rsidRPr="00F543C1">
        <w:t xml:space="preserve"> </w:t>
      </w:r>
      <w:bookmarkEnd w:id="631"/>
      <w:r w:rsidRPr="00F543C1">
        <w:t>The LSF is a statement of Treasury’s views of the components of a good life (the domains of wellbeing), the sources of wellbeing (</w:t>
      </w:r>
      <w:r w:rsidR="0017582C">
        <w:t xml:space="preserve">originally </w:t>
      </w:r>
      <w:r w:rsidRPr="00F543C1">
        <w:t>four capitals</w:t>
      </w:r>
      <w:r w:rsidR="00820D12">
        <w:t xml:space="preserve">, now </w:t>
      </w:r>
      <w:r w:rsidR="00B2476C">
        <w:t>captured</w:t>
      </w:r>
      <w:r w:rsidR="000A66F9">
        <w:t xml:space="preserve"> under the heading ‘Wealth of New Zealand</w:t>
      </w:r>
      <w:r w:rsidR="00B2476C">
        <w:t>’</w:t>
      </w:r>
      <w:r w:rsidR="000A66F9">
        <w:t>)</w:t>
      </w:r>
      <w:r w:rsidRPr="00F543C1">
        <w:t xml:space="preserve">), </w:t>
      </w:r>
      <w:r w:rsidR="00300AB5">
        <w:t xml:space="preserve">and </w:t>
      </w:r>
      <w:r w:rsidRPr="00F543C1">
        <w:t>what is required to sustain the ability of those capitals to produce wellbeing through time and between generations. In its current manifestations, the LSF has three levels:</w:t>
      </w:r>
    </w:p>
    <w:p w14:paraId="6F6D14F6" w14:textId="77777777" w:rsidR="00605F35" w:rsidRPr="00F543C1" w:rsidRDefault="00605F35" w:rsidP="00605F35">
      <w:pPr>
        <w:numPr>
          <w:ilvl w:val="0"/>
          <w:numId w:val="1"/>
        </w:numPr>
      </w:pPr>
      <w:r w:rsidRPr="00F543C1">
        <w:t xml:space="preserve">The domains of wellbeing: “those resources and aspects of our lives that have been identified by research or public engagement as being important for our wellbeing as individuals, families, whānau and </w:t>
      </w:r>
      <w:proofErr w:type="gramStart"/>
      <w:r w:rsidRPr="00F543C1">
        <w:t>communities”</w:t>
      </w:r>
      <w:proofErr w:type="gramEnd"/>
    </w:p>
    <w:p w14:paraId="46CA1E80" w14:textId="77777777" w:rsidR="00605F35" w:rsidRPr="00F543C1" w:rsidRDefault="00605F35" w:rsidP="00605F35">
      <w:pPr>
        <w:numPr>
          <w:ilvl w:val="0"/>
          <w:numId w:val="1"/>
        </w:numPr>
      </w:pPr>
      <w:r w:rsidRPr="00F543C1">
        <w:lastRenderedPageBreak/>
        <w:t xml:space="preserve">Institutions and governance: “the role that our political, economic, social and cultural institutions play in facilitating the wellbeing of individuals and collectives, as well as safeguarding and building our national </w:t>
      </w:r>
      <w:proofErr w:type="gramStart"/>
      <w:r w:rsidRPr="00F543C1">
        <w:t>wealth”</w:t>
      </w:r>
      <w:proofErr w:type="gramEnd"/>
    </w:p>
    <w:p w14:paraId="5300E08D" w14:textId="32867330" w:rsidR="00605F35" w:rsidRPr="00F543C1" w:rsidRDefault="00605F35" w:rsidP="00605F35">
      <w:pPr>
        <w:numPr>
          <w:ilvl w:val="0"/>
          <w:numId w:val="1"/>
        </w:numPr>
      </w:pPr>
      <w:r w:rsidRPr="00F543C1">
        <w:t>the Wealth of Aotearoa New Zealand: “</w:t>
      </w:r>
      <w:r w:rsidRPr="00C2352A">
        <w:rPr>
          <w:rStyle w:val="QuotationwithinSentence"/>
        </w:rPr>
        <w:t>how wealthy we are as a country, including aspects of wealth not fully captured in the system of national accounts, such as human capability and the natural environment</w:t>
      </w:r>
      <w:r w:rsidRPr="00F543C1">
        <w:t xml:space="preserve">” </w:t>
      </w:r>
      <w:r w:rsidRPr="00F543C1">
        <w:fldChar w:fldCharType="begin"/>
      </w:r>
      <w:r w:rsidR="009B0EC4">
        <w:instrText xml:space="preserve"> ADDIN ZOTERO_ITEM CSL_CITATION {"citationID":"014Iynce","properties":{"formattedCitation":"(Hughes 2021, 2)","plainCitation":"(Hughes 2021, 2)","noteIndex":0},"citationItems":[{"id":16817,"uris":["http://zotero.org/groups/4801058/items/835G3TTW"],"itemData":{"id":16817,"type":"report","event-place":"Wellington","genre":"New Zealand Treasury Discussion Paper","number":"21/01","publisher":"The Treasury","publisher-place":"Wellington","title":"Towards a Living Standards Framework for all Aotearoa: Culture, children and wellbeing","URL":"https://treasury.govt.nz/publications/dp/dp-21-01","author":[{"family":"Hughes","given":"Tim"}],"issued":{"date-parts":[["2021"]]}},"locator":"2","label":"page"}],"schema":"https://github.com/citation-style-language/schema/raw/master/csl-citation.json"} </w:instrText>
      </w:r>
      <w:r w:rsidRPr="00F543C1">
        <w:fldChar w:fldCharType="separate"/>
      </w:r>
      <w:r w:rsidRPr="00F543C1">
        <w:rPr>
          <w:rFonts w:cs="Calibri"/>
        </w:rPr>
        <w:t>(Hughes 2021, 2)</w:t>
      </w:r>
      <w:r w:rsidRPr="00F543C1">
        <w:fldChar w:fldCharType="end"/>
      </w:r>
      <w:r w:rsidRPr="00F543C1">
        <w:t>.</w:t>
      </w:r>
    </w:p>
    <w:p w14:paraId="63B36912" w14:textId="38853EB6" w:rsidR="00605F35" w:rsidRPr="00F543C1" w:rsidRDefault="00605F35" w:rsidP="00605F35">
      <w:pPr>
        <w:ind w:left="851"/>
      </w:pPr>
      <w:r w:rsidRPr="00F543C1">
        <w:t xml:space="preserve">While Hughes’ views find some support in the literature, others see the capability approach as providing useful insights </w:t>
      </w:r>
      <w:r w:rsidRPr="00F543C1">
        <w:fldChar w:fldCharType="begin"/>
      </w:r>
      <w:r w:rsidR="009B0EC4">
        <w:instrText xml:space="preserve"> ADDIN ZOTERO_ITEM CSL_CITATION {"citationID":"qhrmQxbe","properties":{"formattedCitation":"(Bockstael and Watene 2016, 269)","plainCitation":"(Bockstael and Watene 2016, 269)","noteIndex":0},"citationItems":[{"id":14127,"uris":["http://zotero.org/groups/4623831/items/H4FBDQAX"],"itemData":{"id":14127,"type":"article-journal","abstract":"Ideas about how development is conceived, designed and implemented play an important role in determining whether and how indigenous peoples are able to pursue and realize self-determination. According to the human development and capability approach, people are the ends and means of development, understood as the expansion of capabilities people have reason to value. While conversations between the capability approach and indigenous communities are growing, the literature remains disparate and (largely) unpublished. The papers included in the first section of this special issue explore indigenous values as they apply to nature, the concept of indigenous autonomy in international law, as well as the realities of indigenous communities in Latin America, New Zealand and Australia. The second group of papers explores the usefulness of the human development and capability approach for indigenous peoples. The conclusions in this special issue range from the contention that the capability approach has severe limitations, to the contention that the approach provides helpful tools and insights.","container-title":"Oxford Development Studies","DOI":"10.1080/13600818.2016.1204435","ISSN":"1360-0818","issue":"3","note":"publisher: Routledge\n_eprint: https://doi.org/10.1080/13600818.2016.1204435","page":"265-270","source":"Taylor and Francis+NEJM","title":"Indigenous peoples and the capability approach: taking stock","title-short":"Indigenous peoples and the capability approach","volume":"44","author":[{"family":"Bockstael","given":"Erika"},{"family":"Watene","given":"Krushil"}],"issued":{"date-parts":[["2016",7,2]]}},"locator":"269"}],"schema":"https://github.com/citation-style-language/schema/raw/master/csl-citation.json"} </w:instrText>
      </w:r>
      <w:r w:rsidRPr="00F543C1">
        <w:fldChar w:fldCharType="separate"/>
      </w:r>
      <w:r w:rsidRPr="00F543C1">
        <w:rPr>
          <w:rFonts w:cs="Calibri"/>
        </w:rPr>
        <w:t>(Bockstael and Watene 2016, 269)</w:t>
      </w:r>
      <w:r w:rsidRPr="00F543C1">
        <w:fldChar w:fldCharType="end"/>
      </w:r>
      <w:r w:rsidRPr="00F543C1">
        <w:t>. We discuss some of the prominent contributions to the literature below.</w:t>
      </w:r>
      <w:r w:rsidR="007467F1" w:rsidRPr="00F543C1">
        <w:t xml:space="preserve"> W</w:t>
      </w:r>
      <w:r w:rsidR="005369C7" w:rsidRPr="00F543C1">
        <w:t>e</w:t>
      </w:r>
      <w:r w:rsidR="007467F1" w:rsidRPr="00F543C1">
        <w:t xml:space="preserve"> have selected examples </w:t>
      </w:r>
      <w:r w:rsidR="005369C7" w:rsidRPr="00F543C1">
        <w:t xml:space="preserve">of scholars </w:t>
      </w:r>
      <w:r w:rsidR="007467F1" w:rsidRPr="00F543C1">
        <w:t xml:space="preserve">studying the wellbeing of indigenous people living in </w:t>
      </w:r>
      <w:r w:rsidR="005369C7" w:rsidRPr="00F543C1">
        <w:t xml:space="preserve">the </w:t>
      </w:r>
      <w:r w:rsidR="007467F1" w:rsidRPr="00F543C1">
        <w:t xml:space="preserve">colonial settler states </w:t>
      </w:r>
      <w:r w:rsidR="005369C7" w:rsidRPr="00F543C1">
        <w:t>of</w:t>
      </w:r>
      <w:r w:rsidR="007467F1" w:rsidRPr="00F543C1">
        <w:t xml:space="preserve"> Aotearoa </w:t>
      </w:r>
      <w:r w:rsidR="007467F1" w:rsidRPr="00F543C1">
        <w:fldChar w:fldCharType="begin"/>
      </w:r>
      <w:r w:rsidR="009B0EC4">
        <w:instrText xml:space="preserve"> ADDIN ZOTERO_ITEM CSL_CITATION {"citationID":"iU1ESelo","properties":{"formattedCitation":"(Watene 2016)","plainCitation":"(Watene 2016)","noteIndex":0},"citationItems":[{"id":14125,"uris":["http://zotero.org/groups/4623831/items/F99BMTZ6"],"itemData":{"id":14125,"type":"article-journal","abstract":"Can the capability approach to well-being and development capture the way nature is valued within “Mātauranga Māori” (the philosophies of the indigenous peoples of Aotearoa/New Zealand)? This paper argues that current articulations of the capability approach, despite encouraging and requiring cross-cultural dialogue, are unable to include Māori values as they apply to nature. Māori values express a relationship with nature grounded in the physical and spiritual dimensions of “whakapapa” (genealogy). Such an approach differs markedly from that which values nature in light of human agency (as Amartya Sen’s theory does) or dignity (as Martha Nussbaum’s theory does). For the purposes of this paper, this difference highlights the need to create space for cross-cultural conversations which open up real opportunities for new ways forward. The capability approach helps to create the space needed for these conversations, but is unable to cover the ground required for their full expression. There is not enough breadth to guarantee a Māori voice within current articulations of the capability approach. There is a need for proponents of the capability approach to think beyond its limits in order to fully engage with those values yet to be fully considered within the capability framework.","container-title":"Oxford Development Studies","DOI":"10.1080/13600818.2015.1124077","ISSN":"1360-0818","issue":"3","note":"publisher: Routledge\n_eprint: https://doi.org/10.1080/13600818.2015.1124077","page":"287-296","source":"Taylor and Francis+NEJM","title":"Valuing nature: Māori philosophy and the capability approach","title-short":"Valuing nature","volume":"44","author":[{"family":"Watene","given":"Krushil"}],"issued":{"date-parts":[["2016",7,2]]}}}],"schema":"https://github.com/citation-style-language/schema/raw/master/csl-citation.json"} </w:instrText>
      </w:r>
      <w:r w:rsidR="007467F1" w:rsidRPr="00F543C1">
        <w:fldChar w:fldCharType="separate"/>
      </w:r>
      <w:r w:rsidR="007467F1" w:rsidRPr="00F543C1">
        <w:rPr>
          <w:rFonts w:cs="Calibri"/>
        </w:rPr>
        <w:t>(Watene 2016)</w:t>
      </w:r>
      <w:r w:rsidR="007467F1" w:rsidRPr="00F543C1">
        <w:fldChar w:fldCharType="end"/>
      </w:r>
      <w:r w:rsidR="007467F1" w:rsidRPr="00F543C1">
        <w:t xml:space="preserve">, Canada </w:t>
      </w:r>
      <w:r w:rsidR="007467F1" w:rsidRPr="00F543C1">
        <w:fldChar w:fldCharType="begin"/>
      </w:r>
      <w:r w:rsidR="009B0EC4">
        <w:instrText xml:space="preserve"> ADDIN ZOTERO_ITEM CSL_CITATION {"citationID":"JIVN8h8M","properties":{"formattedCitation":"(Murphy 2014)","plainCitation":"(Murphy 2014)","noteIndex":0},"citationItems":[{"id":14104,"uris":["http://zotero.org/groups/4623831/items/B3EP5P22"],"itemData":{"id":14104,"type":"article-journal","abstract":"The article explores the idea of self-determination as a collective capability that enhances the freedom and well-being of indigenous peoples in colonial settler states. Collective capabilities have not attracted much attention in the literature to date, but the article sets out to demonstrate that the collective capability for self-determination is precisely the sort of freedom Amartya Sen describes as both the primary objective and the principle means of development. Two ideas lie at the core of the argument: the necessary interdependence that exists between the individual and the collective capability for political self-determination; and the intrinsic, instrumental and constructive value of collective political empowerment in the developmental process. To bolster the theoretical argument, the article examines some of the available evidence linking self-determination with concrete improvements in the social and economic welfare and well-being of indigenous peoples in different regions of the globe.","container-title":"Journal of Human Development and Capabilities","DOI":"10.1080/19452829.2013.878320","ISSN":"1945-2829","issue":"4","note":"publisher: Routledge\n_eprint: https://doi.org/10.1080/19452829.2013.878320","page":"320-334","source":"Taylor and Francis+NEJM","title":"Self-determination as a Collective Capability: The Case of Indigenous Peoples","title-short":"Self-determination as a Collective Capability","volume":"15","author":[{"family":"Murphy","given":"Michael"}],"issued":{"date-parts":[["2014",10,2]]}}}],"schema":"https://github.com/citation-style-language/schema/raw/master/csl-citation.json"} </w:instrText>
      </w:r>
      <w:r w:rsidR="007467F1" w:rsidRPr="00F543C1">
        <w:fldChar w:fldCharType="separate"/>
      </w:r>
      <w:r w:rsidR="007467F1" w:rsidRPr="00F543C1">
        <w:rPr>
          <w:rFonts w:cs="Calibri"/>
        </w:rPr>
        <w:t>(Murphy 2014)</w:t>
      </w:r>
      <w:r w:rsidR="007467F1" w:rsidRPr="00F543C1">
        <w:fldChar w:fldCharType="end"/>
      </w:r>
      <w:r w:rsidR="007467F1" w:rsidRPr="00F543C1">
        <w:t xml:space="preserve"> and Australia </w:t>
      </w:r>
      <w:r w:rsidR="007467F1" w:rsidRPr="00F543C1">
        <w:fldChar w:fldCharType="begin"/>
      </w:r>
      <w:r w:rsidR="009B0EC4">
        <w:instrText xml:space="preserve"> ADDIN ZOTERO_ITEM CSL_CITATION {"citationID":"YDRLNjy2","properties":{"formattedCitation":"(Klein 2015; 2016)","plainCitation":"(Klein 2015; 2016)","noteIndex":0},"citationItems":[{"id":14120,"uris":["http://zotero.org/groups/4623831/items/MX49ESJX"],"itemData":{"id":14120,"type":"report","event-place":"Canberra","genre":"CAEPR Working Paper","language":"English","note":"OCLC: 956704782","number":"No 102/2015","publisher":"Centre for Aboriginal Economic Policy Research","publisher-place":"Canberra","source":"Open WorldCat","title":"A critical review of the capability approach in Australian Indigenous policy","URL":"http://pandora.nla.gov.au/pan/10572/20160616-1354/caepr.anu.edu.au/publications/WP/2015WP102.html","author":[{"family":"Klein","given":"Elise"}],"accessed":{"date-parts":[["2022",4,14]]},"issued":{"date-parts":[["2015"]]}},"label":"page"},{"id":14491,"uris":["http://zotero.org/groups/4623831/items/R828VFPD"],"itemData":{"id":14491,"type":"article-journal","abstract":"The capability approach has been recently used in Australian Indigenous policy formation. What is curious about this use is how the approach has been used in some instances to justify current paternalistic and instructive policies for Indigenous Australians including behavioural conditions to welfare payments and income management—policy apparatuses aimed to create individual responsibility and to “re-engineer social norms of Indigenous people.” This interpretation of the capability approach is at odds with the writings of capability scholars. To examine this tension, this paper firstly reviews and clarifies the important concepts of freedom, agency and pluralism according to capability approach scholars, in particular Amartya Sen. The contestation between the writings of Sen and commentators of Indigenous policy is then addressed paying particular attention to three areas; deficit discourse, individual responsibility and the ends and means of policy. An examination of how the capability approach can be used to analyse welfare to work and activation strategies within wider Australian Indigenous policy is then undertaken, followed by some broader reflections on the discursive environments in which misinterpretations of the capability approach could continue to take place.","container-title":"Journal of Human Development and Capabilities","DOI":"10.1080/19452829.2016.1145199","ISSN":"1945-2829","issue":"2","note":"publisher: Routledge\n_eprint: https://doi.org/10.1080/19452829.2016.1145199","page":"245-259","source":"Taylor and Francis+NEJM","title":"The Curious Case of Using the Capability Approach in Australian Indigenous Policy","volume":"17","author":[{"family":"Klein","given":"Elise"}],"issued":{"date-parts":[["2016",4,2]]}},"label":"page"}],"schema":"https://github.com/citation-style-language/schema/raw/master/csl-citation.json"} </w:instrText>
      </w:r>
      <w:r w:rsidR="007467F1" w:rsidRPr="00F543C1">
        <w:fldChar w:fldCharType="separate"/>
      </w:r>
      <w:r w:rsidR="007467F1" w:rsidRPr="00F543C1">
        <w:rPr>
          <w:rFonts w:cs="Calibri"/>
        </w:rPr>
        <w:t>(Klein 2015; 2016)</w:t>
      </w:r>
      <w:r w:rsidR="007467F1" w:rsidRPr="00F543C1">
        <w:fldChar w:fldCharType="end"/>
      </w:r>
      <w:r w:rsidR="000006B1" w:rsidRPr="00F543C1">
        <w:t xml:space="preserve"> and</w:t>
      </w:r>
      <w:r w:rsidR="00FC7BA2" w:rsidRPr="00F543C1">
        <w:t xml:space="preserve"> </w:t>
      </w:r>
      <w:r w:rsidR="000006B1" w:rsidRPr="00F543C1">
        <w:fldChar w:fldCharType="begin"/>
      </w:r>
      <w:r w:rsidR="009B0EC4">
        <w:instrText xml:space="preserve"> ADDIN ZOTERO_ITEM CSL_CITATION {"citationID":"7grq3V1u","properties":{"formattedCitation":"(Yap and Yu 2016)","plainCitation":"(Yap and Yu 2016)","noteIndex":0},"citationItems":[{"id":14128,"uris":["http://zotero.org/groups/4623831/items/CWLRYDQK"],"itemData":{"id":14128,"type":"article-journal","abstract":"The tension that exists between the worldviews of Indigenous peoples and government reporting frameworks is what Taylor has termed ‘the recognition or translation space’. The meaningful operation of the ‘recognition space’ hinges on four key points – firstly, why measure wellbeing, secondly, how wellbeing is conceptualised, thirdly, by what process the wellbeing measures are decided, and finally, who makes those decisions. Sen’s capability approach is concerned with development as a process of expanding people’s freedoms to live the life they have reason to value. It is in this spirit of freedom that Sen has not prescribed a fixed list of functioning and capabilities. The open-ended nature of this approach, in letting the identification of important capabilities be dependent on specific contexts and people’s own values, aligns with the United Nations Declaration on the Rights of Indigenous peoples which asserts that Indigenous people must be agents of their own development. This paper contributes to the understanding of what a good life means by augmenting the capability approach to incorporate Indigenous worldviews. Through participatory research methodologies we define and select indicators of wellbeing which are grounded in the lived experiences of the Yawuru people in Broome, Western Australia.","container-title":"Oxford Development Studies","DOI":"10.1080/13600818.2016.1178223","ISSN":"1360-0818","issue":"3","note":"publisher: Routledge\n_eprint: https://doi.org/10.1080/13600818.2016.1178223","page":"315-331","source":"Taylor and Francis+NEJM","title":"Operationalising the capability approach: developing culturally relevant indicators of indigenous wellbeing – an Australian example","title-short":"Operationalising the capability approach","volume":"44","author":[{"family":"Yap","given":"Mandy"},{"family":"Yu","given":"Eunice"}],"issued":{"date-parts":[["2016",7,2]]}},"label":"page"}],"schema":"https://github.com/citation-style-language/schema/raw/master/csl-citation.json"} </w:instrText>
      </w:r>
      <w:r w:rsidR="000006B1" w:rsidRPr="00F543C1">
        <w:fldChar w:fldCharType="separate"/>
      </w:r>
      <w:r w:rsidR="00FC7BA2" w:rsidRPr="00F543C1">
        <w:rPr>
          <w:rFonts w:cs="Calibri"/>
        </w:rPr>
        <w:t>(Yap and Yu 2016)</w:t>
      </w:r>
      <w:r w:rsidR="000006B1" w:rsidRPr="00F543C1">
        <w:fldChar w:fldCharType="end"/>
      </w:r>
      <w:r w:rsidR="000006B1" w:rsidRPr="00F543C1">
        <w:t xml:space="preserve">. </w:t>
      </w:r>
    </w:p>
    <w:p w14:paraId="74D2CE4C" w14:textId="08FCA1C4" w:rsidR="00605F35" w:rsidRPr="00F543C1" w:rsidRDefault="006A4792" w:rsidP="000509FB">
      <w:pPr>
        <w:pStyle w:val="ApxHeading2"/>
      </w:pPr>
      <w:proofErr w:type="spellStart"/>
      <w:r w:rsidRPr="00F543C1">
        <w:t>Krushil</w:t>
      </w:r>
      <w:proofErr w:type="spellEnd"/>
      <w:r w:rsidRPr="00F543C1">
        <w:t xml:space="preserve"> </w:t>
      </w:r>
      <w:proofErr w:type="spellStart"/>
      <w:r w:rsidRPr="00F543C1">
        <w:t>Watene</w:t>
      </w:r>
      <w:proofErr w:type="spellEnd"/>
      <w:r w:rsidRPr="00F543C1">
        <w:t xml:space="preserve">: </w:t>
      </w:r>
      <w:r w:rsidR="00605F35" w:rsidRPr="00F543C1">
        <w:t>A severely limited contribution</w:t>
      </w:r>
    </w:p>
    <w:p w14:paraId="564135FD" w14:textId="394F7164" w:rsidR="00605F35" w:rsidRPr="00F543C1" w:rsidRDefault="00605F35" w:rsidP="00605F35">
      <w:pPr>
        <w:ind w:left="851"/>
      </w:pPr>
      <w:r w:rsidRPr="00F543C1">
        <w:t xml:space="preserve">While agreeing that the capability approach has much to recommend as a theory of justice, prominent Māori philosopher </w:t>
      </w:r>
      <w:proofErr w:type="spellStart"/>
      <w:r w:rsidRPr="00F543C1">
        <w:t>Krushil</w:t>
      </w:r>
      <w:proofErr w:type="spellEnd"/>
      <w:r w:rsidRPr="00F543C1">
        <w:t xml:space="preserve"> </w:t>
      </w:r>
      <w:proofErr w:type="spellStart"/>
      <w:r w:rsidRPr="00F543C1">
        <w:t>Watene</w:t>
      </w:r>
      <w:proofErr w:type="spellEnd"/>
      <w:r w:rsidRPr="00F543C1">
        <w:t xml:space="preserve"> says that it fails </w:t>
      </w:r>
      <w:r w:rsidR="00300AB5">
        <w:t>to create</w:t>
      </w:r>
      <w:r w:rsidRPr="00F543C1">
        <w:t xml:space="preserve"> space to fully include indigenous philosophies </w:t>
      </w:r>
      <w:r w:rsidRPr="00F543C1">
        <w:fldChar w:fldCharType="begin"/>
      </w:r>
      <w:r w:rsidR="009B0EC4">
        <w:instrText xml:space="preserve"> ADDIN ZOTERO_ITEM CSL_CITATION {"citationID":"91qFgHDQ","properties":{"formattedCitation":"(Watene 2016)","plainCitation":"(Watene 2016)","noteIndex":0},"citationItems":[{"id":14125,"uris":["http://zotero.org/groups/4623831/items/F99BMTZ6"],"itemData":{"id":14125,"type":"article-journal","abstract":"Can the capability approach to well-being and development capture the way nature is valued within “Mātauranga Māori” (the philosophies of the indigenous peoples of Aotearoa/New Zealand)? This paper argues that current articulations of the capability approach, despite encouraging and requiring cross-cultural dialogue, are unable to include Māori values as they apply to nature. Māori values express a relationship with nature grounded in the physical and spiritual dimensions of “whakapapa” (genealogy). Such an approach differs markedly from that which values nature in light of human agency (as Amartya Sen’s theory does) or dignity (as Martha Nussbaum’s theory does). For the purposes of this paper, this difference highlights the need to create space for cross-cultural conversations which open up real opportunities for new ways forward. The capability approach helps to create the space needed for these conversations, but is unable to cover the ground required for their full expression. There is not enough breadth to guarantee a Māori voice within current articulations of the capability approach. There is a need for proponents of the capability approach to think beyond its limits in order to fully engage with those values yet to be fully considered within the capability framework.","container-title":"Oxford Development Studies","DOI":"10.1080/13600818.2015.1124077","ISSN":"1360-0818","issue":"3","note":"publisher: Routledge\n_eprint: https://doi.org/10.1080/13600818.2015.1124077","page":"287-296","source":"Taylor and Francis+NEJM","title":"Valuing nature: Māori philosophy and the capability approach","title-short":"Valuing nature","volume":"44","author":[{"family":"Watene","given":"Krushil"}],"issued":{"date-parts":[["2016",7,2]]}}}],"schema":"https://github.com/citation-style-language/schema/raw/master/csl-citation.json"} </w:instrText>
      </w:r>
      <w:r w:rsidRPr="00F543C1">
        <w:fldChar w:fldCharType="separate"/>
      </w:r>
      <w:r w:rsidRPr="00F543C1">
        <w:rPr>
          <w:rFonts w:cs="Calibri"/>
        </w:rPr>
        <w:t>(Watene 2016)</w:t>
      </w:r>
      <w:r w:rsidRPr="00F543C1">
        <w:fldChar w:fldCharType="end"/>
      </w:r>
      <w:r w:rsidRPr="00F543C1">
        <w:t xml:space="preserve">. In her view, the capability approach is deficient because it does not explicitly answer questions about how indigenous philosophies can be articulated </w:t>
      </w:r>
      <w:r w:rsidR="00C3296F" w:rsidRPr="00F543C1">
        <w:t>and, on whose terms,</w:t>
      </w:r>
      <w:r w:rsidRPr="00F543C1">
        <w:t xml:space="preserve"> intercultural conversations should take place, nor does it directly address the barriers that prevent these questions from being answered. </w:t>
      </w:r>
    </w:p>
    <w:p w14:paraId="1EC118D5" w14:textId="67B763CC" w:rsidR="00605F35" w:rsidRPr="00F543C1" w:rsidRDefault="00605F35" w:rsidP="00605F35">
      <w:pPr>
        <w:ind w:left="851"/>
      </w:pPr>
      <w:proofErr w:type="spellStart"/>
      <w:r w:rsidRPr="00F543C1">
        <w:t>Watene</w:t>
      </w:r>
      <w:proofErr w:type="spellEnd"/>
      <w:r w:rsidRPr="00F543C1">
        <w:t xml:space="preserve"> concludes that philosophies developed by Māori should be applied to issues of Māori wellbeing, in ways that have also been developed by Māori themselves, rather than by importing a theory developed by other cultures. She especially notes that distinct Māori worldviews around nature and its relationship to personhood need to be acknowledged. While other world views might see little connection between nature and social policy, for Māori they are inextricably linked:</w:t>
      </w:r>
    </w:p>
    <w:p w14:paraId="70E268C3" w14:textId="11C4110C" w:rsidR="00605F35" w:rsidRPr="00F543C1" w:rsidRDefault="00605F35" w:rsidP="00605F35">
      <w:pPr>
        <w:spacing w:before="120"/>
        <w:ind w:left="1276" w:right="425"/>
        <w:rPr>
          <w:i/>
          <w:color w:val="30353F"/>
        </w:rPr>
      </w:pPr>
      <w:r w:rsidRPr="00F543C1">
        <w:rPr>
          <w:i/>
          <w:color w:val="30353F"/>
        </w:rPr>
        <w:t xml:space="preserve">Māori creation narratives provide an account of the relationships between all </w:t>
      </w:r>
      <w:proofErr w:type="gramStart"/>
      <w:r w:rsidRPr="00F543C1">
        <w:rPr>
          <w:i/>
          <w:color w:val="30353F"/>
        </w:rPr>
        <w:t>things, and</w:t>
      </w:r>
      <w:proofErr w:type="gramEnd"/>
      <w:r w:rsidRPr="00F543C1">
        <w:rPr>
          <w:i/>
          <w:color w:val="30353F"/>
        </w:rPr>
        <w:t xml:space="preserve"> extend back to the origins of the universe. The narratives place all things within a single creation framework – that is a single genealogy. In so doing, the narratives illustrate the central place that “whakapapa” (</w:t>
      </w:r>
      <w:proofErr w:type="gramStart"/>
      <w:r w:rsidRPr="00F543C1">
        <w:rPr>
          <w:i/>
          <w:color w:val="30353F"/>
        </w:rPr>
        <w:t>i.e.</w:t>
      </w:r>
      <w:proofErr w:type="gramEnd"/>
      <w:r w:rsidRPr="00F543C1">
        <w:rPr>
          <w:i/>
          <w:color w:val="30353F"/>
        </w:rPr>
        <w:t xml:space="preserve"> genealogy – literally, “to place in layers”) has within the Māori world. “Whakapapa” provides an account of the connections and relationships between people and all things – making sense of the world through relationships. All human beings, non-human animals, and the natural world have a common origin, history and future. </w:t>
      </w:r>
      <w:r w:rsidRPr="00F543C1">
        <w:rPr>
          <w:color w:val="30353F"/>
        </w:rPr>
        <w:fldChar w:fldCharType="begin"/>
      </w:r>
      <w:r w:rsidR="009B0EC4">
        <w:rPr>
          <w:color w:val="30353F"/>
        </w:rPr>
        <w:instrText xml:space="preserve"> ADDIN ZOTERO_ITEM CSL_CITATION {"citationID":"w7m0zZqR","properties":{"formattedCitation":"(Watene 2016, 292, internal citations omitted)","plainCitation":"(Watene 2016, 292, internal citations omitted)","noteIndex":0},"citationItems":[{"id":14125,"uris":["http://zotero.org/groups/4623831/items/F99BMTZ6"],"itemData":{"id":14125,"type":"article-journal","abstract":"Can the capability approach to well-being and development capture the way nature is valued within “Mātauranga Māori” (the philosophies of the indigenous peoples of Aotearoa/New Zealand)? This paper argues that current articulations of the capability approach, despite encouraging and requiring cross-cultural dialogue, are unable to include Māori values as they apply to nature. Māori values express a relationship with nature grounded in the physical and spiritual dimensions of “whakapapa” (genealogy). Such an approach differs markedly from that which values nature in light of human agency (as Amartya Sen’s theory does) or dignity (as Martha Nussbaum’s theory does). For the purposes of this paper, this difference highlights the need to create space for cross-cultural conversations which open up real opportunities for new ways forward. The capability approach helps to create the space needed for these conversations, but is unable to cover the ground required for their full expression. There is not enough breadth to guarantee a Māori voice within current articulations of the capability approach. There is a need for proponents of the capability approach to think beyond its limits in order to fully engage with those values yet to be fully considered within the capability framework.","container-title":"Oxford Development Studies","DOI":"10.1080/13600818.2015.1124077","ISSN":"1360-0818","issue":"3","note":"publisher: Routledge\n_eprint: https://doi.org/10.1080/13600818.2015.1124077","page":"287-296","source":"Taylor and Francis+NEJM","title":"Valuing nature: Māori philosophy and the capability approach","title-short":"Valuing nature","volume":"44","author":[{"family":"Watene","given":"Krushil"}],"issued":{"date-parts":[["2016",7,2]]}},"locator":"292","suffix":", internal citations omitted"}],"schema":"https://github.com/citation-style-language/schema/raw/master/csl-citation.json"} </w:instrText>
      </w:r>
      <w:r w:rsidRPr="00F543C1">
        <w:rPr>
          <w:color w:val="30353F"/>
        </w:rPr>
        <w:fldChar w:fldCharType="separate"/>
      </w:r>
      <w:r w:rsidRPr="00F543C1">
        <w:rPr>
          <w:rFonts w:cs="Calibri"/>
          <w:color w:val="30353F"/>
        </w:rPr>
        <w:t>(Watene 2016, 292, internal citations omitted)</w:t>
      </w:r>
      <w:r w:rsidRPr="00F543C1">
        <w:rPr>
          <w:color w:val="30353F"/>
        </w:rPr>
        <w:fldChar w:fldCharType="end"/>
      </w:r>
    </w:p>
    <w:p w14:paraId="38D9E253" w14:textId="71D038B9" w:rsidR="00605F35" w:rsidRPr="00820D12" w:rsidRDefault="00605F35" w:rsidP="00605F35">
      <w:pPr>
        <w:ind w:left="851"/>
      </w:pPr>
      <w:proofErr w:type="spellStart"/>
      <w:r w:rsidRPr="00F543C1">
        <w:t>Watene</w:t>
      </w:r>
      <w:proofErr w:type="spellEnd"/>
      <w:r w:rsidRPr="00F543C1">
        <w:t xml:space="preserve"> calls </w:t>
      </w:r>
      <w:r w:rsidRPr="00820D12">
        <w:t>for a “</w:t>
      </w:r>
      <w:r w:rsidRPr="00CB3D3A">
        <w:rPr>
          <w:rStyle w:val="QuotationwithinSentence"/>
          <w:i w:val="0"/>
        </w:rPr>
        <w:t>cross-cultural dialogue which is able to generate practical pathways forward</w:t>
      </w:r>
      <w:r w:rsidRPr="00820D12">
        <w:t>”</w:t>
      </w:r>
      <w:r w:rsidR="00300AB5" w:rsidRPr="00820D12">
        <w:t>,</w:t>
      </w:r>
      <w:r w:rsidRPr="00820D12">
        <w:t xml:space="preserve"> noting that this requires engagement and understanding at philosophical levels (</w:t>
      </w:r>
      <w:r w:rsidR="00070CBD" w:rsidRPr="00820D12">
        <w:t>i</w:t>
      </w:r>
      <w:r w:rsidRPr="00820D12">
        <w:t>bid.</w:t>
      </w:r>
      <w:r w:rsidR="00712F93" w:rsidRPr="00820D12">
        <w:t>,</w:t>
      </w:r>
      <w:r w:rsidRPr="00820D12">
        <w:t xml:space="preserve"> 288).</w:t>
      </w:r>
    </w:p>
    <w:p w14:paraId="19CC49C5" w14:textId="470D0A8F" w:rsidR="00605F35" w:rsidRPr="00F543C1" w:rsidRDefault="006A4792" w:rsidP="000509FB">
      <w:pPr>
        <w:pStyle w:val="ApxHeading2"/>
      </w:pPr>
      <w:r w:rsidRPr="00F543C1">
        <w:t xml:space="preserve">Elise </w:t>
      </w:r>
      <w:r w:rsidR="00F63671" w:rsidRPr="00F543C1">
        <w:t>Klein: A</w:t>
      </w:r>
      <w:r w:rsidR="00605F35" w:rsidRPr="00F543C1">
        <w:t xml:space="preserve"> misapplied idea</w:t>
      </w:r>
    </w:p>
    <w:p w14:paraId="4D36C635" w14:textId="0684AAD9" w:rsidR="00605F35" w:rsidRPr="00F543C1" w:rsidRDefault="00605F35" w:rsidP="00605F35">
      <w:pPr>
        <w:ind w:left="851"/>
      </w:pPr>
      <w:bookmarkStart w:id="632" w:name="_Hlk124938389"/>
      <w:r w:rsidRPr="00F543C1">
        <w:t xml:space="preserve">Elise Klein </w:t>
      </w:r>
      <w:bookmarkEnd w:id="632"/>
      <w:r w:rsidRPr="00F543C1">
        <w:t xml:space="preserve">provides an example of how the ‘capability approach’ label can be misapplied </w:t>
      </w:r>
      <w:r w:rsidRPr="00F543C1">
        <w:fldChar w:fldCharType="begin"/>
      </w:r>
      <w:r w:rsidR="009B0EC4">
        <w:instrText xml:space="preserve"> ADDIN ZOTERO_ITEM CSL_CITATION {"citationID":"a1n3n3h9781","properties":{"formattedCitation":"(Klein 2015)","plainCitation":"(Klein 2015)","noteIndex":0},"citationItems":[{"id":14120,"uris":["http://zotero.org/groups/4623831/items/MX49ESJX"],"itemData":{"id":14120,"type":"report","event-place":"Canberra","genre":"CAEPR Working Paper","language":"English","note":"OCLC: 956704782","number":"No 102/2015","publisher":"Centre for Aboriginal Economic Policy Research","publisher-place":"Canberra","source":"Open WorldCat","title":"A critical review of the capability approach in Australian Indigenous policy","URL":"http://pandora.nla.gov.au/pan/10572/20160616-1354/caepr.anu.edu.au/publications/WP/2015WP102.html","author":[{"family":"Klein","given":"Elise"}],"accessed":{"date-parts":[["2022",4,14]]},"issued":{"date-parts":[["2015"]]}},"label":"page"}],"schema":"https://github.com/citation-style-language/schema/raw/master/csl-citation.json"} </w:instrText>
      </w:r>
      <w:r w:rsidRPr="00F543C1">
        <w:fldChar w:fldCharType="separate"/>
      </w:r>
      <w:r w:rsidRPr="00F543C1">
        <w:rPr>
          <w:rFonts w:cs="Calibri"/>
          <w:szCs w:val="24"/>
        </w:rPr>
        <w:t>(Klein 2015)</w:t>
      </w:r>
      <w:r w:rsidRPr="00F543C1">
        <w:fldChar w:fldCharType="end"/>
      </w:r>
      <w:r w:rsidRPr="00F543C1">
        <w:t>.</w:t>
      </w:r>
    </w:p>
    <w:p w14:paraId="495ECF92" w14:textId="77777777" w:rsidR="00605F35" w:rsidRPr="00F543C1" w:rsidRDefault="00605F35" w:rsidP="00605F35">
      <w:pPr>
        <w:ind w:left="851"/>
      </w:pPr>
      <w:r w:rsidRPr="00F543C1">
        <w:lastRenderedPageBreak/>
        <w:t xml:space="preserve">Noel Pearson, an indigenous leader from North Queensland, proposed a series of reforms that he said were based on Sen’s capability approach – specifically, Sen’s book </w:t>
      </w:r>
      <w:r w:rsidRPr="00F543C1">
        <w:rPr>
          <w:i/>
          <w:iCs/>
        </w:rPr>
        <w:t>Development as Freedom</w:t>
      </w:r>
      <w:r w:rsidRPr="00F543C1">
        <w:t xml:space="preserve">. These policies were implemented by State and federal governments in Australia and directed at Indigenous Australians. </w:t>
      </w:r>
    </w:p>
    <w:p w14:paraId="554DF898" w14:textId="7AAC68D5" w:rsidR="00605F35" w:rsidRPr="00F543C1" w:rsidRDefault="00605F35" w:rsidP="00605F35">
      <w:pPr>
        <w:ind w:left="851"/>
      </w:pPr>
      <w:r w:rsidRPr="00F543C1">
        <w:t xml:space="preserve">While these reforms were promoted under the guise of increasing ‘personal responsibility’, they were not consistent with the ideas of freedom, </w:t>
      </w:r>
      <w:proofErr w:type="gramStart"/>
      <w:r w:rsidRPr="00F543C1">
        <w:t>agency</w:t>
      </w:r>
      <w:proofErr w:type="gramEnd"/>
      <w:r w:rsidRPr="00F543C1">
        <w:t xml:space="preserve"> and pluralism. Rather, they involved a range of paternalistic and directive measures that placed conditions on benefit receipt and mandated </w:t>
      </w:r>
      <w:proofErr w:type="gramStart"/>
      <w:r w:rsidRPr="00F543C1">
        <w:t>particular spending</w:t>
      </w:r>
      <w:proofErr w:type="gramEnd"/>
      <w:r w:rsidRPr="00F543C1">
        <w:t xml:space="preserve"> patterns. Indigenous Australians were required to conform to certain behavioural norms (</w:t>
      </w:r>
      <w:r w:rsidR="00121716" w:rsidRPr="00F543C1">
        <w:t>e.g.,</w:t>
      </w:r>
      <w:r w:rsidR="00E160EC">
        <w:t xml:space="preserve"> </w:t>
      </w:r>
      <w:r w:rsidRPr="00F543C1">
        <w:t>being employed in the market economy) and to exhibit a sense of ‘personal responsibility’ (</w:t>
      </w:r>
      <w:r w:rsidR="00070CBD">
        <w:t>ibid</w:t>
      </w:r>
      <w:r w:rsidRPr="00F543C1">
        <w:t>.</w:t>
      </w:r>
      <w:r w:rsidR="00712F93">
        <w:t>,</w:t>
      </w:r>
      <w:r w:rsidRPr="00F543C1">
        <w:t xml:space="preserve"> 4).</w:t>
      </w:r>
    </w:p>
    <w:p w14:paraId="2B46AFEB" w14:textId="267E3B64" w:rsidR="00605F35" w:rsidRPr="00F543C1" w:rsidRDefault="006A4792" w:rsidP="000509FB">
      <w:pPr>
        <w:pStyle w:val="ApxHeading2"/>
      </w:pPr>
      <w:r w:rsidRPr="00F543C1">
        <w:t>Michael Murphy:</w:t>
      </w:r>
      <w:r w:rsidR="00FC7BA2" w:rsidRPr="00F543C1">
        <w:t xml:space="preserve"> </w:t>
      </w:r>
      <w:r w:rsidR="00605F35" w:rsidRPr="00F543C1">
        <w:t>Valuable insights</w:t>
      </w:r>
    </w:p>
    <w:p w14:paraId="51D795E6" w14:textId="05106FE8" w:rsidR="00605F35" w:rsidRPr="00F543C1" w:rsidRDefault="00605F35" w:rsidP="00605F35">
      <w:pPr>
        <w:ind w:left="851"/>
      </w:pPr>
      <w:r w:rsidRPr="00F543C1">
        <w:t xml:space="preserve">Michael Murphy suggests that freedom for indigenous people must be understood to include </w:t>
      </w:r>
      <w:r w:rsidR="00AB05A7">
        <w:t xml:space="preserve">the </w:t>
      </w:r>
      <w:r w:rsidRPr="00F543C1">
        <w:t xml:space="preserve">collective capability for self-determination. This requires two explicit modifications to the traditional capability approach. </w:t>
      </w:r>
    </w:p>
    <w:p w14:paraId="569E75FD" w14:textId="77777777" w:rsidR="00605F35" w:rsidRPr="00F543C1" w:rsidRDefault="00605F35" w:rsidP="00605F35">
      <w:pPr>
        <w:ind w:left="851"/>
      </w:pPr>
      <w:r w:rsidRPr="00F543C1">
        <w:t>The first modification required is to recognise that for indigenous people, control over their political environment is comprised of both individual</w:t>
      </w:r>
      <w:r w:rsidRPr="00F543C1">
        <w:rPr>
          <w:b/>
          <w:bCs/>
        </w:rPr>
        <w:t xml:space="preserve"> and</w:t>
      </w:r>
      <w:r w:rsidRPr="00F543C1">
        <w:t xml:space="preserve"> collective freedoms: </w:t>
      </w:r>
    </w:p>
    <w:p w14:paraId="18215829" w14:textId="5D3AB82A" w:rsidR="00605F35" w:rsidRPr="00F543C1" w:rsidRDefault="00605F35" w:rsidP="00605F35">
      <w:pPr>
        <w:spacing w:before="120"/>
        <w:ind w:left="1276" w:right="425"/>
        <w:rPr>
          <w:i/>
          <w:color w:val="30353F"/>
        </w:rPr>
      </w:pPr>
      <w:r w:rsidRPr="00F543C1">
        <w:rPr>
          <w:i/>
          <w:color w:val="30353F"/>
        </w:rPr>
        <w:t xml:space="preserve">For disempowered and politically marginalized individuals, this entails measures to enhance their capability for individual political self-determination vis-à-vis the more politically dominant members of society. For colonized and politically subjugated minorities, this entails measures to enhance their collective capability for political self-determination vis-à-vis the more dominant peoples with whom they share a state. </w:t>
      </w:r>
      <w:r w:rsidRPr="00F543C1">
        <w:rPr>
          <w:iCs/>
          <w:color w:val="30353F"/>
        </w:rPr>
        <w:fldChar w:fldCharType="begin"/>
      </w:r>
      <w:r w:rsidR="009B0EC4">
        <w:rPr>
          <w:iCs/>
          <w:color w:val="30353F"/>
        </w:rPr>
        <w:instrText xml:space="preserve"> ADDIN ZOTERO_ITEM CSL_CITATION {"citationID":"NELYUgxa","properties":{"formattedCitation":"(Murphy 2014, 325)","plainCitation":"(Murphy 2014, 325)","noteIndex":0},"citationItems":[{"id":14104,"uris":["http://zotero.org/groups/4623831/items/B3EP5P22"],"itemData":{"id":14104,"type":"article-journal","abstract":"The article explores the idea of self-determination as a collective capability that enhances the freedom and well-being of indigenous peoples in colonial settler states. Collective capabilities have not attracted much attention in the literature to date, but the article sets out to demonstrate that the collective capability for self-determination is precisely the sort of freedom Amartya Sen describes as both the primary objective and the principle means of development. Two ideas lie at the core of the argument: the necessary interdependence that exists between the individual and the collective capability for political self-determination; and the intrinsic, instrumental and constructive value of collective political empowerment in the developmental process. To bolster the theoretical argument, the article examines some of the available evidence linking self-determination with concrete improvements in the social and economic welfare and well-being of indigenous peoples in different regions of the globe.","container-title":"Journal of Human Development and Capabilities","DOI":"10.1080/19452829.2013.878320","ISSN":"1945-2829","issue":"4","note":"publisher: Routledge\n_eprint: https://doi.org/10.1080/19452829.2013.878320","page":"320-334","source":"Taylor and Francis+NEJM","title":"Self-determination as a Collective Capability: The Case of Indigenous Peoples","title-short":"Self-determination as a Collective Capability","volume":"15","author":[{"family":"Murphy","given":"Michael"}],"issued":{"date-parts":[["2014",10,2]]}},"locator":"325"}],"schema":"https://github.com/citation-style-language/schema/raw/master/csl-citation.json"} </w:instrText>
      </w:r>
      <w:r w:rsidRPr="00F543C1">
        <w:rPr>
          <w:iCs/>
          <w:color w:val="30353F"/>
        </w:rPr>
        <w:fldChar w:fldCharType="separate"/>
      </w:r>
      <w:r w:rsidRPr="00F543C1">
        <w:rPr>
          <w:rFonts w:cs="Calibri"/>
          <w:iCs/>
          <w:color w:val="30353F"/>
        </w:rPr>
        <w:t>(Murphy 2014, 325)</w:t>
      </w:r>
      <w:r w:rsidRPr="00F543C1">
        <w:rPr>
          <w:iCs/>
          <w:color w:val="30353F"/>
        </w:rPr>
        <w:fldChar w:fldCharType="end"/>
      </w:r>
    </w:p>
    <w:p w14:paraId="523FC9ED" w14:textId="0A2C0B5E" w:rsidR="00605F35" w:rsidRPr="00F543C1" w:rsidRDefault="00605F35" w:rsidP="00605F35">
      <w:pPr>
        <w:ind w:left="851"/>
      </w:pPr>
      <w:r w:rsidRPr="00F543C1">
        <w:t>The second is to recognise that self-determination can require different constitutional structures, where multiple people existing within a single state exercise different degrees of autonomy over their lives (</w:t>
      </w:r>
      <w:r w:rsidR="00070CBD">
        <w:t>i</w:t>
      </w:r>
      <w:r w:rsidRPr="00F543C1">
        <w:t>bid.).</w:t>
      </w:r>
      <w:r w:rsidRPr="009006D7">
        <w:rPr>
          <w:rStyle w:val="FootnoteReference"/>
        </w:rPr>
        <w:footnoteReference w:id="220"/>
      </w:r>
      <w:r w:rsidRPr="00F543C1">
        <w:t xml:space="preserve"> These structures need to accommodate different world views about the fundamental components of a good life.</w:t>
      </w:r>
    </w:p>
    <w:p w14:paraId="7432694D" w14:textId="77777777" w:rsidR="00605F35" w:rsidRPr="00F543C1" w:rsidRDefault="00605F35" w:rsidP="00605F35">
      <w:pPr>
        <w:ind w:left="851"/>
      </w:pPr>
      <w:r w:rsidRPr="00F543C1">
        <w:t xml:space="preserve">As we discuss in the body of this report, building </w:t>
      </w:r>
      <w:proofErr w:type="spellStart"/>
      <w:r w:rsidRPr="00F543C1">
        <w:t>māna</w:t>
      </w:r>
      <w:proofErr w:type="spellEnd"/>
      <w:r w:rsidRPr="00F543C1">
        <w:t xml:space="preserve"> </w:t>
      </w:r>
      <w:proofErr w:type="spellStart"/>
      <w:r w:rsidRPr="00F543C1">
        <w:t>motuhake</w:t>
      </w:r>
      <w:proofErr w:type="spellEnd"/>
      <w:r w:rsidRPr="00F543C1">
        <w:t xml:space="preserve"> results in better outcomes than the traditional service provision model, because people value and have reason to value exercising </w:t>
      </w:r>
      <w:proofErr w:type="spellStart"/>
      <w:r w:rsidRPr="00F543C1">
        <w:t>tino</w:t>
      </w:r>
      <w:proofErr w:type="spellEnd"/>
      <w:r w:rsidRPr="00F543C1">
        <w:t xml:space="preserve"> rangatiratanga and self-determination: </w:t>
      </w:r>
    </w:p>
    <w:p w14:paraId="4CFEB7DE" w14:textId="7429F0FF" w:rsidR="00605F35" w:rsidRPr="00F543C1" w:rsidRDefault="00605F35" w:rsidP="00605F35">
      <w:pPr>
        <w:spacing w:before="120"/>
        <w:ind w:left="1276" w:right="425"/>
        <w:rPr>
          <w:color w:val="30353F"/>
        </w:rPr>
      </w:pPr>
      <w:r w:rsidRPr="00F543C1">
        <w:rPr>
          <w:i/>
          <w:color w:val="30353F"/>
        </w:rPr>
        <w:t xml:space="preserve">The sheer tenacity with which indigenous peoples worldwide have been struggling to make self-determination a reality in their communities is itself some of the clearest evidence of the value they themselves attach to this collective capability. The struggle for indigenous self-determination is a genuinely global phenomenon … </w:t>
      </w:r>
      <w:r w:rsidRPr="00F543C1">
        <w:rPr>
          <w:color w:val="30353F"/>
        </w:rPr>
        <w:fldChar w:fldCharType="begin"/>
      </w:r>
      <w:r w:rsidR="009B0EC4">
        <w:rPr>
          <w:color w:val="30353F"/>
        </w:rPr>
        <w:instrText xml:space="preserve"> ADDIN ZOTERO_ITEM CSL_CITATION {"citationID":"ss2VDxyw","properties":{"formattedCitation":"(Murphy 2014, 325)","plainCitation":"(Murphy 2014, 325)","noteIndex":0},"citationItems":[{"id":14104,"uris":["http://zotero.org/groups/4623831/items/B3EP5P22"],"itemData":{"id":14104,"type":"article-journal","abstract":"The article explores the idea of self-determination as a collective capability that enhances the freedom and well-being of indigenous peoples in colonial settler states. Collective capabilities have not attracted much attention in the literature to date, but the article sets out to demonstrate that the collective capability for self-determination is precisely the sort of freedom Amartya Sen describes as both the primary objective and the principle means of development. Two ideas lie at the core of the argument: the necessary interdependence that exists between the individual and the collective capability for political self-determination; and the intrinsic, instrumental and constructive value of collective political empowerment in the developmental process. To bolster the theoretical argument, the article examines some of the available evidence linking self-determination with concrete improvements in the social and economic welfare and well-being of indigenous peoples in different regions of the globe.","container-title":"Journal of Human Development and Capabilities","DOI":"10.1080/19452829.2013.878320","ISSN":"1945-2829","issue":"4","note":"publisher: Routledge\n_eprint: https://doi.org/10.1080/19452829.2013.878320","page":"320-334","source":"Taylor and Francis+NEJM","title":"Self-determination as a Collective Capability: The Case of Indigenous Peoples","title-short":"Self-determination as a Collective Capability","volume":"15","author":[{"family":"Murphy","given":"Michael"}],"issued":{"date-parts":[["2014",10,2]]}},"locator":"325"}],"schema":"https://github.com/citation-style-language/schema/raw/master/csl-citation.json"} </w:instrText>
      </w:r>
      <w:r w:rsidRPr="00F543C1">
        <w:rPr>
          <w:color w:val="30353F"/>
        </w:rPr>
        <w:fldChar w:fldCharType="separate"/>
      </w:r>
      <w:r w:rsidRPr="00F543C1">
        <w:rPr>
          <w:rFonts w:cs="Calibri"/>
          <w:color w:val="30353F"/>
        </w:rPr>
        <w:t>(Murphy 2014, 325)</w:t>
      </w:r>
      <w:r w:rsidRPr="00F543C1">
        <w:rPr>
          <w:color w:val="30353F"/>
        </w:rPr>
        <w:fldChar w:fldCharType="end"/>
      </w:r>
    </w:p>
    <w:p w14:paraId="573CBB8C" w14:textId="6751255E" w:rsidR="00FC7BA2" w:rsidRPr="00F543C1" w:rsidRDefault="00FC7BA2" w:rsidP="000509FB">
      <w:pPr>
        <w:pStyle w:val="ApxHeading2"/>
      </w:pPr>
      <w:r w:rsidRPr="00F543C1">
        <w:lastRenderedPageBreak/>
        <w:t>Mandy Yap and Eunice Yu: a useful starting point</w:t>
      </w:r>
    </w:p>
    <w:p w14:paraId="62E09417" w14:textId="140386BC" w:rsidR="00605F35" w:rsidRPr="00F543C1" w:rsidRDefault="00605F35" w:rsidP="00605F35">
      <w:pPr>
        <w:ind w:left="851"/>
      </w:pPr>
      <w:bookmarkStart w:id="633" w:name="_Hlk124938532"/>
      <w:r w:rsidRPr="00F543C1">
        <w:t xml:space="preserve">Mandy Yap and Eunice Yu </w:t>
      </w:r>
      <w:bookmarkEnd w:id="633"/>
      <w:r w:rsidRPr="00F543C1">
        <w:t xml:space="preserve">consider the capability approach to be </w:t>
      </w:r>
      <w:r w:rsidR="00AB05A7">
        <w:t xml:space="preserve">a </w:t>
      </w:r>
      <w:r w:rsidRPr="00F543C1">
        <w:t xml:space="preserve">‘useful </w:t>
      </w:r>
      <w:r w:rsidRPr="00F543C1">
        <w:rPr>
          <w:b/>
          <w:bCs/>
        </w:rPr>
        <w:t>starting point</w:t>
      </w:r>
      <w:r w:rsidRPr="00F543C1">
        <w:t xml:space="preserve"> for conceptualising wellbeing from Indigenous perspectives’ </w:t>
      </w:r>
      <w:r w:rsidRPr="00F543C1">
        <w:fldChar w:fldCharType="begin"/>
      </w:r>
      <w:r w:rsidR="009B0EC4">
        <w:instrText xml:space="preserve"> ADDIN ZOTERO_ITEM CSL_CITATION {"citationID":"qBcJo3AI","properties":{"formattedCitation":"(Yap and Yu 2016, 327, emphasis added)","plainCitation":"(Yap and Yu 2016, 327, emphasis added)","noteIndex":0},"citationItems":[{"id":14128,"uris":["http://zotero.org/groups/4623831/items/CWLRYDQK"],"itemData":{"id":14128,"type":"article-journal","abstract":"The tension that exists between the worldviews of Indigenous peoples and government reporting frameworks is what Taylor has termed ‘the recognition or translation space’. The meaningful operation of the ‘recognition space’ hinges on four key points – firstly, why measure wellbeing, secondly, how wellbeing is conceptualised, thirdly, by what process the wellbeing measures are decided, and finally, who makes those decisions. Sen’s capability approach is concerned with development as a process of expanding people’s freedoms to live the life they have reason to value. It is in this spirit of freedom that Sen has not prescribed a fixed list of functioning and capabilities. The open-ended nature of this approach, in letting the identification of important capabilities be dependent on specific contexts and people’s own values, aligns with the United Nations Declaration on the Rights of Indigenous peoples which asserts that Indigenous people must be agents of their own development. This paper contributes to the understanding of what a good life means by augmenting the capability approach to incorporate Indigenous worldviews. Through participatory research methodologies we define and select indicators of wellbeing which are grounded in the lived experiences of the Yawuru people in Broome, Western Australia.","container-title":"Oxford Development Studies","DOI":"10.1080/13600818.2016.1178223","ISSN":"1360-0818","issue":"3","note":"publisher: Routledge\n_eprint: https://doi.org/10.1080/13600818.2016.1178223","page":"315-331","source":"Taylor and Francis+NEJM","title":"Operationalising the capability approach: developing culturally relevant indicators of indigenous wellbeing – an Australian example","title-short":"Operationalising the capability approach","volume":"44","author":[{"family":"Yap","given":"Mandy"},{"family":"Yu","given":"Eunice"}],"issued":{"date-parts":[["2016",7,2]]}},"locator":"327","label":"page","suffix":", emphasis added"}],"schema":"https://github.com/citation-style-language/schema/raw/master/csl-citation.json"} </w:instrText>
      </w:r>
      <w:r w:rsidRPr="00F543C1">
        <w:fldChar w:fldCharType="separate"/>
      </w:r>
      <w:r w:rsidRPr="00F543C1">
        <w:rPr>
          <w:rFonts w:cs="Calibri"/>
        </w:rPr>
        <w:t>(Yap and Yu 2016, 327, emphasis added)</w:t>
      </w:r>
      <w:r w:rsidRPr="00F543C1">
        <w:fldChar w:fldCharType="end"/>
      </w:r>
      <w:r w:rsidRPr="00F543C1">
        <w:t>. They see the placing of individuals at the centre of development as one of the capability approach’s strengths, one that</w:t>
      </w:r>
      <w:r w:rsidR="00AB05A7">
        <w:t>,</w:t>
      </w:r>
      <w:r w:rsidRPr="00F543C1">
        <w:t xml:space="preserve"> in their view</w:t>
      </w:r>
      <w:r w:rsidR="00AB05A7">
        <w:t>,</w:t>
      </w:r>
      <w:r w:rsidRPr="00F543C1">
        <w:t xml:space="preserve"> is well aligned with the articles on self-determination contain</w:t>
      </w:r>
      <w:r w:rsidR="00AB05A7">
        <w:t>ed</w:t>
      </w:r>
      <w:r w:rsidRPr="00F543C1">
        <w:t xml:space="preserve"> in the United Nation’s Declaration on the Rights of Indigenous Peoples (</w:t>
      </w:r>
      <w:r w:rsidR="00070CBD">
        <w:t>i</w:t>
      </w:r>
      <w:r w:rsidRPr="00F543C1">
        <w:t>bid.).</w:t>
      </w:r>
    </w:p>
    <w:p w14:paraId="5C9E2B64" w14:textId="77777777" w:rsidR="00605F35" w:rsidRPr="00F543C1" w:rsidRDefault="00605F35" w:rsidP="00605F35">
      <w:pPr>
        <w:ind w:left="851"/>
      </w:pPr>
      <w:r w:rsidRPr="00F543C1">
        <w:t>But the approach is only a starting point. It is a way of thinking about development and a tool for evaluating proposals designed to improve wellbeing. As noted above, Amartya Sen’s insistence on not listing desirable capabilities point to its nature. Its purpose is to frame questions about how people can live better lives life, rather than being a statement of what constitutes a good life. Thus, Yap and Yu suggest that:</w:t>
      </w:r>
    </w:p>
    <w:p w14:paraId="3AF390E4" w14:textId="1A307361" w:rsidR="00605F35" w:rsidRPr="00F543C1" w:rsidRDefault="00605F35" w:rsidP="00605F35">
      <w:pPr>
        <w:spacing w:before="120"/>
        <w:ind w:left="1276" w:right="425"/>
        <w:rPr>
          <w:i/>
          <w:color w:val="30353F"/>
        </w:rPr>
      </w:pPr>
      <w:r w:rsidRPr="00F543C1">
        <w:rPr>
          <w:i/>
          <w:color w:val="30353F"/>
        </w:rPr>
        <w:t xml:space="preserve">The capability approach thus lends itself to augmentation through the incorporation of methods and worldviews which bring to the fore the individuals who are the recipients of development programmes and policies. </w:t>
      </w:r>
      <w:r w:rsidR="00070CBD" w:rsidRPr="00070CBD">
        <w:rPr>
          <w:iCs/>
          <w:color w:val="30353F"/>
        </w:rPr>
        <w:t>(i</w:t>
      </w:r>
      <w:r w:rsidRPr="00F543C1">
        <w:rPr>
          <w:iCs/>
          <w:color w:val="30353F"/>
        </w:rPr>
        <w:t>bid</w:t>
      </w:r>
      <w:r w:rsidR="00712F93">
        <w:rPr>
          <w:iCs/>
          <w:color w:val="30353F"/>
        </w:rPr>
        <w:t>.</w:t>
      </w:r>
      <w:r w:rsidRPr="00F543C1">
        <w:rPr>
          <w:iCs/>
          <w:color w:val="30353F"/>
        </w:rPr>
        <w:t>)</w:t>
      </w:r>
    </w:p>
    <w:p w14:paraId="45FF5D7B" w14:textId="01B9EE83" w:rsidR="00D30234" w:rsidRPr="00F543C1" w:rsidRDefault="00605F35" w:rsidP="000509FB">
      <w:pPr>
        <w:ind w:left="851"/>
      </w:pPr>
      <w:r w:rsidRPr="00F543C1">
        <w:t>If people see the path to a good life for them to be via the strengthening of the groups to which they belong and the enriching of collective decision-making, then that worldview is easily accounted for by the capability approach, provided the right questions are asked.</w:t>
      </w:r>
    </w:p>
    <w:sectPr w:rsidR="00D30234" w:rsidRPr="00F543C1" w:rsidSect="00680191">
      <w:headerReference w:type="even" r:id="rId33"/>
      <w:headerReference w:type="default" r:id="rId34"/>
      <w:footerReference w:type="default" r:id="rId35"/>
      <w:headerReference w:type="first" r:id="rId36"/>
      <w:pgSz w:w="11907" w:h="16839" w:code="9"/>
      <w:pgMar w:top="1701" w:right="1418" w:bottom="1418" w:left="1701" w:header="851"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84402" w14:textId="77777777" w:rsidR="003A22AF" w:rsidRPr="007F1F96" w:rsidRDefault="003A22AF" w:rsidP="00776D39">
      <w:pPr>
        <w:spacing w:after="0" w:line="240" w:lineRule="auto"/>
      </w:pPr>
      <w:r w:rsidRPr="007F1F96">
        <w:separator/>
      </w:r>
    </w:p>
  </w:endnote>
  <w:endnote w:type="continuationSeparator" w:id="0">
    <w:p w14:paraId="214CE7CA" w14:textId="77777777" w:rsidR="003A22AF" w:rsidRPr="007F1F96" w:rsidRDefault="003A22AF" w:rsidP="00776D39">
      <w:pPr>
        <w:spacing w:after="0" w:line="240" w:lineRule="auto"/>
      </w:pPr>
      <w:r w:rsidRPr="007F1F96">
        <w:continuationSeparator/>
      </w:r>
    </w:p>
  </w:endnote>
  <w:endnote w:type="continuationNotice" w:id="1">
    <w:p w14:paraId="244BE9A2" w14:textId="77777777" w:rsidR="003A22AF" w:rsidRDefault="003A22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19E15" w14:textId="77777777" w:rsidR="00DA670E" w:rsidRPr="00C84B04" w:rsidRDefault="00DA670E" w:rsidP="00183CB7">
    <w:pPr>
      <w:pStyle w:val="Footer"/>
    </w:pPr>
    <w:r w:rsidRPr="00C84B04">
      <w:rPr>
        <w:noProof/>
      </w:rPr>
      <w:drawing>
        <wp:anchor distT="0" distB="0" distL="114300" distR="114300" simplePos="0" relativeHeight="251658241" behindDoc="1" locked="0" layoutInCell="1" allowOverlap="0" wp14:anchorId="2D522773" wp14:editId="5A2DE740">
          <wp:simplePos x="0" y="0"/>
          <wp:positionH relativeFrom="rightMargin">
            <wp:posOffset>-180340</wp:posOffset>
          </wp:positionH>
          <wp:positionV relativeFrom="paragraph">
            <wp:posOffset>27940</wp:posOffset>
          </wp:positionV>
          <wp:extent cx="522000" cy="478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zier-logo-BLACK lines on transparent background.png"/>
                  <pic:cNvPicPr/>
                </pic:nvPicPr>
                <pic:blipFill rotWithShape="1">
                  <a:blip r:embed="rId1"/>
                  <a:srcRect l="1984" t="1720" r="57833" b="2406"/>
                  <a:stretch/>
                </pic:blipFill>
                <pic:spPr bwMode="auto">
                  <a:xfrm>
                    <a:off x="0" y="0"/>
                    <a:ext cx="522000" cy="47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88D3" w14:textId="77777777" w:rsidR="0059128A" w:rsidRDefault="0059128A" w:rsidP="00881555">
    <w:pPr>
      <w:pStyle w:val="USSingleSpacedParagraph"/>
      <w:spacing w:after="120"/>
    </w:pPr>
  </w:p>
  <w:p w14:paraId="165E07E8" w14:textId="77777777" w:rsidR="0059128A" w:rsidRDefault="0059128A" w:rsidP="00881555">
    <w:pPr>
      <w:pStyle w:val="FooterInsidecover"/>
    </w:pPr>
    <w:r>
      <w:t>Registered office: Level 13, Public Trust Tower, 22–28 Willeston St | PO Box 3479, Wellington 6140</w:t>
    </w:r>
  </w:p>
  <w:p w14:paraId="30620F7F" w14:textId="77777777" w:rsidR="0059128A" w:rsidRDefault="0059128A" w:rsidP="00881555">
    <w:pPr>
      <w:pStyle w:val="FooterInsidecover"/>
    </w:pPr>
    <w:r>
      <w:t>Auckland office: Ground Floor, 70 Shortland St, Auckland</w:t>
    </w:r>
  </w:p>
  <w:p w14:paraId="3CF9482A" w14:textId="77777777" w:rsidR="0059128A" w:rsidRDefault="0059128A" w:rsidP="00881555">
    <w:pPr>
      <w:pStyle w:val="FooterInsidecover"/>
    </w:pPr>
    <w:r>
      <w:t xml:space="preserve">Tel 0800 220 090 or +64 4 472 </w:t>
    </w:r>
    <w:r w:rsidRPr="00DE7FA6">
      <w:t xml:space="preserve">1880 | </w:t>
    </w:r>
    <w:hyperlink r:id="rId1" w:history="1">
      <w:r w:rsidRPr="00DE7FA6">
        <w:t>econ@nzier.org.nz</w:t>
      </w:r>
    </w:hyperlink>
    <w:r w:rsidRPr="00DE7FA6">
      <w:t xml:space="preserve"> | </w:t>
    </w:r>
    <w:hyperlink r:id="rId2" w:history="1">
      <w:r w:rsidRPr="00DE7FA6">
        <w:t>www.nzier.org.nz</w:t>
      </w:r>
    </w:hyperlink>
    <w:r>
      <w:t xml:space="preserve"> </w:t>
    </w:r>
  </w:p>
  <w:p w14:paraId="4252429B" w14:textId="77777777" w:rsidR="0059128A" w:rsidRDefault="0059128A" w:rsidP="00881555">
    <w:pPr>
      <w:pStyle w:val="FooterInsidecover"/>
    </w:pPr>
  </w:p>
  <w:p w14:paraId="68D21BDB" w14:textId="77777777" w:rsidR="0059128A" w:rsidRDefault="0059128A" w:rsidP="00881555">
    <w:pPr>
      <w:pStyle w:val="FooterInsidecover"/>
    </w:pPr>
    <w:r>
      <w:t>© NZ Institute of Economic Research (Inc). Cover image © Dreamstime.com</w:t>
    </w:r>
  </w:p>
  <w:p w14:paraId="5F83A1CF" w14:textId="77777777" w:rsidR="0059128A" w:rsidRDefault="0059128A" w:rsidP="00881555">
    <w:pPr>
      <w:pStyle w:val="FooterInsidecover"/>
    </w:pPr>
    <w:r>
      <w:t xml:space="preserve">NZIER’s standard terms of engagement for contract research can </w:t>
    </w:r>
    <w:r w:rsidRPr="00DE7FA6">
      <w:t xml:space="preserve">be found at </w:t>
    </w:r>
    <w:hyperlink r:id="rId3" w:history="1">
      <w:r w:rsidRPr="00DE7FA6">
        <w:t>www.nzier.org.nz</w:t>
      </w:r>
    </w:hyperlink>
    <w:r w:rsidRPr="00DE7FA6">
      <w:t>.</w:t>
    </w:r>
  </w:p>
  <w:p w14:paraId="57E368B3" w14:textId="77777777" w:rsidR="0059128A" w:rsidRDefault="0059128A" w:rsidP="00881555">
    <w:pPr>
      <w:pStyle w:val="FooterInsidecover"/>
    </w:pPr>
  </w:p>
  <w:p w14:paraId="4A348773" w14:textId="77777777" w:rsidR="0059128A" w:rsidRDefault="0059128A" w:rsidP="00881555">
    <w:pPr>
      <w:pStyle w:val="FooterInsidecover"/>
    </w:pPr>
    <w:r>
      <w:rPr>
        <w:snapToGrid w:val="0"/>
        <w:sz w:val="15"/>
        <w:szCs w:val="15"/>
        <w:lang w:val="en-GB"/>
      </w:rPr>
      <w:t>While NZIER will use all reasonable endeavours in undertaking contract research and producing reports to ensure the information is as accurate as practicable, the Institute, its contributors, employees, and Board shall not be liable (whether in contract, tort (including negligence), equity or on any other basis) for any loss or damage sustained by any person relying on such work whatever the cause of such loss or damage.</w:t>
    </w:r>
  </w:p>
  <w:p w14:paraId="5C3D1A3F" w14:textId="77777777" w:rsidR="0059128A" w:rsidRPr="00C84B04" w:rsidRDefault="0059128A" w:rsidP="00183CB7">
    <w:pPr>
      <w:pStyle w:val="Footer"/>
    </w:pPr>
    <w:r w:rsidRPr="00C84B04">
      <w:rPr>
        <w:noProof/>
      </w:rPr>
      <w:drawing>
        <wp:anchor distT="0" distB="0" distL="114300" distR="114300" simplePos="0" relativeHeight="251658242" behindDoc="1" locked="0" layoutInCell="1" allowOverlap="0" wp14:anchorId="2F24CA10" wp14:editId="3168A639">
          <wp:simplePos x="0" y="0"/>
          <wp:positionH relativeFrom="rightMargin">
            <wp:posOffset>-180340</wp:posOffset>
          </wp:positionH>
          <wp:positionV relativeFrom="paragraph">
            <wp:posOffset>27940</wp:posOffset>
          </wp:positionV>
          <wp:extent cx="522000" cy="478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zier-logo-BLACK lines on transparent background.png"/>
                  <pic:cNvPicPr/>
                </pic:nvPicPr>
                <pic:blipFill rotWithShape="1">
                  <a:blip r:embed="rId4"/>
                  <a:srcRect l="1984" t="1720" r="57833" b="2406"/>
                  <a:stretch/>
                </pic:blipFill>
                <pic:spPr bwMode="auto">
                  <a:xfrm>
                    <a:off x="0" y="0"/>
                    <a:ext cx="522000" cy="47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5DECC" w14:textId="0F05C9CF" w:rsidR="00DA670E" w:rsidRPr="00C84B04" w:rsidRDefault="00DA670E" w:rsidP="00FC1A04">
    <w:pPr>
      <w:pStyle w:val="Footer"/>
    </w:pPr>
    <w:r w:rsidRPr="00C84B04">
      <w:rPr>
        <w:noProof/>
      </w:rPr>
      <w:drawing>
        <wp:anchor distT="0" distB="0" distL="114300" distR="114300" simplePos="0" relativeHeight="251658243" behindDoc="1" locked="0" layoutInCell="1" allowOverlap="0" wp14:anchorId="4133E24E" wp14:editId="403D6066">
          <wp:simplePos x="0" y="0"/>
          <wp:positionH relativeFrom="rightMargin">
            <wp:posOffset>-180340</wp:posOffset>
          </wp:positionH>
          <wp:positionV relativeFrom="paragraph">
            <wp:posOffset>27940</wp:posOffset>
          </wp:positionV>
          <wp:extent cx="522000" cy="478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zier-logo-BLACK lines on transparent background.png"/>
                  <pic:cNvPicPr/>
                </pic:nvPicPr>
                <pic:blipFill rotWithShape="1">
                  <a:blip r:embed="rId1"/>
                  <a:srcRect l="1984" t="1720" r="57833" b="2406"/>
                  <a:stretch/>
                </pic:blipFill>
                <pic:spPr bwMode="auto">
                  <a:xfrm>
                    <a:off x="0" y="0"/>
                    <a:ext cx="522000" cy="47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4B04">
      <w:fldChar w:fldCharType="begin"/>
    </w:r>
    <w:r w:rsidRPr="00C84B04">
      <w:instrText xml:space="preserve"> PAGE   \* MERGEFORMAT </w:instrText>
    </w:r>
    <w:r w:rsidRPr="00C84B04">
      <w:fldChar w:fldCharType="separate"/>
    </w:r>
    <w:r w:rsidRPr="00C84B04">
      <w:t>2</w:t>
    </w:r>
    <w:r w:rsidRPr="00C84B0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F3DE" w14:textId="77777777" w:rsidR="00DA670E" w:rsidRPr="00C84B04" w:rsidRDefault="00DA670E" w:rsidP="00FC1A04">
    <w:pPr>
      <w:pStyle w:val="Footer"/>
    </w:pPr>
    <w:r w:rsidRPr="00C84B04">
      <w:rPr>
        <w:noProof/>
      </w:rPr>
      <w:drawing>
        <wp:anchor distT="0" distB="0" distL="114300" distR="114300" simplePos="0" relativeHeight="251658240" behindDoc="1" locked="0" layoutInCell="1" allowOverlap="0" wp14:anchorId="3330199E" wp14:editId="02E38C24">
          <wp:simplePos x="0" y="0"/>
          <wp:positionH relativeFrom="rightMargin">
            <wp:posOffset>-85090</wp:posOffset>
          </wp:positionH>
          <wp:positionV relativeFrom="paragraph">
            <wp:posOffset>8890</wp:posOffset>
          </wp:positionV>
          <wp:extent cx="522000" cy="478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zier-logo-BLACK lines on transparent background.png"/>
                  <pic:cNvPicPr/>
                </pic:nvPicPr>
                <pic:blipFill rotWithShape="1">
                  <a:blip r:embed="rId1"/>
                  <a:srcRect l="1984" t="1720" r="57833" b="2406"/>
                  <a:stretch/>
                </pic:blipFill>
                <pic:spPr bwMode="auto">
                  <a:xfrm>
                    <a:off x="0" y="0"/>
                    <a:ext cx="522000" cy="47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4B04">
      <w:fldChar w:fldCharType="begin"/>
    </w:r>
    <w:r w:rsidRPr="00C84B04">
      <w:instrText xml:space="preserve"> PAGE   \* MERGEFORMAT </w:instrText>
    </w:r>
    <w:r w:rsidRPr="00C84B04">
      <w:fldChar w:fldCharType="separate"/>
    </w:r>
    <w:r w:rsidRPr="00C84B04">
      <w:t>2</w:t>
    </w:r>
    <w:r w:rsidRPr="00C84B0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1D1AF" w14:textId="77777777" w:rsidR="003A22AF" w:rsidRPr="00246B84" w:rsidRDefault="003A22AF" w:rsidP="00246B84">
      <w:pPr>
        <w:pStyle w:val="Footer"/>
      </w:pPr>
    </w:p>
  </w:footnote>
  <w:footnote w:type="continuationSeparator" w:id="0">
    <w:p w14:paraId="3F15ACE2" w14:textId="77777777" w:rsidR="003A22AF" w:rsidRPr="00246B84" w:rsidRDefault="003A22AF" w:rsidP="00246B84">
      <w:pPr>
        <w:pStyle w:val="Footer"/>
      </w:pPr>
    </w:p>
  </w:footnote>
  <w:footnote w:type="continuationNotice" w:id="1">
    <w:p w14:paraId="437C36F1" w14:textId="77777777" w:rsidR="003A22AF" w:rsidRPr="00246B84" w:rsidRDefault="003A22AF" w:rsidP="00246B84">
      <w:pPr>
        <w:pStyle w:val="Footer"/>
      </w:pPr>
    </w:p>
  </w:footnote>
  <w:footnote w:id="2">
    <w:p w14:paraId="5EF8CE44" w14:textId="3D150591" w:rsidR="004A67D4" w:rsidRPr="00F0646E" w:rsidRDefault="004A67D4" w:rsidP="004A67D4">
      <w:pPr>
        <w:pStyle w:val="FootnoteText"/>
      </w:pPr>
      <w:r w:rsidRPr="009006D7">
        <w:rPr>
          <w:rStyle w:val="FootnoteReference"/>
        </w:rPr>
        <w:footnoteRef/>
      </w:r>
      <w:r w:rsidRPr="00F0646E">
        <w:t xml:space="preserve"> </w:t>
      </w:r>
      <w:r w:rsidRPr="00F0646E">
        <w:tab/>
        <w:t xml:space="preserve">The terms social welfare, social security, social </w:t>
      </w:r>
      <w:proofErr w:type="gramStart"/>
      <w:r w:rsidRPr="00F0646E">
        <w:t>services</w:t>
      </w:r>
      <w:proofErr w:type="gramEnd"/>
      <w:r w:rsidRPr="00F0646E">
        <w:t xml:space="preserve"> and the welfare state appear frequently in the literature and in popular discourse and are often used interchangeably, especially when used to describe government organisations. In its 2015 report </w:t>
      </w:r>
      <w:r w:rsidRPr="00F0646E">
        <w:rPr>
          <w:i/>
          <w:iCs/>
        </w:rPr>
        <w:t>More effective social services</w:t>
      </w:r>
      <w:r w:rsidRPr="00F0646E">
        <w:t>, the Productivity Commission defined social services as “services dedicated to enhancing people’s economic and social wellbeing by helping them lead more stable, healthy, self-sufficient and fulfilling lives” (New Zealand Productivity Commission 2015a, 27). We adopt that definition in this report.</w:t>
      </w:r>
    </w:p>
  </w:footnote>
  <w:footnote w:id="3">
    <w:p w14:paraId="7AF07B81" w14:textId="3FD32632" w:rsidR="00040AB9" w:rsidRDefault="00040AB9" w:rsidP="00040AB9">
      <w:pPr>
        <w:pStyle w:val="FootnoteText"/>
      </w:pPr>
      <w:r w:rsidRPr="009006D7">
        <w:rPr>
          <w:rStyle w:val="FootnoteReference"/>
        </w:rPr>
        <w:footnoteRef/>
      </w:r>
      <w:r>
        <w:t xml:space="preserve"> </w:t>
      </w:r>
      <w:r>
        <w:tab/>
      </w:r>
      <w:r w:rsidR="007549DF">
        <w:t xml:space="preserve">We define what we mean by outcomes in more detail in section </w:t>
      </w:r>
      <w:r w:rsidR="007549DF">
        <w:fldChar w:fldCharType="begin"/>
      </w:r>
      <w:r w:rsidR="007549DF">
        <w:instrText xml:space="preserve"> REF _Ref126238773 \r \h </w:instrText>
      </w:r>
      <w:r w:rsidR="007549DF">
        <w:fldChar w:fldCharType="separate"/>
      </w:r>
      <w:r w:rsidR="00E06351">
        <w:t>1.4</w:t>
      </w:r>
      <w:r w:rsidR="007549DF">
        <w:fldChar w:fldCharType="end"/>
      </w:r>
      <w:r w:rsidR="007549DF">
        <w:t>.</w:t>
      </w:r>
    </w:p>
  </w:footnote>
  <w:footnote w:id="4">
    <w:p w14:paraId="2BED3B1C" w14:textId="4EB41D34" w:rsidR="00997437" w:rsidRDefault="00997437" w:rsidP="00997437">
      <w:pPr>
        <w:pStyle w:val="FootnoteText"/>
      </w:pPr>
      <w:r w:rsidRPr="009006D7">
        <w:rPr>
          <w:rStyle w:val="FootnoteReference"/>
        </w:rPr>
        <w:footnoteRef/>
      </w:r>
      <w:r>
        <w:t xml:space="preserve"> </w:t>
      </w:r>
      <w:r>
        <w:tab/>
        <w:t xml:space="preserve">Value judgements are ethical statements that cannot be proven true or evaluated on the basis of empirical evidence </w:t>
      </w:r>
      <w:r>
        <w:fldChar w:fldCharType="begin"/>
      </w:r>
      <w:r w:rsidR="009B0EC4">
        <w:instrText xml:space="preserve"> ADDIN ZOTERO_ITEM CSL_CITATION {"citationID":"urR5NTZG","properties":{"formattedCitation":"(Boadway and Bruce 1984, 135)","plainCitation":"(Boadway and Bruce 1984, 135)","noteIndex":3},"citationItems":[{"id":3434,"uris":["http://zotero.org/users/4659042/items/K2MQNYAT"],"itemData":{"id":3434,"type":"book","event-place":"Oxford","publisher":"Blackwell","publisher-place":"Oxford","title":"Welfare Economics","author":[{"family":"Boadway","given":"Robin"},{"family":"Bruce","given":"Neil"}],"issued":{"date-parts":[["1984"]]}},"locator":"135","label":"page"}],"schema":"https://github.com/citation-style-language/schema/raw/master/csl-citation.json"} </w:instrText>
      </w:r>
      <w:r>
        <w:fldChar w:fldCharType="separate"/>
      </w:r>
      <w:r w:rsidRPr="00263F32">
        <w:rPr>
          <w:rFonts w:cs="Calibri"/>
        </w:rPr>
        <w:t>(</w:t>
      </w:r>
      <w:proofErr w:type="spellStart"/>
      <w:r w:rsidRPr="00263F32">
        <w:rPr>
          <w:rFonts w:cs="Calibri"/>
        </w:rPr>
        <w:t>Boadway</w:t>
      </w:r>
      <w:proofErr w:type="spellEnd"/>
      <w:r w:rsidRPr="00263F32">
        <w:rPr>
          <w:rFonts w:cs="Calibri"/>
        </w:rPr>
        <w:t xml:space="preserve"> and Bruce 1984, 135)</w:t>
      </w:r>
      <w:r>
        <w:fldChar w:fldCharType="end"/>
      </w:r>
      <w:r>
        <w:t xml:space="preserve">. </w:t>
      </w:r>
    </w:p>
  </w:footnote>
  <w:footnote w:id="5">
    <w:p w14:paraId="27F37D53" w14:textId="29D14380" w:rsidR="00760FE7" w:rsidRDefault="00760FE7">
      <w:pPr>
        <w:pStyle w:val="FootnoteText"/>
      </w:pPr>
      <w:r w:rsidRPr="009006D7">
        <w:rPr>
          <w:rStyle w:val="FootnoteReference"/>
        </w:rPr>
        <w:footnoteRef/>
      </w:r>
      <w:r>
        <w:t xml:space="preserve"> </w:t>
      </w:r>
      <w:r>
        <w:tab/>
        <w:t xml:space="preserve">An example from history is the ill-fated ’Accord’ on retirement income, where in 1993, the main political parties </w:t>
      </w:r>
      <w:r w:rsidR="009D6163">
        <w:t xml:space="preserve">represented in </w:t>
      </w:r>
      <w:r w:rsidR="00140F60">
        <w:t>Parliament</w:t>
      </w:r>
      <w:r w:rsidR="009D6163">
        <w:t xml:space="preserve"> </w:t>
      </w:r>
      <w:r>
        <w:t xml:space="preserve">sought to bind successive governments to a particular approach to universal age benefits. </w:t>
      </w:r>
      <w:r w:rsidR="00351C9C">
        <w:t xml:space="preserve">The contents of the Accord were legislated, in the form of the Retirement Income Act 1993, which also set up an independent policy monitoring framework. </w:t>
      </w:r>
      <w:r>
        <w:t xml:space="preserve">Within four years, the supposedly agreed principles underlying superannuation were abandoned by the government of the day, which had a different make-up to the government </w:t>
      </w:r>
      <w:r w:rsidR="00407C50">
        <w:t>in power</w:t>
      </w:r>
      <w:r>
        <w:t xml:space="preserve"> when the Accord was signe</w:t>
      </w:r>
      <w:r w:rsidR="00351C9C">
        <w:t>d</w:t>
      </w:r>
      <w:r>
        <w:t>.</w:t>
      </w:r>
      <w:r w:rsidR="00351C9C">
        <w:t xml:space="preserve"> (The National Party formed a majority government when the Accord was </w:t>
      </w:r>
      <w:r w:rsidR="00F625CD">
        <w:t>signed but</w:t>
      </w:r>
      <w:r w:rsidR="00351C9C">
        <w:t xml:space="preserve"> had joined in coalition with New Zealand First after the 19</w:t>
      </w:r>
      <w:r w:rsidR="003B2E25">
        <w:t>9</w:t>
      </w:r>
      <w:r w:rsidR="00351C9C">
        <w:t xml:space="preserve">6 election. New Zealand </w:t>
      </w:r>
      <w:r w:rsidR="00F625CD">
        <w:t>F</w:t>
      </w:r>
      <w:r w:rsidR="00351C9C">
        <w:t>irst was not a party to the Accord).</w:t>
      </w:r>
      <w:r>
        <w:t xml:space="preserve"> See Thompson </w:t>
      </w:r>
      <w:r>
        <w:fldChar w:fldCharType="begin"/>
      </w:r>
      <w:r w:rsidR="009B0EC4">
        <w:instrText xml:space="preserve"> ADDIN ZOTERO_ITEM CSL_CITATION {"citationID":"ph8DCWeY","properties":{"formattedCitation":"(1996)","plainCitation":"(1996)","noteIndex":4},"citationItems":[{"id":18520,"uris":["http://zotero.org/groups/4801058/items/ETM5XVL3"],"itemData":{"id":18520,"type":"article-journal","container-title":"Agenda: A Journal of Policy Analysis and Reform","ISSN":"1322-1833","issue":"3","note":"publisher: ANU Press","page":"297-304","source":"JSTOR","title":"The Future of New Zealand's National Superannuation","volume":"3","author":[{"family":"Thomson","given":"David"}],"issued":{"date-parts":[["1996"]]}},"suppress-author":true}],"schema":"https://github.com/citation-style-language/schema/raw/master/csl-citation.json"} </w:instrText>
      </w:r>
      <w:r>
        <w:fldChar w:fldCharType="separate"/>
      </w:r>
      <w:r w:rsidR="00351C9C" w:rsidRPr="00351C9C">
        <w:rPr>
          <w:rFonts w:cs="Calibri"/>
        </w:rPr>
        <w:t>(1996)</w:t>
      </w:r>
      <w:r>
        <w:fldChar w:fldCharType="end"/>
      </w:r>
      <w:r>
        <w:t xml:space="preserve"> </w:t>
      </w:r>
      <w:r w:rsidR="00351C9C">
        <w:t>for a description of the details of the Accord.</w:t>
      </w:r>
      <w:r w:rsidR="00FC3B27">
        <w:t xml:space="preserve"> </w:t>
      </w:r>
    </w:p>
  </w:footnote>
  <w:footnote w:id="6">
    <w:p w14:paraId="46C5F9CB" w14:textId="2024C91D" w:rsidR="00856653" w:rsidRDefault="00856653" w:rsidP="0013690C">
      <w:pPr>
        <w:pStyle w:val="FootnoteText"/>
      </w:pPr>
      <w:r w:rsidRPr="009006D7">
        <w:rPr>
          <w:rStyle w:val="FootnoteReference"/>
        </w:rPr>
        <w:footnoteRef/>
      </w:r>
      <w:r>
        <w:t xml:space="preserve"> </w:t>
      </w:r>
      <w:r>
        <w:tab/>
        <w:t xml:space="preserve">In 2008, French president Nicolas Sarkozy appointed a commission tasked with identifying the limits of </w:t>
      </w:r>
      <w:r w:rsidR="002F1835">
        <w:t>Gross Domestic Product (</w:t>
      </w:r>
      <w:r>
        <w:t>GDP</w:t>
      </w:r>
      <w:r w:rsidR="002F1835">
        <w:t>)</w:t>
      </w:r>
      <w:r>
        <w:t xml:space="preserve"> as a measure of economic performance and social progress. </w:t>
      </w:r>
      <w:r w:rsidR="0013690C">
        <w:t xml:space="preserve">The Commission’s three principals were Joseph Stiglitz, a Nobel Prize-winning economist and frequent critic of neoliberal economic policy; Amartya Sen, also a Nobel winner and a contributor of major thinking on the issues of ethics and economics; and Jean-Paul Fitoussi, a French economist who is now a Professor of Economics at the </w:t>
      </w:r>
      <w:proofErr w:type="spellStart"/>
      <w:r w:rsidR="0013690C">
        <w:t>Institut</w:t>
      </w:r>
      <w:proofErr w:type="spellEnd"/>
      <w:r w:rsidR="0013690C">
        <w:t xml:space="preserve"> </w:t>
      </w:r>
      <w:proofErr w:type="spellStart"/>
      <w:r w:rsidR="0013690C">
        <w:t>d’études</w:t>
      </w:r>
      <w:proofErr w:type="spellEnd"/>
      <w:r w:rsidR="0013690C">
        <w:t xml:space="preserve"> politiques de Paris. </w:t>
      </w:r>
      <w:r>
        <w:t xml:space="preserve">The Stiglitz–Sen–Fitoussi Commission </w:t>
      </w:r>
      <w:r w:rsidR="000156CD">
        <w:t xml:space="preserve">presented </w:t>
      </w:r>
      <w:r w:rsidR="00092825">
        <w:t>its</w:t>
      </w:r>
      <w:r>
        <w:t xml:space="preserve"> report and detailed commissioned studies in 2009</w:t>
      </w:r>
      <w:r w:rsidR="0013690C">
        <w:t xml:space="preserve"> </w:t>
      </w:r>
      <w:r w:rsidR="00357EB1">
        <w:fldChar w:fldCharType="begin"/>
      </w:r>
      <w:r w:rsidR="009B0EC4">
        <w:instrText xml:space="preserve"> ADDIN ZOTERO_ITEM CSL_CITATION {"citationID":"E8IXSNCZ","properties":{"formattedCitation":"(Stiglitz, Sen, and Fitoussi 2010)","plainCitation":"(Stiglitz, Sen, and Fitoussi 2010)","noteIndex":5},"citationItems":[{"id":13536,"uris":["http://zotero.org/groups/4544915/items/QGHCCXFX"],"itemData":{"id":13536,"type":"book","abstract":"In February of 2008, amid the looming global financial crisis, President Nicolas Sarkozy of France asked Nobel Prize–winning economists Joseph Stiglitz and Amartya Sen, along with the distinguished French economist Jean Paul Fitoussi, to establish a commission of leading economists to study whether Gross Domestic Product (GDP)—the most widely used measure of economic activity—is a reliable indicator of economic and social progress. The Commission was given the further task of laying out an agenda for developing better measures.  Mismeasuring Our Lives is the result of this major intellectual effort, one with pressing relevance for anyone engaged in assessing how and whether our economy is serving the needs of our society. The authors offer a sweeping assessment of the limits of GDP as a measurement of the well-being of societies—considering, for example, how GDP overlooks economic inequality (with the result that most people can be worse off even though average income is increasing); and does not factor environmental impacts into economic decisions. In place of GDP, Mismeasuring Our Lives introduces a bold new array of concepts, from sustainable measures of economic welfare, to measures of savings and wealth, to a “green GDP.” At a time when policymakers worldwide are grappling with unprecedented global financial and environmental issues, here is an essential guide to measuring the things that matter.","event-place":"New York","ISBN":"978-1-59558-519-6","language":"English","number-of-pages":"176","publisher":"The New Press","publisher-place":"New York","source":"Amazon","title":"Mismeasuring Our Lives: Why GDP Doesn't Add Up","title-short":"Mismeasuring Our Lives","author":[{"family":"Stiglitz","given":"Joseph E."},{"family":"Sen","given":"Amartya"},{"family":"Fitoussi","given":"Jean-Paul"}],"issued":{"date-parts":[["2010",5,18]]}}}],"schema":"https://github.com/citation-style-language/schema/raw/master/csl-citation.json"} </w:instrText>
      </w:r>
      <w:r w:rsidR="00357EB1">
        <w:fldChar w:fldCharType="separate"/>
      </w:r>
      <w:r w:rsidR="00357EB1" w:rsidRPr="00357EB1">
        <w:rPr>
          <w:rFonts w:cs="Calibri"/>
        </w:rPr>
        <w:t>(Stiglitz, Sen, and Fitoussi 2010)</w:t>
      </w:r>
      <w:r w:rsidR="00357EB1">
        <w:fldChar w:fldCharType="end"/>
      </w:r>
      <w:r>
        <w:t>.While the commissioners were clear that GDP is not an appropriate measure of either economic performance or social progress, they did not recommend a single index that could replace GDP. Rather, they recommended that governments use a range of measures when assessing performance and policy.</w:t>
      </w:r>
      <w:r w:rsidR="006A10D8">
        <w:t xml:space="preserve"> </w:t>
      </w:r>
      <w:r w:rsidR="00800E7F">
        <w:t xml:space="preserve">The OECD separately developed a multi-dimensional wellbeing framework </w:t>
      </w:r>
      <w:r w:rsidR="00DC0A42">
        <w:fldChar w:fldCharType="begin"/>
      </w:r>
      <w:r w:rsidR="009B0EC4">
        <w:instrText xml:space="preserve"> ADDIN ZOTERO_ITEM CSL_CITATION {"citationID":"GeLmwS0C","properties":{"formattedCitation":"(OECD 2023)","plainCitation":"(OECD 2023)","noteIndex":5},"citationItems":[{"id":18690,"uris":["http://zotero.org/groups/4801058/items/9UHE7546"],"itemData":{"id":18690,"type":"webpage","title":"OECD Better Life Index","URL":"https://www.oecdbetterlifeindex.org/","author":[{"family":"OECD","given":""}],"accessed":{"date-parts":[["2023",2,2]]},"issued":{"date-parts":[["2023"]]}}}],"schema":"https://github.com/citation-style-language/schema/raw/master/csl-citation.json"} </w:instrText>
      </w:r>
      <w:r w:rsidR="00DC0A42">
        <w:fldChar w:fldCharType="separate"/>
      </w:r>
      <w:r w:rsidR="00DC0A42" w:rsidRPr="00DC0A42">
        <w:rPr>
          <w:rFonts w:cs="Calibri"/>
        </w:rPr>
        <w:t>(OECD 2023)</w:t>
      </w:r>
      <w:r w:rsidR="00DC0A42">
        <w:fldChar w:fldCharType="end"/>
      </w:r>
      <w:r w:rsidR="00EC7F8D">
        <w:t xml:space="preserve"> </w:t>
      </w:r>
      <w:r w:rsidR="00800E7F">
        <w:t>and the New Zealand Treasury has developed a local version</w:t>
      </w:r>
      <w:r w:rsidR="001F3F21">
        <w:t xml:space="preserve"> </w:t>
      </w:r>
      <w:r w:rsidR="001F3F21">
        <w:fldChar w:fldCharType="begin"/>
      </w:r>
      <w:r w:rsidR="009B0EC4">
        <w:instrText xml:space="preserve"> ADDIN ZOTERO_ITEM CSL_CITATION {"citationID":"vjuEZGa7","properties":{"formattedCitation":"(The Treasury 2022a)","plainCitation":"(The Treasury 2022a)","noteIndex":5},"citationItems":[{"id":18691,"uris":["http://zotero.org/groups/4801058/items/GL8FDGZQ"],"itemData":{"id":18691,"type":"webpage","abstract":"Learn more about the purpose and elements of the LSF.","language":"en","title":"Our Living Standards Framework","URL":"https://www.treasury.govt.nz/information-and-services/nz-economy/higher-living-standards/our-living-standards-framework","author":[{"family":"The Treasury","given":""}],"accessed":{"date-parts":[["2023",2,2]]},"issued":{"date-parts":[["2022"]]}}}],"schema":"https://github.com/citation-style-language/schema/raw/master/csl-citation.json"} </w:instrText>
      </w:r>
      <w:r w:rsidR="001F3F21">
        <w:fldChar w:fldCharType="separate"/>
      </w:r>
      <w:r w:rsidR="001F3F21" w:rsidRPr="001F3F21">
        <w:rPr>
          <w:rFonts w:cs="Calibri"/>
        </w:rPr>
        <w:t>(The Treasury 2022a)</w:t>
      </w:r>
      <w:r w:rsidR="001F3F21">
        <w:fldChar w:fldCharType="end"/>
      </w:r>
      <w:r w:rsidR="00800E7F">
        <w:t xml:space="preserve">. </w:t>
      </w:r>
    </w:p>
  </w:footnote>
  <w:footnote w:id="7">
    <w:p w14:paraId="356828AF" w14:textId="41ABC37D" w:rsidR="00CB4EB5" w:rsidRDefault="00CB4EB5">
      <w:pPr>
        <w:pStyle w:val="FootnoteText"/>
      </w:pPr>
      <w:r w:rsidRPr="009006D7">
        <w:rPr>
          <w:rStyle w:val="FootnoteReference"/>
        </w:rPr>
        <w:footnoteRef/>
      </w:r>
      <w:r>
        <w:t xml:space="preserve"> </w:t>
      </w:r>
      <w:r>
        <w:tab/>
        <w:t xml:space="preserve">In </w:t>
      </w:r>
      <w:r w:rsidR="00782082">
        <w:t xml:space="preserve">keeping with modern practice, </w:t>
      </w:r>
      <w:r w:rsidR="00D22622">
        <w:t xml:space="preserve">in </w:t>
      </w:r>
      <w:r>
        <w:t xml:space="preserve">this report, we </w:t>
      </w:r>
      <w:r w:rsidR="001E5B9C">
        <w:t xml:space="preserve">will often use </w:t>
      </w:r>
      <w:proofErr w:type="spellStart"/>
      <w:r w:rsidR="001E5B9C">
        <w:t>te</w:t>
      </w:r>
      <w:proofErr w:type="spellEnd"/>
      <w:r w:rsidR="001E5B9C">
        <w:t xml:space="preserve"> </w:t>
      </w:r>
      <w:proofErr w:type="spellStart"/>
      <w:r w:rsidR="001E5B9C">
        <w:t>reo</w:t>
      </w:r>
      <w:proofErr w:type="spellEnd"/>
      <w:r w:rsidR="001E5B9C">
        <w:t xml:space="preserve"> Māori and English words interchangeably. When we refer to ‘whānau’, for example, we mean any family, not just </w:t>
      </w:r>
      <w:r w:rsidR="00782082">
        <w:t>those who are Māori.</w:t>
      </w:r>
    </w:p>
  </w:footnote>
  <w:footnote w:id="8">
    <w:p w14:paraId="288F8184" w14:textId="2943770D" w:rsidR="0031609A" w:rsidRPr="00F0646E" w:rsidRDefault="0031609A">
      <w:pPr>
        <w:pStyle w:val="FootnoteText"/>
      </w:pPr>
      <w:r w:rsidRPr="009006D7">
        <w:rPr>
          <w:rStyle w:val="FootnoteReference"/>
        </w:rPr>
        <w:footnoteRef/>
      </w:r>
      <w:r w:rsidRPr="00F0646E">
        <w:t xml:space="preserve"> </w:t>
      </w:r>
      <w:r w:rsidRPr="00F0646E">
        <w:tab/>
        <w:t xml:space="preserve">See </w:t>
      </w:r>
      <w:r w:rsidR="00665EE9" w:rsidRPr="00F0646E">
        <w:t xml:space="preserve">Thompson </w:t>
      </w:r>
      <w:r w:rsidRPr="00F0646E">
        <w:fldChar w:fldCharType="begin"/>
      </w:r>
      <w:r w:rsidR="009B0EC4">
        <w:instrText xml:space="preserve"> ADDIN ZOTERO_ITEM CSL_CITATION {"citationID":"1WNtyOYH","properties":{"formattedCitation":"(2022)","plainCitation":"(2022)","noteIndex":7},"citationItems":[{"id":17253,"uris":["http://zotero.org/groups/4801058/items/QSGXPCLY"],"itemData":{"id":17253,"type":"report","event-place":"Wellington","genre":"Treasury Analytical Paper","number":"22/03","publisher":"The Treasury","publisher-place":"Wellington","title":"Equality, equity, and distributive justice","author":[{"family":"Thompson","given":"Chris"}],"issued":{"date-parts":[["2022"]]}},"suppress-author":true}],"schema":"https://github.com/citation-style-language/schema/raw/master/csl-citation.json"} </w:instrText>
      </w:r>
      <w:r w:rsidRPr="00F0646E">
        <w:fldChar w:fldCharType="separate"/>
      </w:r>
      <w:r w:rsidRPr="00F0646E">
        <w:rPr>
          <w:rFonts w:cs="Calibri"/>
        </w:rPr>
        <w:t>(2022)</w:t>
      </w:r>
      <w:r w:rsidRPr="00F0646E">
        <w:fldChar w:fldCharType="end"/>
      </w:r>
      <w:r w:rsidR="00665EE9" w:rsidRPr="00F0646E">
        <w:t xml:space="preserve"> for a recent discussion on the various theories of distributive justice that can be used </w:t>
      </w:r>
      <w:r w:rsidR="00EF0C71" w:rsidRPr="00F0646E">
        <w:t xml:space="preserve">to determine whether one combination of individual outcomes is better than another. </w:t>
      </w:r>
    </w:p>
  </w:footnote>
  <w:footnote w:id="9">
    <w:p w14:paraId="02B560DC" w14:textId="6F24E423" w:rsidR="003C27C7" w:rsidRPr="00F0646E" w:rsidRDefault="003C27C7">
      <w:pPr>
        <w:pStyle w:val="FootnoteText"/>
      </w:pPr>
      <w:r w:rsidRPr="009006D7">
        <w:rPr>
          <w:rStyle w:val="FootnoteReference"/>
        </w:rPr>
        <w:footnoteRef/>
      </w:r>
      <w:r w:rsidRPr="00F0646E">
        <w:t xml:space="preserve"> </w:t>
      </w:r>
      <w:r w:rsidRPr="00F0646E">
        <w:tab/>
      </w:r>
      <w:r w:rsidR="00F810B3" w:rsidRPr="00F810B3">
        <w:t>In a lifetime of work, Amartya Sen has sought to answer the question of what constitutes a good life. The result is a normative framework he calls ‘the capability approach’. Sen’s work on this issue started with his 1979 Tanner Lecture “Equality of what?”</w:t>
      </w:r>
      <w:r w:rsidR="00F810B3">
        <w:t xml:space="preserve"> </w:t>
      </w:r>
      <w:r w:rsidR="0039309B">
        <w:fldChar w:fldCharType="begin"/>
      </w:r>
      <w:r w:rsidR="009B0EC4">
        <w:instrText xml:space="preserve"> ADDIN ZOTERO_ITEM CSL_CITATION {"citationID":"tTeAbutQ","properties":{"formattedCitation":"(Sen 1979b)","plainCitation":"(Sen 1979b)","noteIndex":8},"citationItems":[{"id":59,"uris":["http://zotero.org/users/4659042/items/TT8RCXR8"],"itemData":{"id":59,"type":"speech","event-place":"Stanford","event-title":"Tanner Lecture on Human Values","publisher-place":"Stanford","title":"Equality of what?","URL":"http://www.ophi.org.uk/wp-content/uploads/Sen-1979_Equality-of-What.pdf","author":[{"family":"Sen","given":"Amartya"}],"accessed":{"date-parts":[["2019",1,10]]},"issued":{"date-parts":[["1979",5,22]]}}}],"schema":"https://github.com/citation-style-language/schema/raw/master/csl-citation.json"} </w:instrText>
      </w:r>
      <w:r w:rsidR="0039309B">
        <w:fldChar w:fldCharType="separate"/>
      </w:r>
      <w:r w:rsidR="001C3E0D" w:rsidRPr="001C3E0D">
        <w:rPr>
          <w:rFonts w:cs="Calibri"/>
        </w:rPr>
        <w:t>(Sen 1979b)</w:t>
      </w:r>
      <w:r w:rsidR="0039309B">
        <w:fldChar w:fldCharType="end"/>
      </w:r>
      <w:r w:rsidR="008B7CC6">
        <w:t xml:space="preserve">. </w:t>
      </w:r>
      <w:r w:rsidR="00F810B3" w:rsidRPr="00F810B3">
        <w:t xml:space="preserve">Key contributions are Sen </w:t>
      </w:r>
      <w:r w:rsidR="001C3E0D">
        <w:fldChar w:fldCharType="begin"/>
      </w:r>
      <w:r w:rsidR="009B0EC4">
        <w:instrText xml:space="preserve"> ADDIN ZOTERO_ITEM CSL_CITATION {"citationID":"0OJ1ub5z","properties":{"formattedCitation":"(Sen 1979a; 1989; 1993; 1999; 2000)","plainCitation":"(Sen 1979a; 1989; 1993; 1999; 2000)","noteIndex":8},"citationItems":[{"id":7,"uris":["http://zotero.org/users/4659042/items/HV32CKGC"],"itemData":{"id":7,"type":"article-journal","archive":"JSTOR","container-title":"The Economic Journal","DOI":"10.2307/2231867","ISSN":"0013-0133","issue":"355","page":"537-558","source":"JSTOR","title":"Personal Utilities and Public Judgements: Or What's Wrong With Welfare Economics","title-short":"Personal Utilities and Public Judgements","volume":"89","author":[{"family":"Sen","given":"Amartya"}],"issued":{"date-parts":[["1979"]]}},"label":"page"},{"id":4483,"uris":["http://zotero.org/users/4659042/items/LYPEQGEY"],"itemData":{"id":4483,"type":"article-journal","container-title":"Journal of Development Planning","issue":"1","page":"41-58","title":"Development as Capability Expansion.","volume":"19","author":[{"family":"Sen","given":"Amartya"}],"issued":{"date-parts":[["1989"]]}},"label":"page"},{"id":17249,"uris":["http://zotero.org/groups/4801058/items/RBE922PT"],"itemData":{"id":17249,"type":"chapter","container-title":"The Quality of Life","ISBN":"978-0-19-828797-1","note":"DOI: 10.1093/0198287976.003.0003","page":"30-53","publisher":"Oxford University Press","source":"Silverchair","title":"Capability and Well‐Being","URL":"https://doi.org/10.1093/0198287976.003.0003","author":[{"family":"Sen","given":"Amartya"}],"editor":[{"family":"Nussbaum","given":"Martha"},{"family":"Sen","given":"Amartya"}],"accessed":{"date-parts":[["2022",12,19]]},"issued":{"date-parts":[["1993",3,11]]}},"label":"page"},{"id":4484,"uris":["http://zotero.org/users/4659042/items/L9Y69FVR"],"itemData":{"id":4484,"type":"book","edition":"2nd","event-place":"New Delhi and New York","publisher":"Oxford University Press","publisher-place":"New Delhi and New York","title":"Commodities and Capabilities.","author":[{"family":"Sen","given":"Amartya"}],"issued":{"date-parts":[["1999"]]}},"label":"page"},{"id":4481,"uris":["http://zotero.org/users/4659042/items/9I7NAZGC"],"itemData":{"id":4481,"type":"book","edition":"Anchor Books Edition","event-place":"New York","ISBN":"978-0-385-72027-4","language":"eng","note":"OCLC: 248891288","number-of-pages":"366","publisher":"Anchor Books","publisher-place":"New York","source":"Gemeinsamer Bibliotheksverbund ISBN","title":"Development as freedom","author":[{"family":"Sen","given":"Amartya"}],"issued":{"date-parts":[["2000"]]}},"label":"page"}],"schema":"https://github.com/citation-style-language/schema/raw/master/csl-citation.json"} </w:instrText>
      </w:r>
      <w:r w:rsidR="001C3E0D">
        <w:fldChar w:fldCharType="separate"/>
      </w:r>
      <w:r w:rsidR="008F33B2" w:rsidRPr="008F33B2">
        <w:rPr>
          <w:rFonts w:cs="Calibri"/>
        </w:rPr>
        <w:t>(Sen 1979a; 1989; 1993; 1999; 2000)</w:t>
      </w:r>
      <w:r w:rsidR="001C3E0D">
        <w:fldChar w:fldCharType="end"/>
      </w:r>
      <w:r w:rsidR="00FC3B27">
        <w:t xml:space="preserve"> </w:t>
      </w:r>
      <w:r w:rsidR="00F810B3" w:rsidRPr="00F810B3">
        <w:t xml:space="preserve">For a good summary of the capabilities approach, see Dalziel and Saunders </w:t>
      </w:r>
      <w:r w:rsidR="00D56396">
        <w:fldChar w:fldCharType="begin"/>
      </w:r>
      <w:r w:rsidR="009B0EC4">
        <w:instrText xml:space="preserve"> ADDIN ZOTERO_ITEM CSL_CITATION {"citationID":"E4uj2XW3","properties":{"formattedCitation":"(2014b)","plainCitation":"(2014b)","noteIndex":8},"citationItems":[{"id":18426,"uris":["http://zotero.org/groups/4801058/items/AVDITJJ4"],"itemData":{"id":18426,"type":"report","event-place":"Lincoln","publisher":"Agribusiness &amp; Economics Research Unit, Lincoln University","publisher-place":"Lincoln","title":"Wellbeing Economics: A Policy Framework for New Zealand","author":[{"family":"Dalziel","given":"Paul"},{"family":"Saunders","given":"Caroline"}],"issued":{"date-parts":[["2014"]]}},"label":"page","suppress-author":true}],"schema":"https://github.com/citation-style-language/schema/raw/master/csl-citation.json"} </w:instrText>
      </w:r>
      <w:r w:rsidR="00D56396">
        <w:fldChar w:fldCharType="separate"/>
      </w:r>
      <w:r w:rsidR="00363ECE" w:rsidRPr="00363ECE">
        <w:rPr>
          <w:rFonts w:cs="Calibri"/>
        </w:rPr>
        <w:t>(2014b)</w:t>
      </w:r>
      <w:r w:rsidR="00D56396">
        <w:fldChar w:fldCharType="end"/>
      </w:r>
      <w:r w:rsidR="00FC3B27">
        <w:t xml:space="preserve"> </w:t>
      </w:r>
      <w:r w:rsidR="00363ECE">
        <w:t>and</w:t>
      </w:r>
      <w:r w:rsidR="00B32481">
        <w:t xml:space="preserve"> Dalziel et al.</w:t>
      </w:r>
      <w:r w:rsidR="00363ECE">
        <w:t xml:space="preserve"> </w:t>
      </w:r>
      <w:r w:rsidR="00363ECE">
        <w:fldChar w:fldCharType="begin"/>
      </w:r>
      <w:r w:rsidR="009B0EC4">
        <w:instrText xml:space="preserve"> ADDIN ZOTERO_ITEM CSL_CITATION {"citationID":"9zaLKXEi","properties":{"formattedCitation":"(2018)","plainCitation":"(2018)","noteIndex":8},"citationItems":[{"id":16924,"uris":["http://zotero.org/groups/4801058/items/GR9DFLLD"],"itemData":{"id":16924,"type":"book","publisher":"Springer Nature","source":"Google Scholar","title":"Wellbeing economics: The capabilities approach to prosperity","title-short":"Wellbeing economics","author":[{"family":"Dalziel","given":"Paul"},{"family":"Saunders","given":"Caroline"},{"family":"Saunders","given":"Joe"}],"issued":{"date-parts":[["2018"]]}},"label":"page","suppress-author":true}],"schema":"https://github.com/citation-style-language/schema/raw/master/csl-citation.json"} </w:instrText>
      </w:r>
      <w:r w:rsidR="00363ECE">
        <w:fldChar w:fldCharType="separate"/>
      </w:r>
      <w:r w:rsidR="00B32481" w:rsidRPr="00B32481">
        <w:rPr>
          <w:rFonts w:cs="Calibri"/>
        </w:rPr>
        <w:t>(2018)</w:t>
      </w:r>
      <w:r w:rsidR="00363ECE">
        <w:fldChar w:fldCharType="end"/>
      </w:r>
      <w:r w:rsidR="00F810B3" w:rsidRPr="00F810B3">
        <w:t xml:space="preserve">. </w:t>
      </w:r>
      <w:proofErr w:type="spellStart"/>
      <w:r w:rsidR="00F810B3" w:rsidRPr="00F810B3">
        <w:t>Robeyns</w:t>
      </w:r>
      <w:proofErr w:type="spellEnd"/>
      <w:r w:rsidR="00D05DAB">
        <w:t xml:space="preserve"> </w:t>
      </w:r>
      <w:r w:rsidR="00D05DAB">
        <w:fldChar w:fldCharType="begin"/>
      </w:r>
      <w:r w:rsidR="009B0EC4">
        <w:instrText xml:space="preserve"> ADDIN ZOTERO_ITEM CSL_CITATION {"citationID":"rc9XOtHy","properties":{"formattedCitation":"(2005)","plainCitation":"(2005)","noteIndex":8},"citationItems":[{"id":14720,"uris":["http://zotero.org/groups/4623831/items/NZBYTGER"],"itemData":{"id":14720,"type":"article-journal","abstract":"This paper aims to present a theoretical survey of the capability approach in an interdisciplinary and accessible way. It focuses on the main conceptual and theoretical aspects of the capability approach, as developed by Amartya Sen, Martha Nussbaum, and others. The capability approach is a broad normative framework for the evaluation and assessment of individual well‐being and social arrangements, the design of policies, and proposals about social change in society. Its main characteristics are its highly interdisciplinary character, and the focus on the plural or multidimensional aspects of well‐being. The approach highlights the difference between means and ends, and between substantive freedoms (capabilities) and outcomes (achieved functionings).","container-title":"Journal of Human Development","DOI":"10.1080/146498805200034266","ISSN":"1464-9888","issue":"1","page":"93-117","source":"Taylor and Francis+NEJM","title":"The Capability Approach: a theoretical survey","title-short":"The Capability Approach","volume":"6","author":[{"family":"Robeyns","given":"Ingrid"}],"issued":{"date-parts":[["2005",3,1]]}},"label":"page","suppress-author":true}],"schema":"https://github.com/citation-style-language/schema/raw/master/csl-citation.json"} </w:instrText>
      </w:r>
      <w:r w:rsidR="00D05DAB">
        <w:fldChar w:fldCharType="separate"/>
      </w:r>
      <w:r w:rsidR="00D05DAB" w:rsidRPr="00D05DAB">
        <w:rPr>
          <w:rFonts w:cs="Calibri"/>
        </w:rPr>
        <w:t>(2005)</w:t>
      </w:r>
      <w:r w:rsidR="00D05DAB">
        <w:fldChar w:fldCharType="end"/>
      </w:r>
      <w:r w:rsidR="00FC3B27">
        <w:t xml:space="preserve"> </w:t>
      </w:r>
      <w:r w:rsidR="00F810B3" w:rsidRPr="00F810B3">
        <w:t xml:space="preserve">provides a more technical survey and </w:t>
      </w:r>
      <w:proofErr w:type="spellStart"/>
      <w:r w:rsidR="00F810B3" w:rsidRPr="00F810B3">
        <w:t>Robeyns</w:t>
      </w:r>
      <w:proofErr w:type="spellEnd"/>
      <w:r w:rsidR="00F810B3" w:rsidRPr="00F810B3">
        <w:t xml:space="preserve"> </w:t>
      </w:r>
      <w:r w:rsidR="00364A76">
        <w:fldChar w:fldCharType="begin"/>
      </w:r>
      <w:r w:rsidR="009B0EC4">
        <w:instrText xml:space="preserve"> ADDIN ZOTERO_ITEM CSL_CITATION {"citationID":"RGPxQpbC","properties":{"formattedCitation":"(2017)","plainCitation":"(2017)","noteIndex":8},"citationItems":[{"id":368,"uris":["http://zotero.org/users/4659042/items/6IN8QJDQ"],"itemData":{"id":368,"type":"book","event-place":"Cambridge","language":"en-gb","note":"DOI: 10.11647/OBP.0130","publisher":"Open Book Publishers","publisher-place":"Cambridge","title":"Wellbeing, Freedom and Social Justice: The Capability Approach Re-Examined","title-short":"Wellbeing, Freedom and Social Justice","URL":"https://www.openbookpublishers.com/product/682","author":[{"family":"Robeyns","given":"Ingrid"}],"accessed":{"date-parts":[["2018",5,22]]},"issued":{"date-parts":[["2017"]]}},"label":"page","suppress-author":true}],"schema":"https://github.com/citation-style-language/schema/raw/master/csl-citation.json"} </w:instrText>
      </w:r>
      <w:r w:rsidR="00364A76">
        <w:fldChar w:fldCharType="separate"/>
      </w:r>
      <w:r w:rsidR="00364A76" w:rsidRPr="00364A76">
        <w:rPr>
          <w:rFonts w:cs="Calibri"/>
        </w:rPr>
        <w:t>(2017)</w:t>
      </w:r>
      <w:r w:rsidR="00364A76">
        <w:fldChar w:fldCharType="end"/>
      </w:r>
      <w:r w:rsidR="00F810B3" w:rsidRPr="00F810B3">
        <w:t xml:space="preserve"> is an open-access, book-length non-technical summary.</w:t>
      </w:r>
    </w:p>
  </w:footnote>
  <w:footnote w:id="10">
    <w:p w14:paraId="61D4E673" w14:textId="7FD7EF37" w:rsidR="0089166D" w:rsidRPr="00F0646E" w:rsidRDefault="0089166D" w:rsidP="0089166D">
      <w:pPr>
        <w:pStyle w:val="FootnoteText"/>
      </w:pPr>
      <w:r w:rsidRPr="009006D7">
        <w:rPr>
          <w:rStyle w:val="FootnoteReference"/>
        </w:rPr>
        <w:footnoteRef/>
      </w:r>
      <w:r w:rsidRPr="00F0646E">
        <w:t xml:space="preserve"> </w:t>
      </w:r>
      <w:r w:rsidRPr="00F0646E">
        <w:tab/>
        <w:t xml:space="preserve">See Fry and Wilson </w:t>
      </w:r>
      <w:r w:rsidRPr="00F0646E">
        <w:fldChar w:fldCharType="begin"/>
      </w:r>
      <w:r w:rsidR="009B0EC4">
        <w:instrText xml:space="preserve"> ADDIN ZOTERO_ITEM CSL_CITATION {"citationID":"33CQ9kOZ","properties":{"formattedCitation":"(2017; 2018; 2022a)","plainCitation":"(2017; 2018; 2022a)","noteIndex":9},"citationItems":[{"id":5737,"uris":["http://zotero.org/users/4659042/items/3FYD5EAQ"],"itemData":{"id":5737,"type":"article-journal","abstract":"Two stories wax and wane in New Zealand debates about migration. With record arrivals, falling departures and high net migration, current public concerns are around pressures on housing, infrastructure and publicly funded services like schools and health care. In 1979 people fretted about whether the last one to leave would be turning out the lights.","container-title":"Policy Quarterly","DOI":"10.26686/pq.v13i3.4674","ISSN":"2324-1101","issue":"3","language":"en","license":"Copyright (c)","note":"number: 3","source":"ojs.victoria.ac.nz","title":"Immigration policies that would enhance the well-being of New Zealanders","URL":"https://ojs.victoria.ac.nz/pq/article/view/4674","volume":"13","author":[{"family":"Fry","given":"Julie"},{"family":"Wilson","given":"Peter"}],"accessed":{"date-parts":[["2020",6,14]]},"issued":{"date-parts":[["2017",8,1]]}},"label":"page","suppress-author":true},{"id":2525,"uris":["http://zotero.org/users/4659042/items/QY2T26ST"],"itemData":{"id":2525,"type":"book","abstract":"\"Migration is at historically high levels and more than a quarter of the New Zealand population was born overseas. Yet immigration remains a deeply contentious issue, with the debate more often shaped by emotion than evidence. Julie Fry and Peter Wilson have developed a new framework that broadens the scope of how we consider migration policy. Rather than just considering the effect of migration on GDP, they look at factors such as the Treaty of Waitangi. Their goal? Migration policy that acknowledges the complexity of the world we all inhabit.\"--Publisher information","call-number":"JV9262 .F79 2018","collection-title":"BWB Texts","event-place":"Wellington, New Zealand","ISBN":"978-1-988533-75-9","license":"All rights reserved","note":"OCLC: on1029949831","number-of-pages":"280","publisher":"Bridget Williams Books Limited","publisher-place":"Wellington, New Zealand","source":"Library of Congress ISBN","title":"Better lives: migration, wellbeing and New Zealand","title-short":"Better lives","author":[{"family":"Fry","given":"Julie"},{"family":"Wilson","given":"Peter"}],"issued":{"date-parts":[["2018"]]}},"label":"page","suppress-author":true},{"id":16954,"uris":["http://zotero.org/groups/4801058/items/S8BG46RV"],"itemData":{"id":16954,"type":"report","event-place":"Wellington","publisher":"New Zealand Institute of Economic Research","publisher-place":"Wellington","title":"Ki te kotahi te kakaho ka whati, Ki te kapuia e kore e whati","author":[{"family":"Fry","given":"Julie"},{"family":"Wilson","given":"Peter"}],"issued":{"date-parts":[["2022"]]}},"label":"page"}],"schema":"https://github.com/citation-style-language/schema/raw/master/csl-citation.json"} </w:instrText>
      </w:r>
      <w:r w:rsidRPr="00F0646E">
        <w:fldChar w:fldCharType="separate"/>
      </w:r>
      <w:r w:rsidR="00EA71C7" w:rsidRPr="00EA71C7">
        <w:rPr>
          <w:rFonts w:cs="Calibri"/>
        </w:rPr>
        <w:t>(2017; 2018; 2022a)</w:t>
      </w:r>
      <w:r w:rsidRPr="00F0646E">
        <w:fldChar w:fldCharType="end"/>
      </w:r>
      <w:r w:rsidRPr="00F0646E">
        <w:t xml:space="preserve"> and Wilson and Fry </w:t>
      </w:r>
      <w:r w:rsidRPr="00F0646E">
        <w:fldChar w:fldCharType="begin"/>
      </w:r>
      <w:r w:rsidR="009B0EC4">
        <w:instrText xml:space="preserve"> ADDIN ZOTERO_ITEM CSL_CITATION {"citationID":"a21fjknn246","properties":{"formattedCitation":"(2019)","plainCitation":"(2019)","noteIndex":9},"citationItems":[{"id":14101,"uris":["http://zotero.org/groups/4623831/items/38IJYY4G"],"itemData":{"id":14101,"type":"report","event-place":"Wellington","genre":"NZIER public discussion paper","license":"All rights reserved","number":"2019/1","publisher":"New Zealand Institute of Economic Research","publisher-place":"Wellington","title":"Kia māia: Be bold Improving the wellbeing of children living in poverty","author":[{"family":"Wilson","given":"Peter"},{"family":"Fry","given":"Julie"}],"issued":{"date-parts":[["2019"]]}},"label":"page","suppress-author":true}],"schema":"https://github.com/citation-style-language/schema/raw/master/csl-citation.json"} </w:instrText>
      </w:r>
      <w:r w:rsidRPr="00F0646E">
        <w:fldChar w:fldCharType="separate"/>
      </w:r>
      <w:r w:rsidR="007363DA" w:rsidRPr="007363DA">
        <w:rPr>
          <w:rFonts w:cs="Calibri"/>
        </w:rPr>
        <w:t>(2019)</w:t>
      </w:r>
      <w:r w:rsidRPr="00F0646E">
        <w:fldChar w:fldCharType="end"/>
      </w:r>
      <w:r w:rsidRPr="00F0646E">
        <w:t>.</w:t>
      </w:r>
    </w:p>
  </w:footnote>
  <w:footnote w:id="11">
    <w:p w14:paraId="0ACE15B0" w14:textId="0EBBD024" w:rsidR="00C303DC" w:rsidRPr="00F0646E" w:rsidRDefault="00C303DC">
      <w:pPr>
        <w:pStyle w:val="FootnoteText"/>
      </w:pPr>
      <w:r w:rsidRPr="009006D7">
        <w:rPr>
          <w:rStyle w:val="FootnoteReference"/>
        </w:rPr>
        <w:footnoteRef/>
      </w:r>
      <w:r w:rsidRPr="00F0646E">
        <w:t xml:space="preserve"> </w:t>
      </w:r>
      <w:r w:rsidR="00494213" w:rsidRPr="00F0646E">
        <w:tab/>
        <w:t xml:space="preserve">See Hall </w:t>
      </w:r>
      <w:r w:rsidR="00494213" w:rsidRPr="00F0646E">
        <w:fldChar w:fldCharType="begin"/>
      </w:r>
      <w:r w:rsidR="009B0EC4">
        <w:instrText xml:space="preserve"> ADDIN ZOTERO_ITEM CSL_CITATION {"citationID":"RB0PPSLZ","properties":{"formattedCitation":"(2019)","plainCitation":"(2019)","noteIndex":10},"citationItems":[{"id":14146,"uris":["http://zotero.org/groups/4623831/items/G4QG47E3"],"itemData":{"id":14146,"type":"article-journal","container-title":"Policy Quarterly","issue":"1","title":"New Zealand’s Living Standards Framework: what might Amartya Sen say?","volume":"15","author":[{"family":"Hall","given":"David"}],"issued":{"date-parts":[["2019"]]}},"suppress-author":true}],"schema":"https://github.com/citation-style-language/schema/raw/master/csl-citation.json"} </w:instrText>
      </w:r>
      <w:r w:rsidR="00494213" w:rsidRPr="00F0646E">
        <w:fldChar w:fldCharType="separate"/>
      </w:r>
      <w:r w:rsidR="00494213" w:rsidRPr="00F0646E">
        <w:rPr>
          <w:rFonts w:cs="Calibri"/>
        </w:rPr>
        <w:t>(2019)</w:t>
      </w:r>
      <w:r w:rsidR="00494213" w:rsidRPr="00F0646E">
        <w:fldChar w:fldCharType="end"/>
      </w:r>
      <w:r w:rsidR="00494213" w:rsidRPr="00F0646E">
        <w:t>.</w:t>
      </w:r>
    </w:p>
  </w:footnote>
  <w:footnote w:id="12">
    <w:p w14:paraId="0BB11D04" w14:textId="4AEFFAE3" w:rsidR="00B7758E" w:rsidRDefault="00B7758E">
      <w:pPr>
        <w:pStyle w:val="FootnoteText"/>
      </w:pPr>
      <w:r w:rsidRPr="009006D7">
        <w:rPr>
          <w:rStyle w:val="FootnoteReference"/>
        </w:rPr>
        <w:footnoteRef/>
      </w:r>
      <w:r>
        <w:t xml:space="preserve"> </w:t>
      </w:r>
      <w:r>
        <w:tab/>
      </w:r>
      <w:r w:rsidRPr="00B7758E">
        <w:t xml:space="preserve">Paul Dalziel </w:t>
      </w:r>
      <w:r>
        <w:t>and his co-authors</w:t>
      </w:r>
      <w:r w:rsidRPr="00B7758E">
        <w:t xml:space="preserve"> note that the choices that affect wellbeing are made at different levels of social interactions and </w:t>
      </w:r>
      <w:r w:rsidR="00E54E86">
        <w:t>in many</w:t>
      </w:r>
      <w:r w:rsidRPr="00B7758E">
        <w:t xml:space="preserve"> different places and in different contexts (Dalziel, Saunders, and Saunders 2018, 12). Some are made by people themselves, some by </w:t>
      </w:r>
      <w:r w:rsidR="00D22622">
        <w:t>w</w:t>
      </w:r>
      <w:r w:rsidRPr="00B7758E">
        <w:t>hānau, or communities, or countries or even globally. But while decisions are made at different levels, the effect of those decisions, under the capability approach, are measured by the effect they have on the wellbeing on individuals.</w:t>
      </w:r>
    </w:p>
  </w:footnote>
  <w:footnote w:id="13">
    <w:p w14:paraId="4CD9E027" w14:textId="66DB5E95" w:rsidR="00D37918" w:rsidRPr="00F0646E" w:rsidRDefault="00D37918">
      <w:pPr>
        <w:pStyle w:val="FootnoteText"/>
      </w:pPr>
      <w:r w:rsidRPr="009006D7">
        <w:rPr>
          <w:rStyle w:val="FootnoteReference"/>
        </w:rPr>
        <w:footnoteRef/>
      </w:r>
      <w:r w:rsidRPr="00F0646E">
        <w:t xml:space="preserve"> </w:t>
      </w:r>
      <w:r w:rsidRPr="00F0646E">
        <w:tab/>
        <w:t xml:space="preserve">The World Development Report produced annually by the World Bank, for example, </w:t>
      </w:r>
      <w:r w:rsidR="000F5149" w:rsidRPr="00F0646E">
        <w:t xml:space="preserve">is based on an application of the capability approach </w:t>
      </w:r>
      <w:r w:rsidR="0062799B" w:rsidRPr="00F0646E">
        <w:fldChar w:fldCharType="begin"/>
      </w:r>
      <w:r w:rsidR="009B0EC4">
        <w:instrText xml:space="preserve"> ADDIN ZOTERO_ITEM CSL_CITATION {"citationID":"6Gc7ungG","properties":{"formattedCitation":"(Fukuda-Parr 2003)","plainCitation":"(Fukuda-Parr 2003)","noteIndex":12},"citationItems":[{"id":18420,"uris":["http://zotero.org/groups/4801058/items/BZ3TEPPN"],"itemData":{"id":18420,"type":"article-journal","abstract":"Amartya Sen’s ideas constitute the core principles of a development approach that has evolved in the Human Development Reports. This approach is a ‘‘paradigm’’ based on the concept of well-being that can help deﬁne public policy, but does not embody a set of prescriptions. The current movement from an age of development planning to an age of globalization has meant an increasing attention to agency aspects of development. While earlier Human Development Reports emphasized measures such as the provision of public services, recent ones have focused more on people’s political empowerment. This paper reﬂects on Sen’s work in light of this shift in emphasis. Gender analysis has been central to the development of the new agency-driven paradigm, and gender equity is a core concern. A gender perspective has also helped highlight important aspects of this paradigm, such as the role of collective agency in promoting development.","container-title":"Feminist Economics","DOI":"10.1080/1354570022000077980","ISSN":"1354-5701, 1466-4372","issue":"2-3","language":"en","page":"301-317","source":"Crossref","title":"The human development paradigm: operationalizing Sen's ideas on capabilities","title-short":"THE HUMAN DEVELOPMENT PARADIGM","volume":"9","author":[{"family":"Fukuda-Parr","given":"Sakiko"}],"issued":{"date-parts":[["2003",1]]}}}],"schema":"https://github.com/citation-style-language/schema/raw/master/csl-citation.json"} </w:instrText>
      </w:r>
      <w:r w:rsidR="0062799B" w:rsidRPr="00F0646E">
        <w:fldChar w:fldCharType="separate"/>
      </w:r>
      <w:r w:rsidR="0062799B" w:rsidRPr="00F0646E">
        <w:rPr>
          <w:rFonts w:cs="Calibri"/>
        </w:rPr>
        <w:t>(Fukuda-Parr 2003)</w:t>
      </w:r>
      <w:r w:rsidR="0062799B" w:rsidRPr="00F0646E">
        <w:fldChar w:fldCharType="end"/>
      </w:r>
      <w:r w:rsidR="00A1493C" w:rsidRPr="00F0646E">
        <w:t>.</w:t>
      </w:r>
    </w:p>
  </w:footnote>
  <w:footnote w:id="14">
    <w:p w14:paraId="3A38C9DB" w14:textId="46CFA59A" w:rsidR="00C55FEF" w:rsidRPr="00F0646E" w:rsidRDefault="00C55FEF" w:rsidP="00C55FEF">
      <w:pPr>
        <w:pStyle w:val="FootnoteText"/>
      </w:pPr>
      <w:r w:rsidRPr="009006D7">
        <w:rPr>
          <w:rStyle w:val="FootnoteReference"/>
        </w:rPr>
        <w:footnoteRef/>
      </w:r>
      <w:r w:rsidRPr="00F0646E">
        <w:t xml:space="preserve"> </w:t>
      </w:r>
      <w:r w:rsidRPr="00F0646E">
        <w:tab/>
        <w:t xml:space="preserve">For example, while children live in families and what happens within those families can have a material impact on them, Sen notes that the intra-family division of resources, not just the level of those resources, is important in determining the wellbeing of all family members. Sen has always been concerned about the effect of decisions of fathers regarding the education of their daughters </w:t>
      </w:r>
      <w:r w:rsidRPr="00F0646E">
        <w:fldChar w:fldCharType="begin"/>
      </w:r>
      <w:r w:rsidR="009B0EC4">
        <w:instrText xml:space="preserve"> ADDIN ZOTERO_ITEM CSL_CITATION {"citationID":"at23klposa","properties":{"formattedCitation":"(Sen 2000, 139)","plainCitation":"(Sen 2000, 139)","noteIndex":13},"citationItems":[{"id":4481,"uris":["http://zotero.org/users/4659042/items/9I7NAZGC"],"itemData":{"id":4481,"type":"book","edition":"Anchor Books Edition","event-place":"New York","ISBN":"978-0-385-72027-4","language":"eng","note":"OCLC: 248891288","number-of-pages":"366","publisher":"Anchor Books","publisher-place":"New York","source":"Gemeinsamer Bibliotheksverbund ISBN","title":"Development as freedom","author":[{"family":"Sen","given":"Amartya"}],"issued":{"date-parts":[["2000"]]}},"locator":"139","label":"page"}],"schema":"https://github.com/citation-style-language/schema/raw/master/csl-citation.json"} </w:instrText>
      </w:r>
      <w:r w:rsidRPr="00F0646E">
        <w:fldChar w:fldCharType="separate"/>
      </w:r>
      <w:r w:rsidRPr="00F0646E">
        <w:rPr>
          <w:rFonts w:cs="Calibri"/>
          <w:szCs w:val="24"/>
        </w:rPr>
        <w:t>(Sen 2000, 139)</w:t>
      </w:r>
      <w:r w:rsidRPr="00F0646E">
        <w:fldChar w:fldCharType="end"/>
      </w:r>
      <w:r w:rsidRPr="00F0646E">
        <w:t xml:space="preserve">. </w:t>
      </w:r>
    </w:p>
  </w:footnote>
  <w:footnote w:id="15">
    <w:p w14:paraId="23787326" w14:textId="4E7D7B60" w:rsidR="00FD3A07" w:rsidRDefault="00FD3A07" w:rsidP="001B3DB6">
      <w:pPr>
        <w:pStyle w:val="FootnoteText"/>
        <w:ind w:left="0" w:firstLine="0"/>
      </w:pPr>
      <w:r w:rsidRPr="009006D7">
        <w:rPr>
          <w:rStyle w:val="FootnoteReference"/>
        </w:rPr>
        <w:footnoteRef/>
      </w:r>
      <w:r>
        <w:t xml:space="preserve"> </w:t>
      </w:r>
      <w:r>
        <w:tab/>
        <w:t xml:space="preserve">We discuss some major contributions to this literature in </w:t>
      </w:r>
      <w:r>
        <w:fldChar w:fldCharType="begin"/>
      </w:r>
      <w:r>
        <w:instrText xml:space="preserve"> REF _Ref124937632 \r \h </w:instrText>
      </w:r>
      <w:r>
        <w:fldChar w:fldCharType="separate"/>
      </w:r>
      <w:r w:rsidR="00E06351">
        <w:t>Appendix A</w:t>
      </w:r>
      <w:r>
        <w:fldChar w:fldCharType="end"/>
      </w:r>
      <w:r w:rsidR="0002016C">
        <w:t>.</w:t>
      </w:r>
    </w:p>
  </w:footnote>
  <w:footnote w:id="16">
    <w:p w14:paraId="06939A24" w14:textId="61642947" w:rsidR="0089166D" w:rsidRPr="00F0646E" w:rsidRDefault="0089166D" w:rsidP="0089166D">
      <w:pPr>
        <w:pStyle w:val="FootnoteText"/>
      </w:pPr>
      <w:r w:rsidRPr="009006D7">
        <w:rPr>
          <w:rStyle w:val="FootnoteReference"/>
        </w:rPr>
        <w:footnoteRef/>
      </w:r>
      <w:r w:rsidRPr="00F0646E">
        <w:t xml:space="preserve"> </w:t>
      </w:r>
      <w:r w:rsidRPr="00F0646E">
        <w:tab/>
        <w:t>Another pioneer of the capability approach is the American philosopher, Martha Nussbaum</w:t>
      </w:r>
      <w:r w:rsidR="005A5151">
        <w:t>, who</w:t>
      </w:r>
      <w:r w:rsidRPr="00F0646E">
        <w:t xml:space="preserve"> has produced a list of the capabilities that she thinks everyone needs if they are to be regarded as truly living well </w:t>
      </w:r>
      <w:r w:rsidRPr="00F0646E">
        <w:fldChar w:fldCharType="begin"/>
      </w:r>
      <w:r w:rsidR="009B0EC4">
        <w:instrText xml:space="preserve"> ADDIN ZOTERO_ITEM CSL_CITATION {"citationID":"alocfgcupe","properties":{"formattedCitation":"(Nussbaum 2013, 32)","plainCitation":"(Nussbaum 2013, 32)","noteIndex":15},"citationItems":[{"id":14605,"uris":["http://zotero.org/groups/4623831/items/987XHCRW"],"itemData":{"id":14605,"type":"book","edition":"1st paperback ed","event-place":"Cambridge, Mass.","ISBN":"978-0-674-07235-0","language":"eng","number-of-pages":"237","publisher":"Belknap Press of Harvard Univ. Press","publisher-place":"Cambridge, Mass.","source":"K10plus ISBN","title":"Creating capabilities: the human development approach","title-short":"Creating capabilities","author":[{"family":"Nussbaum","given":"Martha"}],"issued":{"date-parts":[["2013"]]}},"locator":"32","label":"page"}],"schema":"https://github.com/citation-style-language/schema/raw/master/csl-citation.json"} </w:instrText>
      </w:r>
      <w:r w:rsidRPr="00F0646E">
        <w:fldChar w:fldCharType="separate"/>
      </w:r>
      <w:r w:rsidR="00D81D7C" w:rsidRPr="00D81D7C">
        <w:rPr>
          <w:rFonts w:cs="Calibri"/>
        </w:rPr>
        <w:t>(Nussbaum 2013, 32)</w:t>
      </w:r>
      <w:r w:rsidRPr="00F0646E">
        <w:fldChar w:fldCharType="end"/>
      </w:r>
      <w:r w:rsidRPr="00F0646E">
        <w:t>.</w:t>
      </w:r>
    </w:p>
  </w:footnote>
  <w:footnote w:id="17">
    <w:p w14:paraId="65A5F3DD" w14:textId="77777777" w:rsidR="008A304F" w:rsidRDefault="008A304F" w:rsidP="008A304F">
      <w:pPr>
        <w:pStyle w:val="FootnoteText"/>
      </w:pPr>
      <w:r w:rsidRPr="009006D7">
        <w:rPr>
          <w:rStyle w:val="FootnoteReference"/>
        </w:rPr>
        <w:footnoteRef/>
      </w:r>
      <w:r>
        <w:t xml:space="preserve"> </w:t>
      </w:r>
      <w:r>
        <w:tab/>
        <w:t xml:space="preserve">We thank </w:t>
      </w:r>
      <w:proofErr w:type="spellStart"/>
      <w:r w:rsidRPr="008A304F">
        <w:t>Haemata</w:t>
      </w:r>
      <w:proofErr w:type="spellEnd"/>
      <w:r w:rsidRPr="008A304F">
        <w:t xml:space="preserve"> Ltd </w:t>
      </w:r>
      <w:r>
        <w:t>for this suggestion.</w:t>
      </w:r>
    </w:p>
  </w:footnote>
  <w:footnote w:id="18">
    <w:p w14:paraId="59CD45A4" w14:textId="5C479BEB" w:rsidR="00056B08" w:rsidRDefault="00056B08" w:rsidP="00056B08">
      <w:pPr>
        <w:pStyle w:val="FootnoteText"/>
      </w:pPr>
      <w:r w:rsidRPr="009006D7">
        <w:rPr>
          <w:rStyle w:val="FootnoteReference"/>
        </w:rPr>
        <w:footnoteRef/>
      </w:r>
      <w:r>
        <w:t xml:space="preserve"> </w:t>
      </w:r>
      <w:r>
        <w:tab/>
        <w:t>We discuss the respective contributions that the level of resources and the ability to convert resources into the freedom to lead a go</w:t>
      </w:r>
      <w:r w:rsidR="009B40C9">
        <w:t>o</w:t>
      </w:r>
      <w:r>
        <w:t>d life in more detail in Wilson and Fry</w:t>
      </w:r>
      <w:r w:rsidR="009C4D6F">
        <w:t xml:space="preserve"> </w:t>
      </w:r>
      <w:r w:rsidR="009C4D6F">
        <w:fldChar w:fldCharType="begin"/>
      </w:r>
      <w:r w:rsidR="009B0EC4">
        <w:instrText xml:space="preserve"> ADDIN ZOTERO_ITEM CSL_CITATION {"citationID":"HRaJKm3w","properties":{"formattedCitation":"(2019)","plainCitation":"(2019)","noteIndex":17},"citationItems":[{"id":14101,"uris":["http://zotero.org/groups/4623831/items/38IJYY4G"],"itemData":{"id":14101,"type":"report","event-place":"Wellington","genre":"NZIER public discussion paper","license":"All rights reserved","number":"2019/1","publisher":"New Zealand Institute of Economic Research","publisher-place":"Wellington","title":"Kia māia: Be bold Improving the wellbeing of children living in poverty","author":[{"family":"Wilson","given":"Peter"},{"family":"Fry","given":"Julie"}],"issued":{"date-parts":[["2019"]]}},"label":"page","suppress-author":true}],"schema":"https://github.com/citation-style-language/schema/raw/master/csl-citation.json"} </w:instrText>
      </w:r>
      <w:r w:rsidR="009C4D6F">
        <w:fldChar w:fldCharType="separate"/>
      </w:r>
      <w:r w:rsidR="007363DA" w:rsidRPr="007363DA">
        <w:rPr>
          <w:rFonts w:cs="Calibri"/>
        </w:rPr>
        <w:t>(2019)</w:t>
      </w:r>
      <w:r w:rsidR="009C4D6F">
        <w:fldChar w:fldCharType="end"/>
      </w:r>
      <w:r>
        <w:t>.</w:t>
      </w:r>
    </w:p>
  </w:footnote>
  <w:footnote w:id="19">
    <w:p w14:paraId="678D024F" w14:textId="4A23CC3F" w:rsidR="0089166D" w:rsidRPr="00F0646E" w:rsidRDefault="0089166D" w:rsidP="0089166D">
      <w:pPr>
        <w:pStyle w:val="FootnoteText"/>
      </w:pPr>
      <w:r w:rsidRPr="009006D7">
        <w:rPr>
          <w:rStyle w:val="FootnoteReference"/>
        </w:rPr>
        <w:footnoteRef/>
      </w:r>
      <w:r w:rsidRPr="00F0646E">
        <w:t xml:space="preserve"> </w:t>
      </w:r>
      <w:r w:rsidRPr="00F0646E">
        <w:tab/>
        <w:t xml:space="preserve">This can be recognised by the social assistance system. Consider the definition of </w:t>
      </w:r>
      <w:r w:rsidRPr="00F0646E">
        <w:rPr>
          <w:b/>
          <w:bCs/>
        </w:rPr>
        <w:t xml:space="preserve">mana </w:t>
      </w:r>
      <w:proofErr w:type="spellStart"/>
      <w:r w:rsidRPr="00F0646E">
        <w:rPr>
          <w:b/>
          <w:bCs/>
        </w:rPr>
        <w:t>tamaiti</w:t>
      </w:r>
      <w:proofErr w:type="spellEnd"/>
      <w:r w:rsidRPr="00F0646E">
        <w:rPr>
          <w:b/>
          <w:bCs/>
        </w:rPr>
        <w:t xml:space="preserve"> (</w:t>
      </w:r>
      <w:proofErr w:type="spellStart"/>
      <w:r w:rsidRPr="00F0646E">
        <w:rPr>
          <w:b/>
          <w:bCs/>
        </w:rPr>
        <w:t>tamariki</w:t>
      </w:r>
      <w:proofErr w:type="spellEnd"/>
      <w:r w:rsidRPr="00F0646E">
        <w:rPr>
          <w:b/>
          <w:bCs/>
        </w:rPr>
        <w:t>)</w:t>
      </w:r>
      <w:r w:rsidRPr="00F0646E">
        <w:t xml:space="preserve"> in Section 2 of the </w:t>
      </w:r>
      <w:proofErr w:type="spellStart"/>
      <w:r w:rsidRPr="00F0646E">
        <w:t>Oranga</w:t>
      </w:r>
      <w:proofErr w:type="spellEnd"/>
      <w:r w:rsidRPr="00F0646E">
        <w:t xml:space="preserve"> Tamariki Act 1989, where it is stated to mean: </w:t>
      </w:r>
      <w:r w:rsidR="008832A3">
        <w:t>“</w:t>
      </w:r>
      <w:r w:rsidRPr="00F0646E">
        <w:t>the intrinsic value and inherent dignity derived from a child's or young person's whakapapa (genealogy) and their belonging to a wh</w:t>
      </w:r>
      <w:r w:rsidR="00D87B04">
        <w:rPr>
          <w:rFonts w:cs="Calibri"/>
        </w:rPr>
        <w:t>ā</w:t>
      </w:r>
      <w:r w:rsidRPr="00F0646E">
        <w:t>nau, hapū, iwi, or family group, in accordance with tikanga Māori or its equivalent in the culture of the child or young person.</w:t>
      </w:r>
      <w:r w:rsidR="008832A3">
        <w:t>”</w:t>
      </w:r>
    </w:p>
  </w:footnote>
  <w:footnote w:id="20">
    <w:p w14:paraId="04EABCAA" w14:textId="07920FAD" w:rsidR="006D260F" w:rsidRDefault="006D260F">
      <w:pPr>
        <w:pStyle w:val="FootnoteText"/>
      </w:pPr>
      <w:r w:rsidRPr="009006D7">
        <w:rPr>
          <w:rStyle w:val="FootnoteReference"/>
        </w:rPr>
        <w:footnoteRef/>
      </w:r>
      <w:r>
        <w:t xml:space="preserve"> </w:t>
      </w:r>
      <w:r w:rsidR="006F04C6">
        <w:tab/>
        <w:t xml:space="preserve">Freedom is an important element of Sen’s approach. The title of one of his key contributions is </w:t>
      </w:r>
      <w:r w:rsidR="006F04C6" w:rsidRPr="008C2FF1">
        <w:rPr>
          <w:i/>
          <w:iCs/>
        </w:rPr>
        <w:t>Development as Freedom</w:t>
      </w:r>
      <w:r w:rsidR="006F04C6">
        <w:rPr>
          <w:i/>
          <w:iCs/>
        </w:rPr>
        <w:t xml:space="preserve"> </w:t>
      </w:r>
      <w:r w:rsidR="006F04C6">
        <w:rPr>
          <w:i/>
          <w:iCs/>
        </w:rPr>
        <w:fldChar w:fldCharType="begin"/>
      </w:r>
      <w:r w:rsidR="009B0EC4">
        <w:rPr>
          <w:i/>
          <w:iCs/>
        </w:rPr>
        <w:instrText xml:space="preserve"> ADDIN ZOTERO_ITEM CSL_CITATION {"citationID":"blQzYoI8","properties":{"formattedCitation":"(Sen 2000)","plainCitation":"(Sen 2000)","noteIndex":19},"citationItems":[{"id":4481,"uris":["http://zotero.org/users/4659042/items/9I7NAZGC"],"itemData":{"id":4481,"type":"book","edition":"Anchor Books Edition","event-place":"New York","ISBN":"978-0-385-72027-4","language":"eng","note":"OCLC: 248891288","number-of-pages":"366","publisher":"Anchor Books","publisher-place":"New York","source":"Gemeinsamer Bibliotheksverbund ISBN","title":"Development as freedom","author":[{"family":"Sen","given":"Amartya"}],"issued":{"date-parts":[["2000"]]}}}],"schema":"https://github.com/citation-style-language/schema/raw/master/csl-citation.json"} </w:instrText>
      </w:r>
      <w:r w:rsidR="006F04C6">
        <w:rPr>
          <w:i/>
          <w:iCs/>
        </w:rPr>
        <w:fldChar w:fldCharType="separate"/>
      </w:r>
      <w:r w:rsidR="006F04C6" w:rsidRPr="006F04C6">
        <w:rPr>
          <w:rFonts w:cs="Calibri"/>
        </w:rPr>
        <w:t>(Sen 2000)</w:t>
      </w:r>
      <w:r w:rsidR="006F04C6">
        <w:rPr>
          <w:i/>
          <w:iCs/>
        </w:rPr>
        <w:fldChar w:fldCharType="end"/>
      </w:r>
      <w:r w:rsidR="008C2FF1">
        <w:rPr>
          <w:i/>
          <w:iCs/>
        </w:rPr>
        <w:t>.</w:t>
      </w:r>
    </w:p>
  </w:footnote>
  <w:footnote w:id="21">
    <w:p w14:paraId="449456C6" w14:textId="2A0306A1" w:rsidR="00810762" w:rsidRDefault="00810762">
      <w:pPr>
        <w:pStyle w:val="FootnoteText"/>
      </w:pPr>
      <w:r w:rsidRPr="009006D7">
        <w:rPr>
          <w:rStyle w:val="FootnoteReference"/>
        </w:rPr>
        <w:footnoteRef/>
      </w:r>
      <w:r>
        <w:t xml:space="preserve"> </w:t>
      </w:r>
      <w:r>
        <w:tab/>
      </w:r>
      <w:r w:rsidRPr="009556CD">
        <w:rPr>
          <w:rFonts w:cs="Calibri"/>
        </w:rPr>
        <w:t xml:space="preserve">See </w:t>
      </w:r>
      <w:proofErr w:type="spellStart"/>
      <w:r w:rsidR="009556CD" w:rsidRPr="006F49F8">
        <w:rPr>
          <w:rFonts w:cs="Calibri"/>
          <w:color w:val="000000"/>
          <w:szCs w:val="16"/>
          <w:shd w:val="clear" w:color="auto" w:fill="FFFFFF"/>
        </w:rPr>
        <w:t>Cotterell</w:t>
      </w:r>
      <w:proofErr w:type="spellEnd"/>
      <w:r w:rsidR="009556CD" w:rsidRPr="006F49F8">
        <w:rPr>
          <w:rFonts w:cs="Calibri"/>
          <w:color w:val="000000"/>
          <w:szCs w:val="16"/>
          <w:shd w:val="clear" w:color="auto" w:fill="FFFFFF"/>
        </w:rPr>
        <w:t xml:space="preserve"> and Crothers</w:t>
      </w:r>
      <w:r w:rsidR="009556CD" w:rsidRPr="006F49F8">
        <w:rPr>
          <w:rFonts w:ascii="Arial" w:hAnsi="Arial" w:cs="Arial"/>
          <w:color w:val="000000"/>
          <w:szCs w:val="16"/>
          <w:shd w:val="clear" w:color="auto" w:fill="FFFFFF"/>
        </w:rPr>
        <w:t xml:space="preserve"> </w:t>
      </w:r>
      <w:r w:rsidR="00545679">
        <w:rPr>
          <w:rFonts w:ascii="Arial" w:hAnsi="Arial" w:cs="Arial"/>
          <w:color w:val="000000"/>
          <w:szCs w:val="16"/>
          <w:shd w:val="clear" w:color="auto" w:fill="FFFFFF"/>
        </w:rPr>
        <w:fldChar w:fldCharType="begin"/>
      </w:r>
      <w:r w:rsidR="009B0EC4">
        <w:rPr>
          <w:rFonts w:ascii="Arial" w:hAnsi="Arial" w:cs="Arial"/>
          <w:color w:val="000000"/>
          <w:szCs w:val="16"/>
          <w:shd w:val="clear" w:color="auto" w:fill="FFFFFF"/>
        </w:rPr>
        <w:instrText xml:space="preserve"> ADDIN ZOTERO_ITEM CSL_CITATION {"citationID":"XnTLCrrs","properties":{"formattedCitation":"(2011)","plainCitation":"(2011)","noteIndex":20},"citationItems":[{"id":18669,"uris":["http://zotero.org/groups/4801058/items/5EX9ZPKW"],"itemData":{"id":18669,"type":"article-journal","abstract":"Social Policy Journal article on increased capacities from recent developments and the extent these can overcome potential threats to social monitoring work.","container-title":"Social Policy Journal of New Zealand","issue":"37","language":"eng","source":"www.msd.govt.nz","title":"Social indicators and social reporting in New Zealand, and the potential contribution of the Family Whnau and Wellbeing Project - Ministry of Social Development","URL":"https://www.msd.govt.nz/about-msd-and-our-work/publications-resources/journals-and-magazines/social-policy-journal/spj37/37-social-indicators-and-social-reporting-in-new-zealand.html","author":[{"family":"Cotterell","given":"Gerard"},{"family":"Crothers","given":"Charles"}],"accessed":{"date-parts":[["2023",2,2]]},"issued":{"date-parts":[["2011"]]}},"suppress-author":true}],"schema":"https://github.com/citation-style-language/schema/raw/master/csl-citation.json"} </w:instrText>
      </w:r>
      <w:r w:rsidR="00545679">
        <w:rPr>
          <w:rFonts w:ascii="Arial" w:hAnsi="Arial" w:cs="Arial"/>
          <w:color w:val="000000"/>
          <w:szCs w:val="16"/>
          <w:shd w:val="clear" w:color="auto" w:fill="FFFFFF"/>
        </w:rPr>
        <w:fldChar w:fldCharType="separate"/>
      </w:r>
      <w:r w:rsidR="00545679" w:rsidRPr="00545679">
        <w:rPr>
          <w:rFonts w:ascii="Arial" w:hAnsi="Arial" w:cs="Arial"/>
        </w:rPr>
        <w:t>(2011)</w:t>
      </w:r>
      <w:r w:rsidR="00545679">
        <w:rPr>
          <w:rFonts w:ascii="Arial" w:hAnsi="Arial" w:cs="Arial"/>
          <w:color w:val="000000"/>
          <w:szCs w:val="16"/>
          <w:shd w:val="clear" w:color="auto" w:fill="FFFFFF"/>
        </w:rPr>
        <w:fldChar w:fldCharType="end"/>
      </w:r>
      <w:r w:rsidR="0013234A">
        <w:rPr>
          <w:rFonts w:ascii="Arial" w:hAnsi="Arial" w:cs="Arial"/>
          <w:color w:val="000000"/>
          <w:szCs w:val="16"/>
          <w:shd w:val="clear" w:color="auto" w:fill="FFFFFF"/>
        </w:rPr>
        <w:t xml:space="preserve"> for a discussion of the early use of social indicators in New Zealand.</w:t>
      </w:r>
    </w:p>
  </w:footnote>
  <w:footnote w:id="22">
    <w:p w14:paraId="6F695E69" w14:textId="64228B74" w:rsidR="001B1FB0" w:rsidRDefault="001B1FB0">
      <w:pPr>
        <w:pStyle w:val="FootnoteText"/>
      </w:pPr>
      <w:r w:rsidRPr="009006D7">
        <w:rPr>
          <w:rStyle w:val="FootnoteReference"/>
        </w:rPr>
        <w:footnoteRef/>
      </w:r>
      <w:r>
        <w:t xml:space="preserve"> </w:t>
      </w:r>
      <w:r>
        <w:tab/>
        <w:t xml:space="preserve">See </w:t>
      </w:r>
      <w:r w:rsidR="001963E5">
        <w:t xml:space="preserve">Wilson and Fry </w:t>
      </w:r>
      <w:r w:rsidR="0037413C">
        <w:fldChar w:fldCharType="begin"/>
      </w:r>
      <w:r w:rsidR="009B0EC4">
        <w:instrText xml:space="preserve"> ADDIN ZOTERO_ITEM CSL_CITATION {"citationID":"hLydSxl6","properties":{"formattedCitation":"(2019)","plainCitation":"(2019)","noteIndex":21},"citationItems":[{"id":14101,"uris":["http://zotero.org/groups/4623831/items/38IJYY4G"],"itemData":{"id":14101,"type":"report","event-place":"Wellington","genre":"NZIER public discussion paper","license":"All rights reserved","number":"2019/1","publisher":"New Zealand Institute of Economic Research","publisher-place":"Wellington","title":"Kia māia: Be bold Improving the wellbeing of children living in poverty","author":[{"family":"Wilson","given":"Peter"},{"family":"Fry","given":"Julie"}],"issued":{"date-parts":[["2019"]]}},"label":"page","suppress-author":true}],"schema":"https://github.com/citation-style-language/schema/raw/master/csl-citation.json"} </w:instrText>
      </w:r>
      <w:r w:rsidR="0037413C">
        <w:fldChar w:fldCharType="separate"/>
      </w:r>
      <w:r w:rsidR="007363DA" w:rsidRPr="007363DA">
        <w:rPr>
          <w:rFonts w:cs="Calibri"/>
        </w:rPr>
        <w:t>(2019)</w:t>
      </w:r>
      <w:r w:rsidR="0037413C">
        <w:fldChar w:fldCharType="end"/>
      </w:r>
      <w:r w:rsidR="0000416A">
        <w:rPr>
          <w:rFonts w:cs="Calibri"/>
        </w:rPr>
        <w:t xml:space="preserve"> and the references it cites for a discussion on how to operationalise the capability approach.</w:t>
      </w:r>
    </w:p>
  </w:footnote>
  <w:footnote w:id="23">
    <w:p w14:paraId="7152519C" w14:textId="06A3102B" w:rsidR="00D47901" w:rsidRDefault="00D47901">
      <w:pPr>
        <w:pStyle w:val="FootnoteText"/>
      </w:pPr>
      <w:r w:rsidRPr="009006D7">
        <w:rPr>
          <w:rStyle w:val="FootnoteReference"/>
        </w:rPr>
        <w:footnoteRef/>
      </w:r>
      <w:r>
        <w:t xml:space="preserve"> </w:t>
      </w:r>
      <w:r>
        <w:tab/>
        <w:t xml:space="preserve">As we discuss in Section </w:t>
      </w:r>
      <w:r>
        <w:fldChar w:fldCharType="begin"/>
      </w:r>
      <w:r>
        <w:instrText xml:space="preserve"> REF _Ref126316993 \r \h </w:instrText>
      </w:r>
      <w:r>
        <w:fldChar w:fldCharType="separate"/>
      </w:r>
      <w:r w:rsidR="00E06351">
        <w:t>3.5</w:t>
      </w:r>
      <w:r>
        <w:fldChar w:fldCharType="end"/>
      </w:r>
      <w:r>
        <w:t xml:space="preserve">, </w:t>
      </w:r>
      <w:r w:rsidR="00434604">
        <w:t xml:space="preserve">one criticism of accountability regimes is that they result in ‘accountability overload’, where </w:t>
      </w:r>
      <w:r w:rsidR="00B238B1">
        <w:t xml:space="preserve">compliance activities can stifle flexibility, innovation and risk-taking. </w:t>
      </w:r>
      <w:r w:rsidR="00F26933">
        <w:t xml:space="preserve">See </w:t>
      </w:r>
      <w:proofErr w:type="spellStart"/>
      <w:r w:rsidR="00F26933">
        <w:t>Besley</w:t>
      </w:r>
      <w:proofErr w:type="spellEnd"/>
      <w:r w:rsidR="00F26933">
        <w:t xml:space="preserve"> and </w:t>
      </w:r>
      <w:proofErr w:type="spellStart"/>
      <w:r w:rsidR="00F26933">
        <w:t>Ghatak</w:t>
      </w:r>
      <w:proofErr w:type="spellEnd"/>
      <w:r w:rsidR="00F26933">
        <w:t xml:space="preserve"> </w:t>
      </w:r>
      <w:r w:rsidR="00F26933">
        <w:fldChar w:fldCharType="begin"/>
      </w:r>
      <w:r w:rsidR="009B0EC4">
        <w:instrText xml:space="preserve"> ADDIN ZOTERO_ITEM CSL_CITATION {"citationID":"03RiuxOQ","properties":{"formattedCitation":"(2003)","plainCitation":"(2003)","noteIndex":22},"citationItems":[{"id":18686,"uris":["http://zotero.org/groups/4801058/items/AA7XILNK"],"itemData":{"id":18686,"type":"article-journal","abstract":"This paper discusses a theoretical framework to study the issues of competition and incentives without relying on the standard profit‐oriented ‘market’ model in the context of the debates about public‐service reform in the UK. It uses the idea that the production of public services coheres around a mission, and discusses how decentralized service provision can raise productivity by matching motivated workers to their preferred missions. Our focus on competition and incentives cuts across traditional debates about public versus private ownership and allows for the possibility of involving private non‐profit organizations. We also address concerns about the consequences of allowing more flexibility in mission design and competition on inequality.","container-title":"Oxford Review of Economic Policy","DOI":"10.1093/oxrep/19.2.235","ISSN":"0266-903X","issue":"2","journalAbbreviation":"Oxford Review of Economic Policy","page":"235-249","source":"Silverchair","title":"Incentives, Choice, and Accountability in the Provision of Public Services","volume":"19","author":[{"family":"Besley","given":"Timothy"},{"family":"Ghatak","given":"Maitreesh"}],"issued":{"date-parts":[["2003",6,1]]}},"label":"page","suppress-author":true}],"schema":"https://github.com/citation-style-language/schema/raw/master/csl-citation.json"} </w:instrText>
      </w:r>
      <w:r w:rsidR="00F26933">
        <w:fldChar w:fldCharType="separate"/>
      </w:r>
      <w:r w:rsidR="00F26933" w:rsidRPr="00F26933">
        <w:rPr>
          <w:rFonts w:cs="Calibri"/>
        </w:rPr>
        <w:t>(2003)</w:t>
      </w:r>
      <w:r w:rsidR="00F26933">
        <w:fldChar w:fldCharType="end"/>
      </w:r>
      <w:r w:rsidR="00583FB1">
        <w:t xml:space="preserve"> </w:t>
      </w:r>
      <w:r w:rsidR="00F26933">
        <w:t>for a conceptual discussion of the effective of accountability on the activities of NGOs.</w:t>
      </w:r>
    </w:p>
  </w:footnote>
  <w:footnote w:id="24">
    <w:p w14:paraId="65A80AC9" w14:textId="4AB21367" w:rsidR="001D55C1" w:rsidRPr="004004A3" w:rsidRDefault="001D55C1" w:rsidP="00D0118B">
      <w:pPr>
        <w:ind w:left="450" w:hanging="450"/>
        <w:rPr>
          <w:rFonts w:cs="Calibri"/>
          <w:sz w:val="16"/>
          <w:szCs w:val="16"/>
        </w:rPr>
      </w:pPr>
      <w:r w:rsidRPr="009006D7">
        <w:rPr>
          <w:rStyle w:val="FootnoteReference"/>
        </w:rPr>
        <w:footnoteRef/>
      </w:r>
      <w:r>
        <w:t xml:space="preserve"> </w:t>
      </w:r>
      <w:r>
        <w:tab/>
      </w:r>
      <w:r w:rsidRPr="004004A3">
        <w:rPr>
          <w:rFonts w:cs="Calibri"/>
          <w:sz w:val="16"/>
          <w:szCs w:val="16"/>
        </w:rPr>
        <w:t xml:space="preserve">Aries </w:t>
      </w:r>
      <w:proofErr w:type="spellStart"/>
      <w:r w:rsidRPr="004004A3">
        <w:rPr>
          <w:rFonts w:cs="Calibri"/>
          <w:sz w:val="16"/>
          <w:szCs w:val="16"/>
        </w:rPr>
        <w:t>Arugay</w:t>
      </w:r>
      <w:proofErr w:type="spellEnd"/>
      <w:r w:rsidRPr="004004A3">
        <w:rPr>
          <w:rFonts w:cs="Calibri"/>
          <w:sz w:val="16"/>
          <w:szCs w:val="16"/>
        </w:rPr>
        <w:t>, however, goes further and suggests that accountability can be pursued for it</w:t>
      </w:r>
      <w:r>
        <w:rPr>
          <w:rFonts w:cs="Calibri"/>
          <w:sz w:val="16"/>
          <w:szCs w:val="16"/>
        </w:rPr>
        <w:t>s</w:t>
      </w:r>
      <w:r w:rsidRPr="004004A3">
        <w:rPr>
          <w:rFonts w:cs="Calibri"/>
          <w:sz w:val="16"/>
          <w:szCs w:val="16"/>
        </w:rPr>
        <w:t xml:space="preserve"> own sake: </w:t>
      </w:r>
    </w:p>
    <w:p w14:paraId="709B27A5" w14:textId="39D914F8" w:rsidR="001D55C1" w:rsidRPr="006B532F" w:rsidRDefault="001D55C1" w:rsidP="004004A3">
      <w:pPr>
        <w:pStyle w:val="Quote"/>
        <w:jc w:val="left"/>
        <w:rPr>
          <w:i w:val="0"/>
          <w:iCs w:val="0"/>
          <w:color w:val="auto"/>
        </w:rPr>
      </w:pPr>
      <w:r w:rsidRPr="004004A3">
        <w:rPr>
          <w:rFonts w:ascii="Calibri" w:hAnsi="Calibri" w:cs="Calibri"/>
          <w:color w:val="auto"/>
          <w:sz w:val="16"/>
          <w:szCs w:val="16"/>
        </w:rPr>
        <w:t xml:space="preserve">Accountability through democratic means also provides guarantees that the most vulnerable groups in society and those discriminated </w:t>
      </w:r>
      <w:proofErr w:type="gramStart"/>
      <w:r w:rsidRPr="004004A3">
        <w:rPr>
          <w:rFonts w:ascii="Calibri" w:hAnsi="Calibri" w:cs="Calibri"/>
          <w:color w:val="auto"/>
          <w:sz w:val="16"/>
          <w:szCs w:val="16"/>
        </w:rPr>
        <w:t>on the basis of</w:t>
      </w:r>
      <w:proofErr w:type="gramEnd"/>
      <w:r w:rsidRPr="004004A3">
        <w:rPr>
          <w:rFonts w:ascii="Calibri" w:hAnsi="Calibri" w:cs="Calibri"/>
          <w:color w:val="auto"/>
          <w:sz w:val="16"/>
          <w:szCs w:val="16"/>
        </w:rPr>
        <w:t xml:space="preserve"> identity, age, income, disability, power and sexual orientation can claim their human rights to health, education, water and other public services on the same basis as other citizens. </w:t>
      </w:r>
      <w:proofErr w:type="gramStart"/>
      <w:r w:rsidRPr="004004A3">
        <w:rPr>
          <w:rFonts w:ascii="Calibri" w:hAnsi="Calibri" w:cs="Calibri"/>
          <w:color w:val="auto"/>
          <w:sz w:val="16"/>
          <w:szCs w:val="16"/>
        </w:rPr>
        <w:t>Therefore</w:t>
      </w:r>
      <w:proofErr w:type="gramEnd"/>
      <w:r w:rsidRPr="004004A3">
        <w:rPr>
          <w:rFonts w:ascii="Calibri" w:hAnsi="Calibri" w:cs="Calibri"/>
          <w:color w:val="auto"/>
          <w:sz w:val="16"/>
          <w:szCs w:val="16"/>
        </w:rPr>
        <w:t xml:space="preserve"> democratic accountability not only involves popular control over decision-making; it also means ensuring inclusiveness in the entire process, with safeguards that marginalized and disempowered groups are given equal access, opportunities and resources to voice their demands and participate in holding those in power to account. Accountability should not only be appreciated because it </w:t>
      </w:r>
      <w:r w:rsidRPr="0049401C">
        <w:rPr>
          <w:rFonts w:ascii="Calibri" w:hAnsi="Calibri" w:cs="Calibri"/>
          <w:color w:val="auto"/>
          <w:sz w:val="16"/>
          <w:szCs w:val="16"/>
        </w:rPr>
        <w:t>leads to more efficient services. It must be pursued for its own sake as an exercise in active and social citizenship.</w:t>
      </w:r>
      <w:r w:rsidR="006A0E0F">
        <w:rPr>
          <w:rFonts w:ascii="Calibri" w:hAnsi="Calibri" w:cs="Calibri"/>
          <w:color w:val="auto"/>
          <w:sz w:val="16"/>
          <w:szCs w:val="16"/>
        </w:rPr>
        <w:t xml:space="preserve"> </w:t>
      </w:r>
      <w:r w:rsidRPr="006A0E0F">
        <w:rPr>
          <w:rFonts w:ascii="Calibri" w:hAnsi="Calibri" w:cs="Calibri"/>
          <w:i w:val="0"/>
          <w:iCs w:val="0"/>
          <w:color w:val="auto"/>
          <w:sz w:val="16"/>
          <w:szCs w:val="16"/>
        </w:rPr>
        <w:fldChar w:fldCharType="begin"/>
      </w:r>
      <w:r w:rsidR="009B0EC4">
        <w:rPr>
          <w:rFonts w:ascii="Calibri" w:hAnsi="Calibri" w:cs="Calibri"/>
          <w:i w:val="0"/>
          <w:iCs w:val="0"/>
          <w:color w:val="auto"/>
          <w:sz w:val="16"/>
          <w:szCs w:val="16"/>
        </w:rPr>
        <w:instrText xml:space="preserve"> ADDIN ZOTERO_ITEM CSL_CITATION {"citationID":"TWlC0zDw","properties":{"formattedCitation":"(Arugay 2016, 8, internal citations omitted.)","plainCitation":"(Arugay 2016, 8, internal citations omitted.)","noteIndex":23},"citationItems":[{"id":18470,"uris":["http://zotero.org/groups/4801058/items/5SX7WPBV"],"itemData":{"id":18470,"type":"report","event-place":"Stockholm","genre":"International IDEA Discussion Paper","number":"No. 16/2016","publisher":"International Institute for Democracy and Electoral Assistance","publisher-place":"Stockholm","title":"Sanctions, Rewards and Learning: Enforcing democratic accountability in the delivery of health, education, and water, sanitation and hygiene","URL":"https://www.idea.int/publications/catalogue/sanctions-rewards-and-learning-enforcing-democratic-accountability-delivery","author":[{"family":"Arugay","given":"Aries"}],"accessed":{"date-parts":[["2023",1,16]]},"issued":{"date-parts":[["2016"]]}},"locator":"8","label":"page","suffix":", internal citations omitted."}],"schema":"https://github.com/citation-style-language/schema/raw/master/csl-citation.json"} </w:instrText>
      </w:r>
      <w:r w:rsidRPr="006A0E0F">
        <w:rPr>
          <w:rFonts w:ascii="Calibri" w:hAnsi="Calibri" w:cs="Calibri"/>
          <w:i w:val="0"/>
          <w:iCs w:val="0"/>
          <w:color w:val="auto"/>
          <w:sz w:val="16"/>
          <w:szCs w:val="16"/>
        </w:rPr>
        <w:fldChar w:fldCharType="separate"/>
      </w:r>
      <w:r w:rsidR="00405A7F" w:rsidRPr="006B532F">
        <w:rPr>
          <w:rFonts w:ascii="Calibri" w:hAnsi="Calibri" w:cs="Calibri"/>
          <w:i w:val="0"/>
          <w:iCs w:val="0"/>
          <w:color w:val="auto"/>
          <w:sz w:val="16"/>
        </w:rPr>
        <w:t>(</w:t>
      </w:r>
      <w:proofErr w:type="spellStart"/>
      <w:r w:rsidR="00405A7F" w:rsidRPr="006B532F">
        <w:rPr>
          <w:rFonts w:ascii="Calibri" w:hAnsi="Calibri" w:cs="Calibri"/>
          <w:i w:val="0"/>
          <w:iCs w:val="0"/>
          <w:color w:val="auto"/>
          <w:sz w:val="16"/>
        </w:rPr>
        <w:t>Arugay</w:t>
      </w:r>
      <w:proofErr w:type="spellEnd"/>
      <w:r w:rsidR="00405A7F" w:rsidRPr="006B532F">
        <w:rPr>
          <w:rFonts w:ascii="Calibri" w:hAnsi="Calibri" w:cs="Calibri"/>
          <w:i w:val="0"/>
          <w:iCs w:val="0"/>
          <w:color w:val="auto"/>
          <w:sz w:val="16"/>
        </w:rPr>
        <w:t xml:space="preserve"> 2016, 8, internal citations omitted.)</w:t>
      </w:r>
      <w:r w:rsidRPr="006A0E0F">
        <w:rPr>
          <w:rFonts w:ascii="Calibri" w:hAnsi="Calibri" w:cs="Calibri"/>
          <w:i w:val="0"/>
          <w:iCs w:val="0"/>
          <w:color w:val="auto"/>
          <w:sz w:val="16"/>
          <w:szCs w:val="16"/>
        </w:rPr>
        <w:fldChar w:fldCharType="end"/>
      </w:r>
      <w:r w:rsidRPr="006A0E0F">
        <w:rPr>
          <w:rFonts w:ascii="Calibri" w:hAnsi="Calibri" w:cs="Calibri"/>
          <w:i w:val="0"/>
          <w:iCs w:val="0"/>
          <w:color w:val="auto"/>
          <w:sz w:val="16"/>
          <w:szCs w:val="16"/>
        </w:rPr>
        <w:t xml:space="preserve"> </w:t>
      </w:r>
    </w:p>
  </w:footnote>
  <w:footnote w:id="25">
    <w:p w14:paraId="6E59BB04" w14:textId="77777777" w:rsidR="00E514CD" w:rsidRDefault="00E514CD" w:rsidP="00E514CD">
      <w:pPr>
        <w:pStyle w:val="FootnoteText"/>
      </w:pPr>
      <w:r w:rsidRPr="009006D7">
        <w:rPr>
          <w:rStyle w:val="FootnoteReference"/>
        </w:rPr>
        <w:footnoteRef/>
      </w:r>
      <w:r>
        <w:t xml:space="preserve"> </w:t>
      </w:r>
      <w:r>
        <w:tab/>
        <w:t xml:space="preserve">While we will almost always be interested in both people </w:t>
      </w:r>
      <w:proofErr w:type="gramStart"/>
      <w:r>
        <w:t>actually experiencing</w:t>
      </w:r>
      <w:proofErr w:type="gramEnd"/>
      <w:r>
        <w:t xml:space="preserve"> persistent disadvantage and those at risk of doing so, </w:t>
      </w:r>
      <w:r w:rsidRPr="00C17EFC">
        <w:t xml:space="preserve">for reasons of language economy </w:t>
      </w:r>
      <w:r>
        <w:t>we may often just refer to the former.</w:t>
      </w:r>
    </w:p>
  </w:footnote>
  <w:footnote w:id="26">
    <w:p w14:paraId="5FDDE532" w14:textId="2404262E" w:rsidR="00B718AD" w:rsidRDefault="00B718AD">
      <w:pPr>
        <w:pStyle w:val="FootnoteText"/>
      </w:pPr>
      <w:r w:rsidRPr="009006D7">
        <w:rPr>
          <w:rStyle w:val="FootnoteReference"/>
        </w:rPr>
        <w:footnoteRef/>
      </w:r>
      <w:r>
        <w:t xml:space="preserve"> </w:t>
      </w:r>
      <w:r w:rsidR="003F284C">
        <w:tab/>
        <w:t xml:space="preserve">We discuss in </w:t>
      </w:r>
      <w:r w:rsidR="001F7768">
        <w:t>s</w:t>
      </w:r>
      <w:r w:rsidR="003F284C">
        <w:t>ection</w:t>
      </w:r>
      <w:r w:rsidR="009328AC">
        <w:t xml:space="preserve">s </w:t>
      </w:r>
      <w:r w:rsidR="009328AC">
        <w:fldChar w:fldCharType="begin"/>
      </w:r>
      <w:r w:rsidR="009328AC">
        <w:instrText xml:space="preserve"> REF _Ref125961989 \r \h </w:instrText>
      </w:r>
      <w:r w:rsidR="009328AC">
        <w:fldChar w:fldCharType="separate"/>
      </w:r>
      <w:r w:rsidR="00E06351">
        <w:t>2.5.6</w:t>
      </w:r>
      <w:r w:rsidR="009328AC">
        <w:fldChar w:fldCharType="end"/>
      </w:r>
      <w:r w:rsidR="009328AC">
        <w:t xml:space="preserve"> and </w:t>
      </w:r>
      <w:r w:rsidR="009328AC">
        <w:fldChar w:fldCharType="begin"/>
      </w:r>
      <w:r w:rsidR="009328AC">
        <w:instrText xml:space="preserve"> REF _Ref125962011 \r \h </w:instrText>
      </w:r>
      <w:r w:rsidR="009328AC">
        <w:fldChar w:fldCharType="separate"/>
      </w:r>
      <w:r w:rsidR="00E06351">
        <w:t>3.9.2</w:t>
      </w:r>
      <w:r w:rsidR="009328AC">
        <w:fldChar w:fldCharType="end"/>
      </w:r>
      <w:r w:rsidR="009328AC">
        <w:t xml:space="preserve"> </w:t>
      </w:r>
      <w:r w:rsidR="003F284C">
        <w:t xml:space="preserve">some examples </w:t>
      </w:r>
      <w:r w:rsidR="006B3E8D">
        <w:t>where</w:t>
      </w:r>
      <w:r w:rsidR="003F284C">
        <w:t xml:space="preserve"> governments have become bound by such commitments</w:t>
      </w:r>
      <w:r w:rsidR="00EA795C">
        <w:t xml:space="preserve">. </w:t>
      </w:r>
    </w:p>
  </w:footnote>
  <w:footnote w:id="27">
    <w:p w14:paraId="2430A0C7" w14:textId="180763C1" w:rsidR="0094365D" w:rsidRPr="00F0646E" w:rsidRDefault="0094365D" w:rsidP="0094365D">
      <w:pPr>
        <w:pStyle w:val="FootnoteText"/>
      </w:pPr>
      <w:r w:rsidRPr="009006D7">
        <w:rPr>
          <w:rStyle w:val="FootnoteReference"/>
        </w:rPr>
        <w:footnoteRef/>
      </w:r>
      <w:r w:rsidRPr="00F0646E">
        <w:t xml:space="preserve"> </w:t>
      </w:r>
      <w:r w:rsidRPr="00F0646E">
        <w:tab/>
        <w:t>Authors from the United States write within the strong ‘separation of powers’ framework that underpins the United States’ system of government. In that framework, the parliament (Congress) has an independent role in the oversight of the actions of the President and the Executive branch. The Courts have a separate independent role in ensuring that legislation is constitutional, especially when it comes to the rights contained in Bill of Rights. Writers from Commonwealth countries are more familiar with the ‘Westminster’ system of responsible government, where ministers are members of the governing political parties and where the principle of ‘parliamentary sovereignty’ limits the role of the Courts</w:t>
      </w:r>
      <w:r w:rsidR="0097718C">
        <w:t xml:space="preserve">. </w:t>
      </w:r>
      <w:r w:rsidRPr="00F0646E">
        <w:t xml:space="preserve">European literature is mixed, given the different constitutional structures in place there. The more modern European writers place significant weight on the structures and practices of the European Union, a type of supra-national structure that has no real counterpart in New Zealand. </w:t>
      </w:r>
    </w:p>
  </w:footnote>
  <w:footnote w:id="28">
    <w:p w14:paraId="58AB7218" w14:textId="1FB99587" w:rsidR="001E29AB" w:rsidRPr="00F0646E" w:rsidRDefault="001E29AB" w:rsidP="001E29AB">
      <w:pPr>
        <w:pStyle w:val="FootnoteText"/>
      </w:pPr>
      <w:r w:rsidRPr="009006D7">
        <w:rPr>
          <w:rStyle w:val="FootnoteReference"/>
        </w:rPr>
        <w:footnoteRef/>
      </w:r>
      <w:r w:rsidRPr="00F0646E">
        <w:t xml:space="preserve"> </w:t>
      </w:r>
      <w:r w:rsidRPr="00F0646E">
        <w:tab/>
      </w:r>
      <w:r w:rsidR="00F72715" w:rsidRPr="00F20D3F">
        <w:t xml:space="preserve">Given the </w:t>
      </w:r>
      <w:r w:rsidR="00EB7C04">
        <w:t xml:space="preserve">difficulty </w:t>
      </w:r>
      <w:r w:rsidR="006239D3">
        <w:t xml:space="preserve">in </w:t>
      </w:r>
      <w:r w:rsidR="006239D3" w:rsidRPr="00F20D3F">
        <w:t>determining</w:t>
      </w:r>
      <w:r w:rsidR="00B15C47">
        <w:t xml:space="preserve"> </w:t>
      </w:r>
      <w:r w:rsidR="00F72715" w:rsidRPr="00F20D3F">
        <w:t>causation</w:t>
      </w:r>
      <w:r w:rsidR="00B15C47">
        <w:t xml:space="preserve"> in the absence of a clear counterfactual</w:t>
      </w:r>
      <w:r w:rsidR="00F72715" w:rsidRPr="00F20D3F">
        <w:t xml:space="preserve">, this may always be the case. Nonetheless, policy decisions </w:t>
      </w:r>
      <w:r w:rsidR="00041E30" w:rsidRPr="00F20D3F">
        <w:t>must</w:t>
      </w:r>
      <w:r w:rsidR="00F72715" w:rsidRPr="00F20D3F">
        <w:t xml:space="preserve"> be made in the absence of complete information.</w:t>
      </w:r>
      <w:r w:rsidR="00776F6B">
        <w:t xml:space="preserve"> </w:t>
      </w:r>
      <w:r w:rsidRPr="00F0646E">
        <w:t xml:space="preserve">This </w:t>
      </w:r>
      <w:r w:rsidR="00AA3445">
        <w:t xml:space="preserve">tension </w:t>
      </w:r>
      <w:r w:rsidRPr="00F0646E">
        <w:t xml:space="preserve">is evident in other research, for example see New Zealand Productivity Commission </w:t>
      </w:r>
      <w:r w:rsidRPr="00F0646E">
        <w:fldChar w:fldCharType="begin"/>
      </w:r>
      <w:r w:rsidR="009B0EC4">
        <w:instrText xml:space="preserve"> ADDIN ZOTERO_ITEM CSL_CITATION {"citationID":"CLIrE1UN","properties":{"formattedCitation":"(2022d)","plainCitation":"(2022d)","noteIndex":27},"citationItems":[{"id":16553,"uris":["http://zotero.org/groups/4801058/items/BR7LTTS3"],"itemData":{"id":16553,"type":"report","event-place":"Wellington","publisher":"New Zealand Productivity Commission","publisher-place":"Wellington","title":"Te puna körero: Understanding persistent disadvantage in Aotearoa New Zealand","author":[{"family":"New Zealand Productivity Commission","given":""}],"issued":{"date-parts":[["2022"]]}},"label":"page","suppress-author":true}],"schema":"https://github.com/citation-style-language/schema/raw/master/csl-citation.json"} </w:instrText>
      </w:r>
      <w:r w:rsidRPr="00F0646E">
        <w:fldChar w:fldCharType="separate"/>
      </w:r>
      <w:r w:rsidRPr="00F0646E">
        <w:rPr>
          <w:rFonts w:cs="Calibri"/>
        </w:rPr>
        <w:t>(2022d)</w:t>
      </w:r>
      <w:r w:rsidRPr="00F0646E">
        <w:fldChar w:fldCharType="end"/>
      </w:r>
      <w:r w:rsidRPr="00F0646E">
        <w:t xml:space="preserve"> and </w:t>
      </w:r>
      <w:r w:rsidRPr="00DD5548">
        <w:t>Boston and Chapple</w:t>
      </w:r>
      <w:r w:rsidR="00A92BD8" w:rsidRPr="00DD5548">
        <w:t xml:space="preserve"> </w:t>
      </w:r>
      <w:r w:rsidR="00A92BD8" w:rsidRPr="00DD5548">
        <w:fldChar w:fldCharType="begin"/>
      </w:r>
      <w:r w:rsidR="009B0EC4">
        <w:instrText xml:space="preserve"> ADDIN ZOTERO_ITEM CSL_CITATION {"citationID":"JTJdq1Jl","properties":{"formattedCitation":"(2014)","plainCitation":"(2014)","noteIndex":27},"citationItems":[{"id":4400,"uris":["http://zotero.org/users/4659042/items/LBPT5C28"],"itemData":{"id":4400,"type":"book","call-number":"HQ792.N45 B67 2014","event-place":"Wellington, New Zealand","ISBN":"978-1-927247-86-0","number-of-pages":"296","publisher":"Bridget Williams Books","publisher-place":"Wellington, New Zealand","source":"Library of Congress ISBN","title":"Child poverty in New Zealand","author":[{"family":"Boston","given":"Jonathan"},{"family":"Chapple","given":"Simon"}],"issued":{"date-parts":[["2014"]]}},"label":"page","suppress-author":true}],"schema":"https://github.com/citation-style-language/schema/raw/master/csl-citation.json"} </w:instrText>
      </w:r>
      <w:r w:rsidR="00A92BD8" w:rsidRPr="00DD5548">
        <w:fldChar w:fldCharType="separate"/>
      </w:r>
      <w:r w:rsidR="00A92BD8" w:rsidRPr="00DD5548">
        <w:rPr>
          <w:rFonts w:cs="Calibri"/>
        </w:rPr>
        <w:t>(2014)</w:t>
      </w:r>
      <w:r w:rsidR="00A92BD8" w:rsidRPr="00DD5548">
        <w:fldChar w:fldCharType="end"/>
      </w:r>
      <w:r w:rsidRPr="00A92BD8">
        <w:t>.</w:t>
      </w:r>
      <w:r w:rsidRPr="00F0646E">
        <w:t xml:space="preserve"> The Children’s Commissioner’s Expert Advisory Group on Solutions to Child Poverty issued a working paper on the causes of child poverty that deliberately focused on what it called proximate causes rather than the more fundamental or underlying causes. Thus they discussed attributes that are often associated with poverty, like low market income and poor housing, rather than developing a comprehensive theory of why some people experience disadvantage while others do not </w:t>
      </w:r>
      <w:r w:rsidRPr="00F0646E">
        <w:fldChar w:fldCharType="begin"/>
      </w:r>
      <w:r w:rsidR="009B0EC4">
        <w:instrText xml:space="preserve"> ADDIN ZOTERO_ITEM CSL_CITATION {"citationID":"JUdx8AP3","properties":{"formattedCitation":"(Children\\uc0\\u8217{}s Commissioner\\uc0\\u8217{}s Expert Advisory Group on Solutions to Child Poverty 2012)","plainCitation":"(Children’s Commissioner’s Expert Advisory Group on Solutions to Child Poverty 2012)","noteIndex":27},"citationItems":[{"id":16955,"uris":["http://zotero.org/groups/4801058/items/IEEMMLXJ"],"itemData":{"id":16955,"type":"report","collection-title":"Expert Advisory Group Working Papers","event-place":"Wellington","number":"No. 3","publisher":"Office of the Children's Commissioner","publisher-place":"Wellington","title":"What causes child poverty?","author":[{"literal":"Children’s Commissioner’s Expert Advisory Group on Solutions to Child Poverty"}],"issued":{"date-parts":[["2012"]]}}}],"schema":"https://github.com/citation-style-language/schema/raw/master/csl-citation.json"} </w:instrText>
      </w:r>
      <w:r w:rsidRPr="00F0646E">
        <w:fldChar w:fldCharType="separate"/>
      </w:r>
      <w:r w:rsidRPr="00F0646E">
        <w:rPr>
          <w:rFonts w:cs="Calibri"/>
          <w:szCs w:val="24"/>
        </w:rPr>
        <w:t>(Children’s Commissioner’s Expert Advisory Group on Solutions to Child Poverty 2012)</w:t>
      </w:r>
      <w:r w:rsidRPr="00F0646E">
        <w:fldChar w:fldCharType="end"/>
      </w:r>
      <w:r w:rsidRPr="00F0646E">
        <w:t>. The latest technical report of the New Zealand Child Poverty Monitor likewise presents granular analysis of</w:t>
      </w:r>
      <w:r w:rsidR="00354ED4">
        <w:t xml:space="preserve"> the</w:t>
      </w:r>
      <w:r w:rsidRPr="00F0646E">
        <w:t xml:space="preserve"> distribution of the incidence of poverty </w:t>
      </w:r>
      <w:r w:rsidR="00CE3E73">
        <w:t xml:space="preserve">through examining factors including </w:t>
      </w:r>
      <w:r w:rsidRPr="00F0646E">
        <w:t>low income, housing</w:t>
      </w:r>
      <w:r w:rsidR="00CE3E73" w:rsidRPr="00CE3E73">
        <w:t xml:space="preserve"> </w:t>
      </w:r>
      <w:r w:rsidR="00CE3E73" w:rsidRPr="00F0646E">
        <w:t>quality</w:t>
      </w:r>
      <w:r w:rsidR="00CE3E73">
        <w:t xml:space="preserve"> and</w:t>
      </w:r>
      <w:r w:rsidRPr="00F0646E">
        <w:t xml:space="preserve"> access to primary health care </w:t>
      </w:r>
      <w:r w:rsidRPr="00F0646E">
        <w:fldChar w:fldCharType="begin"/>
      </w:r>
      <w:r w:rsidR="009B0EC4">
        <w:instrText xml:space="preserve"> ADDIN ZOTERO_ITEM CSL_CITATION {"citationID":"17ODWnLk","properties":{"formattedCitation":"(Duncanson et al. 2021)","plainCitation":"(Duncanson et al. 2021)","noteIndex":27},"citationItems":[{"id":16957,"uris":["http://zotero.org/groups/4801058/items/FC5EQXGE"],"itemData":{"id":16957,"type":"article-journal","abstract":"The Child Poverty Monitor is a partnership between the J R McKenzie Trust, the Office of the Children’s Commissioner, and the New Zealand Child and Youth Epidemiology Service (NZCYES) at the University of Otago.  \nThe ninth annual Child Poverty Monitor technical report begins with the voices of tamariki. Their voices remind all readers about the world to which we aspire, a society where every child is valued and enjoys their right to thrive and achieve their potential.1,2 Taitamariki are acutely aware of the barriers that stop them from enjoying their right to a good life. Poverty, racism and discrimination can mean that whānau and children struggle to meet everyday needs and miss out on opportunities that most in Aotearoa take for granted.3 In reflecting on what makes a good life, children and young people talk about the importance of strong family relationships, with supported parents, in a community that loves and accepts them.4  \nThe technical report presents the most recent child poverty statistics with commentary on how well Government targets are being met for different groups of children. Analysis by Dr Bryan Perry is presented to demonstrate how household circumstances are associated with low income and material hardship. The wider social and economic context is considered in a section including data about financial assistance to eligible households, barriers to good work, housing, and food security. Child poverty related indicators in health include access to primary care, as well as deaths and hospitalisations of children and immunisation coverage. Use of physical punishment, care and protection notifications and fatal and non-fatal injury as a result of assault, neglect or maltreatment are indicators of child safety. Attendance at school and educational achievement are also presented in this report.  \nThere is a lag between collection of data in national surveys and publication of the results. The child poverty statistics are based on data collection for the 2019/20 Household Economic Survey that concluded in March 2020 before the first nationwide lockdown. Health data are presented to the end of the 2020 calendar year, and do not reflect the surge in hospitalisations in 2021 with a high number of hospitalisations due to respiratory syncytial virus (RSV) infections.5 The national peak rate of RSV hospitalisations in 2021 was three times as high as the average peaks in the previous five years.5 \nExpanded data collection in the household economic survey allows disaggregation of child poverty statistics by ethnicity and by disability status of the child and members of the child’s household. These analyses reveal inequity in the outcomes of measures to reduce child poverty. European children have met the population level targets for proportions living in low-income households or in households experiencing material hardship. Implementation of policies that overcomes systemic disadvantage are needed to extend this achievement to all children and their households, including tamariki Māori, Pacific children and disabled children. \nHealth data show the remarkable and significant fall in hospitalisation rates for potentially avoidable hospitalisations associated with closed borders in Aotearoa and a six-week period of restricted movement during the initial response to the global COVID-19 pandemic. Child health services have, however reported increased hospitalisation rates for eating disorders following the lockdown period.6 and there was evidence of increased psychological distress during the pandemic response.7 \nIn 2020 and 2021 vaccination rates have declined for all children. Māori and Pacific children have faced additional barriers to vaccination, which leaves these communities vulnerable not just to COVID-19 but to the common vaccine-preventable diseases of childhood when borders open and restrictions are eased.  \nInfant mortality statistics show starkly the opportunity to achieve equity in outcomes by reducing sudden unexpected death in infancy rates for pepi Māori and Pacific infants. Support for whānau to access basic health services and transport to reach those services, appropriate and engaging health resources, adequate housing and safe places for infants to sleep, sufficient heating and financial resources, and effective smoking cessation interventions are essential to enable survival and wellbeing from the first days of life.8 \nThe foundations for Aotearoa to be the best place in the world to be a child have been set in place with the commitment of Parliament to the Child Poverty Reduction Act 20189 and the setting of Government targets. No child should be left behind as Aotearoa moves to meet these targets Maori, Pacific and disabled children face a history of barriers caused by racism, colonialism and ableism that get in the way of them living their best lives. This is the time to be ambitious for all mokopuna, not just some, and meet child poverty targets for all children.","ISSN":"2357-2078","language":"en","license":"http://creativecommons.org/licenses/by-nc-nd/4.0/","note":"Accepted: 2021-12-01T19:53:17Z\npublisher: New Zealand Child and Youth Epidemiology Service","source":"ourarchive.otago.ac.nz","title":"Child Poverty Monitor: Technical report 2021","title-short":"Child Poverty Monitor","URL":"https://ourarchive.otago.ac.nz/handle/10523/12540","author":[{"family":"Duncanson","given":"Mavis"},{"family":"Asten","given":"Hedwig","non-dropping-particle":"van"},{"family":"Adams","given":"Judith"},{"family":"McAnally","given":"Helena"},{"family":"Zhang","given":"Xian"},{"family":"Wicken","given":"Andrew"},{"family":"Oben","given":"Glenda"}],"accessed":{"date-parts":[["2022",11,3]]},"issued":{"date-parts":[["2021",12]]}}}],"schema":"https://github.com/citation-style-language/schema/raw/master/csl-citation.json"} </w:instrText>
      </w:r>
      <w:r w:rsidRPr="00F0646E">
        <w:fldChar w:fldCharType="separate"/>
      </w:r>
      <w:r w:rsidRPr="00F0646E">
        <w:rPr>
          <w:rFonts w:cs="Calibri"/>
        </w:rPr>
        <w:t>(Duncanson et al. 2021)</w:t>
      </w:r>
      <w:r w:rsidRPr="00F0646E">
        <w:fldChar w:fldCharType="end"/>
      </w:r>
      <w:r w:rsidRPr="00F0646E">
        <w:t xml:space="preserve">. </w:t>
      </w:r>
      <w:r w:rsidR="00446A32">
        <w:t>Similarly, i</w:t>
      </w:r>
      <w:r w:rsidRPr="00F0646E">
        <w:t>nternational evidence often focuses on income and consumption, rather than looking for underlying causes. See, for example</w:t>
      </w:r>
      <w:r w:rsidRPr="00F0646E">
        <w:fldChar w:fldCharType="begin"/>
      </w:r>
      <w:r w:rsidR="009B0EC4">
        <w:instrText xml:space="preserve"> ADDIN ZOTERO_ITEM CSL_CITATION {"citationID":"i3ovjAlo","properties":{"formattedCitation":"(2021)","plainCitation":"(2021)","dontUpdate":true,"noteIndex":27},"citationItems":[{"id":16963,"uris":["http://zotero.org/groups/4801058/items/QH3WB4D4"],"itemData":{"id":16963,"type":"webpage","abstract":"Information on the main causes of child poverty and how they can vary depending on where children live within Scotland.","language":"en","title":"Causes of child poverty","URL":"http://www.healthscotland.scot/population-groups/children/child-poverty/child-poverty-overview/causes-of-child-poverty","author":[{"family":"Public Health Scotland","given":""}],"accessed":{"date-parts":[["2022",11,3]]},"issued":{"date-parts":[["2021"]]}},"suppress-author":true}],"schema":"https://github.com/citation-style-language/schema/raw/master/csl-citation.json"} </w:instrText>
      </w:r>
      <w:r w:rsidRPr="00F0646E">
        <w:fldChar w:fldCharType="separate"/>
      </w:r>
      <w:r w:rsidRPr="00F0646E">
        <w:rPr>
          <w:rFonts w:cs="Calibri"/>
        </w:rPr>
        <w:t xml:space="preserve"> </w:t>
      </w:r>
      <w:r w:rsidRPr="00F0646E">
        <w:t xml:space="preserve">Duncan and Le </w:t>
      </w:r>
      <w:proofErr w:type="spellStart"/>
      <w:r w:rsidRPr="00F0646E">
        <w:t>Menestrel</w:t>
      </w:r>
      <w:proofErr w:type="spellEnd"/>
      <w:r w:rsidRPr="00F0646E">
        <w:t xml:space="preserve"> </w:t>
      </w:r>
      <w:r w:rsidRPr="00F0646E">
        <w:fldChar w:fldCharType="begin"/>
      </w:r>
      <w:r w:rsidR="009B0EC4">
        <w:instrText xml:space="preserve"> ADDIN ZOTERO_ITEM CSL_CITATION {"citationID":"oViwMYuS","properties":{"formattedCitation":"(2019)","plainCitation":"(2019)","noteIndex":27},"citationItems":[{"id":16965,"uris":["http://zotero.org/groups/4801058/items/VZ4I8NMV"],"itemData":{"id":16965,"type":"book","call-number":"LC4091 .N28 2019","collection-title":"A consensus study report of the Natonal Academies of Sciences, Engineering, Medicine","event-place":"Washington, DC","ISBN":"978-0-309-48398-8","note":"OCLC: on1117342931","number-of-pages":"290","publisher":"The National Academies Press","publisher-place":"Washington, DC","source":"Library of Congress ISBN","title":"A roadmap to reducing child poverty","editor":[{"family":"Duncan","given":"Greg J."},{"family":"Le Menestrel","given":"Suzanne"}],"issued":{"date-parts":[["2019"]]}},"suppress-author":true}],"schema":"https://github.com/citation-style-language/schema/raw/master/csl-citation.json"} </w:instrText>
      </w:r>
      <w:r w:rsidRPr="00F0646E">
        <w:fldChar w:fldCharType="separate"/>
      </w:r>
      <w:r w:rsidRPr="00F0646E">
        <w:rPr>
          <w:rFonts w:cs="Calibri"/>
        </w:rPr>
        <w:t>(2019)</w:t>
      </w:r>
      <w:r w:rsidRPr="00F0646E">
        <w:fldChar w:fldCharType="end"/>
      </w:r>
      <w:r w:rsidRPr="00F0646E">
        <w:t xml:space="preserve"> and </w:t>
      </w:r>
      <w:r w:rsidRPr="00F0646E">
        <w:rPr>
          <w:rFonts w:cs="Calibri"/>
        </w:rPr>
        <w:t>Public Health Scotland (2021)</w:t>
      </w:r>
      <w:r w:rsidRPr="00F0646E">
        <w:fldChar w:fldCharType="end"/>
      </w:r>
      <w:r w:rsidRPr="00F0646E">
        <w:t>.</w:t>
      </w:r>
    </w:p>
  </w:footnote>
  <w:footnote w:id="29">
    <w:p w14:paraId="35C42180" w14:textId="77777777" w:rsidR="00CB04F1" w:rsidRPr="00F0646E" w:rsidRDefault="00CB04F1" w:rsidP="00CB04F1">
      <w:pPr>
        <w:pStyle w:val="FootnoteText"/>
      </w:pPr>
      <w:r w:rsidRPr="009006D7">
        <w:rPr>
          <w:rStyle w:val="FootnoteReference"/>
        </w:rPr>
        <w:footnoteRef/>
      </w:r>
      <w:r w:rsidRPr="00F0646E">
        <w:t xml:space="preserve"> </w:t>
      </w:r>
      <w:r w:rsidRPr="00F0646E">
        <w:tab/>
        <w:t>As the Commission has acknowledged, better data on people in these groups is needed to ensure appropriate outreach and support can be provided.</w:t>
      </w:r>
    </w:p>
  </w:footnote>
  <w:footnote w:id="30">
    <w:p w14:paraId="0DE3204A" w14:textId="77777777" w:rsidR="00917DED" w:rsidRPr="00917DED" w:rsidRDefault="00942031" w:rsidP="00917DED">
      <w:pPr>
        <w:pStyle w:val="FootnoteText"/>
        <w:rPr>
          <w:lang w:val="en-US"/>
        </w:rPr>
      </w:pPr>
      <w:r w:rsidRPr="009006D7">
        <w:rPr>
          <w:rStyle w:val="FootnoteReference"/>
        </w:rPr>
        <w:footnoteRef/>
      </w:r>
      <w:r>
        <w:t xml:space="preserve"> </w:t>
      </w:r>
      <w:r w:rsidR="00917DED">
        <w:rPr>
          <w:lang w:val="en-US"/>
        </w:rPr>
        <w:tab/>
      </w:r>
      <w:r w:rsidR="00917DED" w:rsidRPr="00917DED">
        <w:rPr>
          <w:lang w:val="en-US"/>
        </w:rPr>
        <w:t xml:space="preserve">As David Williams comments: </w:t>
      </w:r>
    </w:p>
    <w:p w14:paraId="467941B3" w14:textId="7A784F13" w:rsidR="00942031" w:rsidRPr="001B3DB6" w:rsidRDefault="00917DED" w:rsidP="001B3DB6">
      <w:pPr>
        <w:pStyle w:val="FootnoteText"/>
        <w:tabs>
          <w:tab w:val="clear" w:pos="425"/>
        </w:tabs>
        <w:ind w:left="720" w:firstLine="0"/>
        <w:rPr>
          <w:lang w:val="en-US"/>
        </w:rPr>
      </w:pPr>
      <w:r w:rsidRPr="001B3DB6">
        <w:rPr>
          <w:i/>
          <w:iCs/>
          <w:lang w:val="en-US"/>
        </w:rPr>
        <w:t xml:space="preserve">Successive government policies of racial amalgamation, assimilation, and integration from 1840 right through to the early 1970s all assumed that </w:t>
      </w:r>
      <w:proofErr w:type="spellStart"/>
      <w:r w:rsidRPr="001B3DB6">
        <w:rPr>
          <w:i/>
          <w:iCs/>
          <w:lang w:val="en-US"/>
        </w:rPr>
        <w:t>civilisation</w:t>
      </w:r>
      <w:proofErr w:type="spellEnd"/>
      <w:r w:rsidRPr="001B3DB6">
        <w:rPr>
          <w:i/>
          <w:iCs/>
          <w:lang w:val="en-US"/>
        </w:rPr>
        <w:t xml:space="preserve"> and integration were a one-way process. Māori learned from the Pakeha; Pakeha had little or nothing to learn from Māori. For reasons thought by governments at the time to be beneficial for Māori, much of our history since 1840 has included the denigration of Māori language and of Māori tribal and cultural knowledge systems. These </w:t>
      </w:r>
      <w:proofErr w:type="gramStart"/>
      <w:r w:rsidRPr="001B3DB6">
        <w:rPr>
          <w:i/>
          <w:iCs/>
          <w:lang w:val="en-US"/>
        </w:rPr>
        <w:t>were considered to be</w:t>
      </w:r>
      <w:proofErr w:type="gramEnd"/>
      <w:r w:rsidRPr="001B3DB6">
        <w:rPr>
          <w:i/>
          <w:iCs/>
          <w:lang w:val="en-US"/>
        </w:rPr>
        <w:t xml:space="preserve"> relics of a bygone superstitious past and irrelevant to a modern people in the contemporary world. The collectivism of Māori societies had to be replaced with the individualism of progress. This policy was most apparent in the eradication of 'beastly communism' by the workings of the Native Land Court. The court was established under a series of Native Land Acts from 1862 onwards to substitute customary tenures of land with an </w:t>
      </w:r>
      <w:proofErr w:type="spellStart"/>
      <w:r w:rsidRPr="001B3DB6">
        <w:rPr>
          <w:i/>
          <w:iCs/>
          <w:lang w:val="en-US"/>
        </w:rPr>
        <w:t>individualised</w:t>
      </w:r>
      <w:proofErr w:type="spellEnd"/>
      <w:r w:rsidRPr="001B3DB6">
        <w:rPr>
          <w:i/>
          <w:iCs/>
          <w:lang w:val="en-US"/>
        </w:rPr>
        <w:t xml:space="preserve"> form of freehold tenure and to facilitate alienation of the freehold land interests to settlers or Crown purchase agents. Assimilation and </w:t>
      </w:r>
      <w:proofErr w:type="spellStart"/>
      <w:r w:rsidRPr="001B3DB6">
        <w:rPr>
          <w:i/>
          <w:iCs/>
          <w:lang w:val="en-US"/>
        </w:rPr>
        <w:t>individualisation</w:t>
      </w:r>
      <w:proofErr w:type="spellEnd"/>
      <w:r w:rsidRPr="001B3DB6">
        <w:rPr>
          <w:i/>
          <w:iCs/>
          <w:lang w:val="en-US"/>
        </w:rPr>
        <w:t xml:space="preserve"> were also the underlying premises of Crown policies towards Māori on the whole gamut of state interventions such as in health, education, housing and criminal justice. </w:t>
      </w:r>
      <w:r w:rsidR="00646496">
        <w:rPr>
          <w:lang w:val="en-US"/>
        </w:rPr>
        <w:fldChar w:fldCharType="begin"/>
      </w:r>
      <w:r w:rsidR="009B0EC4">
        <w:rPr>
          <w:lang w:val="en-US"/>
        </w:rPr>
        <w:instrText xml:space="preserve"> ADDIN ZOTERO_ITEM CSL_CITATION {"citationID":"xfZzXDU5","properties":{"formattedCitation":"(Williams 2004 internal citations omitted)","plainCitation":"(Williams 2004 internal citations omitted)","noteIndex":29},"citationItems":[{"id":17073,"uris":["http://zotero.org/groups/4801058/items/SZUXVVCC"],"itemData":{"id":17073,"type":"article-journal","container-title":"Murdoch University Electronic Journal of Law","issue":"4","title":"Myths, National Origins, Common Law and the Waitangi Tribunal","URL":"http://classic.austlii.edu.au/au/journals/MurdochUeJlLaw/2004/39.html","volume":"11","author":[{"family":"Williams","given":"David V."}],"accessed":{"date-parts":[["2022",11,21]]},"issued":{"date-parts":[["2004"]]}},"suffix":"internal citations omitted"}],"schema":"https://github.com/citation-style-language/schema/raw/master/csl-citation.json"} </w:instrText>
      </w:r>
      <w:r w:rsidR="00646496">
        <w:rPr>
          <w:lang w:val="en-US"/>
        </w:rPr>
        <w:fldChar w:fldCharType="separate"/>
      </w:r>
      <w:r w:rsidR="0039309B" w:rsidRPr="0039309B">
        <w:rPr>
          <w:rFonts w:cs="Calibri"/>
        </w:rPr>
        <w:t>(Williams 2004 internal citations omitted)</w:t>
      </w:r>
      <w:r w:rsidR="00646496">
        <w:rPr>
          <w:lang w:val="en-US"/>
        </w:rPr>
        <w:fldChar w:fldCharType="end"/>
      </w:r>
    </w:p>
  </w:footnote>
  <w:footnote w:id="31">
    <w:p w14:paraId="404609E9" w14:textId="0DB5A0EE" w:rsidR="00CB04F1" w:rsidRPr="00F0646E" w:rsidRDefault="00CB04F1" w:rsidP="00CB04F1">
      <w:pPr>
        <w:pStyle w:val="FootnoteText"/>
      </w:pPr>
      <w:r w:rsidRPr="009006D7">
        <w:rPr>
          <w:rStyle w:val="FootnoteReference"/>
        </w:rPr>
        <w:footnoteRef/>
      </w:r>
      <w:r w:rsidRPr="00F0646E">
        <w:t xml:space="preserve"> </w:t>
      </w:r>
      <w:r w:rsidRPr="00F0646E">
        <w:tab/>
        <w:t>Stats</w:t>
      </w:r>
      <w:r w:rsidR="0074026F">
        <w:t xml:space="preserve"> </w:t>
      </w:r>
      <w:r w:rsidRPr="00F0646E">
        <w:t xml:space="preserve">NZ reports that just over 14 percent of the population of Aotearoa identifies as Māori, New Zealand-born Europeans make up just over half the population and people of European ethnicity – half of whom were born in the United Kingdom </w:t>
      </w:r>
      <w:r w:rsidR="0074026F">
        <w:t>–</w:t>
      </w:r>
      <w:r w:rsidRPr="00F0646E">
        <w:t xml:space="preserve"> are still the largest single group of immigrants. Two</w:t>
      </w:r>
      <w:r w:rsidR="0074026F">
        <w:t>-</w:t>
      </w:r>
      <w:r w:rsidRPr="00F0646E">
        <w:t>thirds of Pacific peoples and about a quarter of the Asian population were born in New Zealand.</w:t>
      </w:r>
    </w:p>
  </w:footnote>
  <w:footnote w:id="32">
    <w:p w14:paraId="74703483" w14:textId="38BC8508" w:rsidR="00CB04F1" w:rsidRPr="00F0646E" w:rsidRDefault="00CB04F1" w:rsidP="00CB04F1">
      <w:pPr>
        <w:pStyle w:val="FootnoteText"/>
      </w:pPr>
      <w:r w:rsidRPr="009006D7">
        <w:rPr>
          <w:rStyle w:val="FootnoteReference"/>
        </w:rPr>
        <w:footnoteRef/>
      </w:r>
      <w:r w:rsidRPr="00F0646E">
        <w:t xml:space="preserve"> </w:t>
      </w:r>
      <w:r w:rsidRPr="00F0646E">
        <w:tab/>
        <w:t xml:space="preserve">We have written elsewhere on the wellbeing of immigrants </w:t>
      </w:r>
      <w:r w:rsidRPr="00F0646E">
        <w:fldChar w:fldCharType="begin"/>
      </w:r>
      <w:r w:rsidR="009B0EC4">
        <w:instrText xml:space="preserve"> ADDIN ZOTERO_ITEM CSL_CITATION {"citationID":"1RBA11a2","properties":{"formattedCitation":"(Fry and Wilson 2017; 2018; 2021; Wilson and Fry 2020; 2022)","plainCitation":"(Fry and Wilson 2017; 2018; 2021; Wilson and Fry 2020; 2022)","noteIndex":31},"citationItems":[{"id":5737,"uris":["http://zotero.org/users/4659042/items/3FYD5EAQ"],"itemData":{"id":5737,"type":"article-journal","abstract":"Two stories wax and wane in New Zealand debates about migration. With record arrivals, falling departures and high net migration, current public concerns are around pressures on housing, infrastructure and publicly funded services like schools and health care. In 1979 people fretted about whether the last one to leave would be turning out the lights.","container-title":"Policy Quarterly","DOI":"10.26686/pq.v13i3.4674","ISSN":"2324-1101","issue":"3","language":"en","license":"Copyright (c)","note":"number: 3","source":"ojs.victoria.ac.nz","title":"Immigration policies that would enhance the well-being of New Zealanders","URL":"https://ojs.victoria.ac.nz/pq/article/view/4674","volume":"13","author":[{"family":"Fry","given":"Julie"},{"family":"Wilson","given":"Peter"}],"accessed":{"date-parts":[["2020",6,14]]},"issued":{"date-parts":[["2017",8,1]]}},"label":"page"},{"id":2525,"uris":["http://zotero.org/users/4659042/items/QY2T26ST"],"itemData":{"id":2525,"type":"book","abstract":"\"Migration is at historically high levels and more than a quarter of the New Zealand population was born overseas. Yet immigration remains a deeply contentious issue, with the debate more often shaped by emotion than evidence. Julie Fry and Peter Wilson have developed a new framework that broadens the scope of how we consider migration policy. Rather than just considering the effect of migration on GDP, they look at factors such as the Treaty of Waitangi. Their goal? Migration policy that acknowledges the complexity of the world we all inhabit.\"--Publisher information","call-number":"JV9262 .F79 2018","collection-title":"BWB Texts","event-place":"Wellington, New Zealand","ISBN":"978-1-988533-75-9","license":"All rights reserved","note":"OCLC: on1029949831","number-of-pages":"280","publisher":"Bridget Williams Books Limited","publisher-place":"Wellington, New Zealand","source":"Library of Congress ISBN","title":"Better lives: migration, wellbeing and New Zealand","title-short":"Better lives","author":[{"family":"Fry","given":"Julie"},{"family":"Wilson","given":"Peter"}],"issued":{"date-parts":[["2018"]]}},"label":"page"},{"id":10762,"uris":["http://zotero.org/users/4659042/items/P5JK88DQ"],"itemData":{"id":10762,"type":"report","event-place":"Wellington","license":"All rights reserved","publisher":"New Zealand Institute of Economic Research","publisher-place":"Wellington","title":"Picking cherries: Evidence on the effects of temporary and seasonal migrants on the New Zealand economy","URL":"https://nzier.org.nz/publication/picking-cherries-evidence-on-the-effects-of-temporary-and-seasonal-migrants-on-the-new-zealand-economy","author":[{"family":"Fry","given":"Julie"},{"family":"Wilson","given":"Peter"}],"issued":{"date-parts":[["2021"]]}},"label":"page"},{"id":7760,"uris":["http://zotero.org/users/4659042/items/I5NW3X7T"],"itemData":{"id":7760,"type":"report","license":"All rights reserved","publisher":"New Zealand Institute of Economic Research","title":"Could do better: Migration and New Zealand’s frontier firms","URL":"https://nzier.org.nz/publication/could-do-better-migration-and-new-zealands-frontier-firms","author":[{"family":"Wilson","given":"Peter"},{"family":"Fry","given":"Julie"}],"accessed":{"date-parts":[["2020",12,19]]},"issued":{"date-parts":[["2020"]]}},"label":"page"},{"id":16863,"uris":["http://zotero.org/groups/4801058/items/U5FGC7MS"],"itemData":{"id":16863,"type":"report","event-place":"Wellington","publisher":"New Zealand Institute of Economic Research.","publisher-place":"Wellington","title":"Planning for Prosperity: Transparent and Public Immigration Targets","author":[{"family":"Wilson","given":"Peter"},{"family":"Fry","given":"Julie"}],"issued":{"date-parts":[["2022"]]}},"label":"page"}],"schema":"https://github.com/citation-style-language/schema/raw/master/csl-citation.json"} </w:instrText>
      </w:r>
      <w:r w:rsidRPr="00F0646E">
        <w:fldChar w:fldCharType="separate"/>
      </w:r>
      <w:r w:rsidR="00C50615" w:rsidRPr="00C50615">
        <w:rPr>
          <w:rFonts w:cs="Calibri"/>
        </w:rPr>
        <w:t>(Fry and Wilson 2017; 2018; 2021; Wilson and Fry 2020; 2022)</w:t>
      </w:r>
      <w:r w:rsidRPr="00F0646E">
        <w:fldChar w:fldCharType="end"/>
      </w:r>
      <w:r w:rsidRPr="00F0646E">
        <w:t xml:space="preserve"> and the Productivity Commission’s recent inquiry into immigration settings, which at time of writing is still awaiting a government response, also discussed this issue. See both the Commission’s final report </w:t>
      </w:r>
      <w:r w:rsidRPr="00F0646E">
        <w:fldChar w:fldCharType="begin"/>
      </w:r>
      <w:r w:rsidR="009B0EC4">
        <w:instrText xml:space="preserve"> ADDIN ZOTERO_ITEM CSL_CITATION {"citationID":"nZNNMOlf","properties":{"formattedCitation":"(New Zealand Productivity Commission 2022b)","plainCitation":"(New Zealand Productivity Commission 2022b)","noteIndex":31},"citationItems":[{"id":16862,"uris":["http://zotero.org/groups/4801058/items/I8W23VC9"],"itemData":{"id":16862,"type":"book","event-place":"Wellington, New Zealand","ISBN":"978-1-988519-82-1","language":"eng","note":"OCLC: 1338159126","publisher":"New Zealand Productivity Commission, Te Kōmihana Whai Hua o Aotearoa","publisher-place":"Wellington, New Zealand","source":"Open WorldCat","title":"Immigration - fit for the future. Final report, April 2022","author":[{"family":"New Zealand Productivity Commission","given":""}],"issued":{"date-parts":[["2022"]]}}}],"schema":"https://github.com/citation-style-language/schema/raw/master/csl-citation.json"} </w:instrText>
      </w:r>
      <w:r w:rsidRPr="00F0646E">
        <w:fldChar w:fldCharType="separate"/>
      </w:r>
      <w:r w:rsidRPr="00F0646E">
        <w:rPr>
          <w:rFonts w:cs="Calibri"/>
        </w:rPr>
        <w:t>(New Zealand Productivity Commission 2022b)</w:t>
      </w:r>
      <w:r w:rsidRPr="00F0646E">
        <w:fldChar w:fldCharType="end"/>
      </w:r>
      <w:r w:rsidRPr="00F0646E">
        <w:t xml:space="preserve"> and its companion piece </w:t>
      </w:r>
      <w:r w:rsidRPr="00F0646E">
        <w:rPr>
          <w:i/>
          <w:iCs/>
        </w:rPr>
        <w:t xml:space="preserve">Immigration by the Numbers </w:t>
      </w:r>
      <w:r w:rsidRPr="00F0646E">
        <w:rPr>
          <w:i/>
          <w:iCs/>
        </w:rPr>
        <w:fldChar w:fldCharType="begin"/>
      </w:r>
      <w:r w:rsidR="009B0EC4">
        <w:rPr>
          <w:i/>
          <w:iCs/>
        </w:rPr>
        <w:instrText xml:space="preserve"> ADDIN ZOTERO_ITEM CSL_CITATION {"citationID":"45YjP9mW","properties":{"formattedCitation":"(New Zealand Productivity Commission 2022c)","plainCitation":"(New Zealand Productivity Commission 2022c)","noteIndex":31},"citationItems":[{"id":16861,"uris":["http://zotero.org/groups/4801058/items/VS3KZH84"],"itemData":{"id":16861,"type":"book","event-place":"Wellington, New Zealand","ISBN":"978-1-988519-80-7","language":"eng","note":"OCLC: 1333208879","publisher":"New Zealand Productivity Commission = Te Kōmihana Whai Hua o Aotearoa","publisher-place":"Wellington, New Zealand","source":"Open WorldCat","title":"Immigration by the numbers","author":[{"family":"New Zealand Productivity Commission","given":""}],"issued":{"date-parts":[["2022"]]}}}],"schema":"https://github.com/citation-style-language/schema/raw/master/csl-citation.json"} </w:instrText>
      </w:r>
      <w:r w:rsidRPr="00F0646E">
        <w:rPr>
          <w:i/>
          <w:iCs/>
        </w:rPr>
        <w:fldChar w:fldCharType="separate"/>
      </w:r>
      <w:r w:rsidRPr="00F0646E">
        <w:rPr>
          <w:rFonts w:cs="Calibri"/>
        </w:rPr>
        <w:t>(New Zealand Productivity Commission 2022c)</w:t>
      </w:r>
      <w:r w:rsidRPr="00F0646E">
        <w:rPr>
          <w:i/>
          <w:iCs/>
        </w:rPr>
        <w:fldChar w:fldCharType="end"/>
      </w:r>
      <w:r w:rsidRPr="00F0646E">
        <w:rPr>
          <w:i/>
          <w:iCs/>
        </w:rPr>
        <w:t>.</w:t>
      </w:r>
    </w:p>
  </w:footnote>
  <w:footnote w:id="33">
    <w:p w14:paraId="0E10B381" w14:textId="7EB20C60" w:rsidR="00414FBA" w:rsidRPr="00F0646E" w:rsidRDefault="00414FBA" w:rsidP="006239D3">
      <w:pPr>
        <w:pStyle w:val="FootnoteText"/>
        <w:spacing w:after="0"/>
      </w:pPr>
      <w:r w:rsidRPr="009006D7">
        <w:rPr>
          <w:rStyle w:val="FootnoteReference"/>
        </w:rPr>
        <w:footnoteRef/>
      </w:r>
      <w:r w:rsidRPr="00F0646E">
        <w:t xml:space="preserve"> </w:t>
      </w:r>
      <w:r w:rsidRPr="00F0646E">
        <w:tab/>
        <w:t xml:space="preserve">This score combines people’s wellbeing into a single number. The higher the score, the better a person’s life. To calculate the score, low wellbeing in any given domain is assigned a value of -1, high wellbeing as +1, a middling position as 0. The scores for each domain are then added. So, a person who had low wellbeing on all domains would have a score of minus eight, while a person with high wellbeing would have a score of positive eight. See Figure 3 in McLeod </w:t>
      </w:r>
      <w:r w:rsidRPr="00F0646E">
        <w:fldChar w:fldCharType="begin"/>
      </w:r>
      <w:r w:rsidR="009B0EC4">
        <w:instrText xml:space="preserve"> ADDIN ZOTERO_ITEM CSL_CITATION {"citationID":"a2pe8335eoc","properties":{"formattedCitation":"(2018)","plainCitation":"(2018)","noteIndex":32},"citationItems":[{"id":17131,"uris":["http://zotero.org/groups/4801058/items/URPEDD8B"],"itemData":{"id":17131,"type":"report","genre":"Treasury Analytical Paper","language":"en","number":"No. 18/04","publisher":"The Treasury","title":"Our people - Multidimensional wellbeing in New Zealand (AP 18/04)","URL":"https://www.treasury.govt.nz/publications/ap/ap-18-04","author":[{"family":"McLeod","given":"Keith"}],"accessed":{"date-parts":[["2022",11,25]]},"issued":{"date-parts":[["2018",12,4]]}},"label":"page","suppress-author":true}],"schema":"https://github.com/citation-style-language/schema/raw/master/csl-citation.json"} </w:instrText>
      </w:r>
      <w:r w:rsidRPr="00F0646E">
        <w:fldChar w:fldCharType="separate"/>
      </w:r>
      <w:r w:rsidRPr="00F0646E">
        <w:rPr>
          <w:rFonts w:cs="Calibri"/>
          <w:szCs w:val="24"/>
        </w:rPr>
        <w:t>(2018)</w:t>
      </w:r>
      <w:r w:rsidRPr="00F0646E">
        <w:fldChar w:fldCharType="end"/>
      </w:r>
      <w:r w:rsidRPr="00F0646E">
        <w:t xml:space="preserve"> for a detailed description of the measure.</w:t>
      </w:r>
    </w:p>
  </w:footnote>
  <w:footnote w:id="34">
    <w:p w14:paraId="31C307FF" w14:textId="4E35353C" w:rsidR="00414FBA" w:rsidRPr="00F0646E" w:rsidRDefault="00414FBA" w:rsidP="00414FBA">
      <w:pPr>
        <w:pStyle w:val="FootnoteText"/>
      </w:pPr>
      <w:r w:rsidRPr="009006D7">
        <w:rPr>
          <w:rStyle w:val="FootnoteReference"/>
        </w:rPr>
        <w:footnoteRef/>
      </w:r>
      <w:r w:rsidRPr="00F0646E">
        <w:t xml:space="preserve"> </w:t>
      </w:r>
      <w:r w:rsidRPr="00F0646E">
        <w:tab/>
        <w:t xml:space="preserve">As we discuss in </w:t>
      </w:r>
      <w:r w:rsidR="00752BD5">
        <w:t>s</w:t>
      </w:r>
      <w:r w:rsidRPr="00F0646E">
        <w:t>ection 2.1 on page 17, the Productivity Commission defines disadvantage as languishing, which is associated with three domains: being left out, doing without and being income poor (New Zealand Productivity Commission 2022a, ix). Measuring the number of people who, on this definition, are persistently disadvantaged is a complex task. While on some measures it might be a limited group, research shows that there is a larger group of people who might currently not be experiencing disadvantage who are at risk of doing so. The Productivity Commission’s interim report finds that on current measures, between four and seventeen percent of the population experience persistent disadvantage. Their final report will include further data and analysis</w:t>
      </w:r>
      <w:r w:rsidR="0047196B">
        <w:t>, including</w:t>
      </w:r>
      <w:r w:rsidRPr="00F0646E">
        <w:t xml:space="preserve"> </w:t>
      </w:r>
      <w:r w:rsidR="0047196B">
        <w:t xml:space="preserve">on the </w:t>
      </w:r>
      <w:r w:rsidR="0047196B" w:rsidRPr="0047196B">
        <w:t xml:space="preserve">subjective wellbeing of </w:t>
      </w:r>
      <w:r w:rsidR="0047196B">
        <w:t xml:space="preserve">people experiencing </w:t>
      </w:r>
      <w:r w:rsidR="007B2DAE">
        <w:t>per</w:t>
      </w:r>
      <w:r w:rsidR="0047196B" w:rsidRPr="0047196B">
        <w:t>sistent disadv</w:t>
      </w:r>
      <w:r w:rsidR="007B2DAE">
        <w:t>an</w:t>
      </w:r>
      <w:r w:rsidR="0047196B" w:rsidRPr="0047196B">
        <w:t xml:space="preserve">tage relative to the rest of the population. </w:t>
      </w:r>
      <w:r w:rsidR="00B250CB">
        <w:t>That analysis</w:t>
      </w:r>
      <w:r w:rsidRPr="00F0646E">
        <w:t xml:space="preserve"> may narrow the degree of uncertainty regarding the size of the most disadvantaged group.</w:t>
      </w:r>
      <w:r w:rsidR="00B250CB" w:rsidRPr="00F0646E" w:rsidDel="008735FC">
        <w:t xml:space="preserve"> </w:t>
      </w:r>
    </w:p>
  </w:footnote>
  <w:footnote w:id="35">
    <w:p w14:paraId="5338B6D3" w14:textId="122D75F5" w:rsidR="00483A68" w:rsidRDefault="00483A68">
      <w:pPr>
        <w:pStyle w:val="FootnoteText"/>
      </w:pPr>
      <w:r w:rsidRPr="009006D7">
        <w:rPr>
          <w:rStyle w:val="FootnoteReference"/>
        </w:rPr>
        <w:footnoteRef/>
      </w:r>
      <w:r>
        <w:t xml:space="preserve"> </w:t>
      </w:r>
      <w:r>
        <w:tab/>
        <w:t xml:space="preserve">We are not aware of any similarly comprehensive studies of other ethnic groups in New Zealand, especially ones that apply a culturally appropriate wellbeing framework. </w:t>
      </w:r>
    </w:p>
  </w:footnote>
  <w:footnote w:id="36">
    <w:p w14:paraId="1894E37C" w14:textId="0B1D9098" w:rsidR="00E06C8A" w:rsidRDefault="00E06C8A">
      <w:pPr>
        <w:pStyle w:val="FootnoteText"/>
      </w:pPr>
      <w:r w:rsidRPr="009006D7">
        <w:rPr>
          <w:rStyle w:val="FootnoteReference"/>
        </w:rPr>
        <w:footnoteRef/>
      </w:r>
      <w:r>
        <w:t xml:space="preserve"> </w:t>
      </w:r>
      <w:r>
        <w:tab/>
        <w:t xml:space="preserve">We discuss the implications of this finding in </w:t>
      </w:r>
      <w:r w:rsidR="0015584D">
        <w:t>s</w:t>
      </w:r>
      <w:r>
        <w:t xml:space="preserve">ection </w:t>
      </w:r>
      <w:r w:rsidR="00F50826">
        <w:fldChar w:fldCharType="begin"/>
      </w:r>
      <w:r w:rsidR="00F50826">
        <w:instrText xml:space="preserve"> REF _Ref124945256 \r \h </w:instrText>
      </w:r>
      <w:r w:rsidR="00F50826">
        <w:fldChar w:fldCharType="separate"/>
      </w:r>
      <w:r w:rsidR="00E06351">
        <w:t>2.5.1</w:t>
      </w:r>
      <w:r w:rsidR="00F50826">
        <w:fldChar w:fldCharType="end"/>
      </w:r>
      <w:r w:rsidR="00F50826">
        <w:t>.</w:t>
      </w:r>
    </w:p>
  </w:footnote>
  <w:footnote w:id="37">
    <w:p w14:paraId="0303F437" w14:textId="77777777" w:rsidR="00C36E4C" w:rsidRPr="00F0646E" w:rsidRDefault="00C36E4C" w:rsidP="00C36E4C">
      <w:pPr>
        <w:pStyle w:val="FootnoteText"/>
      </w:pPr>
      <w:r w:rsidRPr="009006D7">
        <w:rPr>
          <w:rStyle w:val="FootnoteReference"/>
        </w:rPr>
        <w:footnoteRef/>
      </w:r>
      <w:r w:rsidRPr="00F0646E">
        <w:t xml:space="preserve"> </w:t>
      </w:r>
      <w:r w:rsidRPr="00F0646E">
        <w:tab/>
        <w:t xml:space="preserve">This includes spending on family assistance, unemployment benefits, active labour market programmes, and housing. It excludes age-related pensions, </w:t>
      </w:r>
      <w:proofErr w:type="gramStart"/>
      <w:r w:rsidRPr="00F0646E">
        <w:t>health</w:t>
      </w:r>
      <w:proofErr w:type="gramEnd"/>
      <w:r w:rsidRPr="00F0646E">
        <w:t xml:space="preserve"> and education.</w:t>
      </w:r>
    </w:p>
  </w:footnote>
  <w:footnote w:id="38">
    <w:p w14:paraId="01A03F48" w14:textId="6F6D1308" w:rsidR="00581046" w:rsidRPr="00F0646E" w:rsidRDefault="00581046" w:rsidP="00581046">
      <w:pPr>
        <w:tabs>
          <w:tab w:val="left" w:pos="426"/>
        </w:tabs>
        <w:spacing w:after="57" w:line="170" w:lineRule="atLeast"/>
        <w:ind w:left="425" w:hanging="425"/>
        <w:rPr>
          <w:sz w:val="16"/>
          <w:szCs w:val="20"/>
        </w:rPr>
      </w:pPr>
      <w:r w:rsidRPr="009006D7">
        <w:rPr>
          <w:rStyle w:val="FootnoteReference"/>
        </w:rPr>
        <w:footnoteRef/>
      </w:r>
      <w:r w:rsidRPr="00F0646E">
        <w:t xml:space="preserve"> </w:t>
      </w:r>
      <w:r w:rsidRPr="00F0646E">
        <w:tab/>
      </w:r>
      <w:r w:rsidRPr="00F0646E">
        <w:rPr>
          <w:sz w:val="16"/>
          <w:szCs w:val="20"/>
        </w:rPr>
        <w:t xml:space="preserve">The OECD data set we have used to </w:t>
      </w:r>
      <w:r w:rsidRPr="00A0031E">
        <w:rPr>
          <w:rStyle w:val="FootnoteTextChar"/>
        </w:rPr>
        <w:t xml:space="preserve">create </w:t>
      </w:r>
      <w:hyperlink w:anchor="_bookmark13" w:history="1">
        <w:r w:rsidRPr="00A0031E">
          <w:rPr>
            <w:rStyle w:val="FootnoteTextChar"/>
          </w:rPr>
          <w:fldChar w:fldCharType="begin"/>
        </w:r>
        <w:r w:rsidRPr="00A0031E">
          <w:rPr>
            <w:rStyle w:val="FootnoteTextChar"/>
          </w:rPr>
          <w:instrText xml:space="preserve"> REF _Ref125532771 \h </w:instrText>
        </w:r>
        <w:r>
          <w:rPr>
            <w:rStyle w:val="FootnoteTextChar"/>
          </w:rPr>
          <w:instrText xml:space="preserve"> \* MERGEFORMAT </w:instrText>
        </w:r>
        <w:r w:rsidRPr="00A0031E">
          <w:rPr>
            <w:rStyle w:val="FootnoteTextChar"/>
          </w:rPr>
        </w:r>
        <w:r w:rsidRPr="00A0031E">
          <w:rPr>
            <w:rStyle w:val="FootnoteTextChar"/>
          </w:rPr>
          <w:fldChar w:fldCharType="separate"/>
        </w:r>
        <w:r w:rsidR="00E06351" w:rsidRPr="00E06351">
          <w:rPr>
            <w:rStyle w:val="FootnoteTextChar"/>
          </w:rPr>
          <w:t>Figure 2</w:t>
        </w:r>
        <w:r w:rsidRPr="00A0031E">
          <w:rPr>
            <w:rStyle w:val="FootnoteTextChar"/>
          </w:rPr>
          <w:fldChar w:fldCharType="end"/>
        </w:r>
      </w:hyperlink>
      <w:r w:rsidRPr="00F0646E">
        <w:rPr>
          <w:sz w:val="16"/>
          <w:szCs w:val="16"/>
        </w:rPr>
        <w:t xml:space="preserve"> includes</w:t>
      </w:r>
      <w:r w:rsidRPr="00F0646E">
        <w:rPr>
          <w:sz w:val="16"/>
          <w:szCs w:val="20"/>
        </w:rPr>
        <w:t xml:space="preserve"> spending up to the end of 2018, so does not incorporate some of the current government’s spending decisions, especially those related to supporting people and the economy through COVID-19.</w:t>
      </w:r>
    </w:p>
  </w:footnote>
  <w:footnote w:id="39">
    <w:p w14:paraId="7BA84FB2" w14:textId="77777777" w:rsidR="00581046" w:rsidRPr="00F0646E" w:rsidRDefault="00581046" w:rsidP="00581046">
      <w:pPr>
        <w:tabs>
          <w:tab w:val="left" w:pos="426"/>
        </w:tabs>
        <w:spacing w:after="57" w:line="170" w:lineRule="atLeast"/>
        <w:ind w:left="425" w:right="140" w:hanging="425"/>
        <w:rPr>
          <w:sz w:val="16"/>
          <w:szCs w:val="20"/>
        </w:rPr>
      </w:pPr>
      <w:r w:rsidRPr="009006D7">
        <w:rPr>
          <w:rStyle w:val="FootnoteReference"/>
        </w:rPr>
        <w:footnoteRef/>
      </w:r>
      <w:r w:rsidRPr="00B0603E">
        <w:rPr>
          <w:rStyle w:val="FootnoteReference"/>
        </w:rPr>
        <w:t xml:space="preserve"> </w:t>
      </w:r>
      <w:r w:rsidRPr="00F0646E">
        <w:rPr>
          <w:sz w:val="16"/>
          <w:szCs w:val="20"/>
        </w:rPr>
        <w:tab/>
        <w:t xml:space="preserve">While spread across a wide range of programmes, much of the increase in benefits in kind has been through large increases in payments for early childhood education, housing and </w:t>
      </w:r>
      <w:proofErr w:type="spellStart"/>
      <w:r w:rsidRPr="00F0646E">
        <w:rPr>
          <w:sz w:val="16"/>
          <w:szCs w:val="20"/>
        </w:rPr>
        <w:t>Kiwisaver</w:t>
      </w:r>
      <w:proofErr w:type="spellEnd"/>
      <w:r w:rsidRPr="00F0646E">
        <w:rPr>
          <w:sz w:val="16"/>
          <w:szCs w:val="20"/>
        </w:rPr>
        <w:t xml:space="preserve"> tax credits.</w:t>
      </w:r>
    </w:p>
  </w:footnote>
  <w:footnote w:id="40">
    <w:p w14:paraId="04BF6EAD" w14:textId="7DFDF700" w:rsidR="00447014" w:rsidRPr="00D766EF" w:rsidRDefault="00447014" w:rsidP="00A81C8C">
      <w:pPr>
        <w:pStyle w:val="FootnoteText"/>
        <w:rPr>
          <w:lang w:val="en-US"/>
        </w:rPr>
      </w:pPr>
      <w:r w:rsidRPr="009006D7">
        <w:rPr>
          <w:rStyle w:val="FootnoteReference"/>
        </w:rPr>
        <w:footnoteRef/>
      </w:r>
      <w:r>
        <w:t xml:space="preserve"> </w:t>
      </w:r>
      <w:r>
        <w:rPr>
          <w:lang w:val="en-US"/>
        </w:rPr>
        <w:tab/>
      </w:r>
      <w:r w:rsidR="00A81C8C">
        <w:rPr>
          <w:lang w:val="en-US"/>
        </w:rPr>
        <w:t>T</w:t>
      </w:r>
      <w:r w:rsidR="00A81C8C" w:rsidRPr="00A81C8C">
        <w:rPr>
          <w:lang w:val="en-US"/>
        </w:rPr>
        <w:t>he Commission is</w:t>
      </w:r>
      <w:r w:rsidR="00520801">
        <w:rPr>
          <w:lang w:val="en-US"/>
        </w:rPr>
        <w:t xml:space="preserve"> currently</w:t>
      </w:r>
      <w:r w:rsidR="00A81C8C" w:rsidRPr="00A81C8C">
        <w:rPr>
          <w:lang w:val="en-US"/>
        </w:rPr>
        <w:t xml:space="preserve"> undertaking but </w:t>
      </w:r>
      <w:r w:rsidR="00520801">
        <w:rPr>
          <w:lang w:val="en-US"/>
        </w:rPr>
        <w:t xml:space="preserve">has </w:t>
      </w:r>
      <w:r w:rsidR="00A81C8C" w:rsidRPr="00A81C8C">
        <w:rPr>
          <w:lang w:val="en-US"/>
        </w:rPr>
        <w:t xml:space="preserve">not yet completed quantitative analysis examining factors that contribute to the complexity and duration of </w:t>
      </w:r>
      <w:r w:rsidR="000A2CCF" w:rsidRPr="00A81C8C">
        <w:rPr>
          <w:lang w:val="en-US"/>
        </w:rPr>
        <w:t>disadvantage over</w:t>
      </w:r>
      <w:r w:rsidR="00A81C8C" w:rsidRPr="00A81C8C">
        <w:rPr>
          <w:lang w:val="en-US"/>
        </w:rPr>
        <w:t xml:space="preserve"> time using </w:t>
      </w:r>
      <w:r w:rsidR="00520801">
        <w:rPr>
          <w:lang w:val="en-US"/>
        </w:rPr>
        <w:t>p</w:t>
      </w:r>
      <w:r w:rsidR="00A81C8C" w:rsidRPr="00A81C8C">
        <w:rPr>
          <w:lang w:val="en-US"/>
        </w:rPr>
        <w:t xml:space="preserve">rincipal </w:t>
      </w:r>
      <w:r w:rsidR="00520801">
        <w:rPr>
          <w:lang w:val="en-US"/>
        </w:rPr>
        <w:t>c</w:t>
      </w:r>
      <w:r w:rsidR="00A81C8C" w:rsidRPr="00A81C8C">
        <w:rPr>
          <w:lang w:val="en-US"/>
        </w:rPr>
        <w:t xml:space="preserve">omponent </w:t>
      </w:r>
      <w:r w:rsidR="00520801">
        <w:rPr>
          <w:lang w:val="en-US"/>
        </w:rPr>
        <w:t>a</w:t>
      </w:r>
      <w:r w:rsidR="00A81C8C" w:rsidRPr="00A81C8C">
        <w:rPr>
          <w:lang w:val="en-US"/>
        </w:rPr>
        <w:t>nalysis, including demographics, a range of variables reported in the GSS and HES, and life events.</w:t>
      </w:r>
    </w:p>
  </w:footnote>
  <w:footnote w:id="41">
    <w:p w14:paraId="1D41B3D8" w14:textId="2A0C616F" w:rsidR="002B7A3A" w:rsidRPr="002B7A3A" w:rsidRDefault="002B7A3A" w:rsidP="002B7A3A">
      <w:pPr>
        <w:pStyle w:val="FootnoteText"/>
        <w:rPr>
          <w:rFonts w:cs="Calibri"/>
        </w:rPr>
      </w:pPr>
      <w:r w:rsidRPr="009006D7">
        <w:rPr>
          <w:rStyle w:val="FootnoteReference"/>
        </w:rPr>
        <w:footnoteRef/>
      </w:r>
      <w:r>
        <w:t xml:space="preserve"> </w:t>
      </w:r>
      <w:r>
        <w:rPr>
          <w:lang w:val="en-US"/>
        </w:rPr>
        <w:tab/>
      </w:r>
      <w:r w:rsidR="00C74E75">
        <w:rPr>
          <w:lang w:val="en-US"/>
        </w:rPr>
        <w:t>See for example the discussion in chapter 14 o</w:t>
      </w:r>
      <w:r w:rsidR="00BA2076">
        <w:rPr>
          <w:lang w:val="en-US"/>
        </w:rPr>
        <w:t xml:space="preserve">n child maltreatment and violent </w:t>
      </w:r>
      <w:proofErr w:type="spellStart"/>
      <w:r w:rsidR="00BA2076">
        <w:rPr>
          <w:lang w:val="en-US"/>
        </w:rPr>
        <w:t>behaviour</w:t>
      </w:r>
      <w:proofErr w:type="spellEnd"/>
      <w:r w:rsidR="00C74E75">
        <w:rPr>
          <w:lang w:val="en-US"/>
        </w:rPr>
        <w:t xml:space="preserve"> </w:t>
      </w:r>
      <w:r w:rsidRPr="00410791">
        <w:fldChar w:fldCharType="begin"/>
      </w:r>
      <w:r w:rsidR="009B0EC4">
        <w:instrText xml:space="preserve"> ADDIN ZOTERO_ITEM CSL_CITATION {"citationID":"N8Mt65ck","properties":{"formattedCitation":"(Belsky et al. 2020)","plainCitation":"(Belsky et al. 2020)","noteIndex":40},"citationItems":[{"id":"93SUiiiy/CsAMhaEf","uris":["http://zotero.org/groups/2875298/items/GDRV5HCM"],"itemData":{"id":630,"type":"book","event-place":"Cambridge, MA","ISBN":"0-674-98345-9","note":"ISBN: 9780674983458\nEISBN: 0674245148\nEISBN: 9780674245143\nEISBN: 9780674245433\nEISBN: 0674245431\nOCLC: 1153753448","publisher":"Harvard University Press","publisher-place":"Cambridge, MA","title":"The origins of you: How childhood shapes later life","author":[{"family":"Belsky","given":"Jay"},{"family":"Caspi","given":"Avshalom"},{"family":"Moffitt","given":"Terrie"},{"family":"Poulton","given":"Richie"}],"issued":{"date-parts":[["2020"]]}},"label":"page"}],"schema":"https://github.com/citation-style-language/schema/raw/master/csl-citation.json"} </w:instrText>
      </w:r>
      <w:r w:rsidRPr="00410791">
        <w:fldChar w:fldCharType="separate"/>
      </w:r>
      <w:r w:rsidR="006D5882" w:rsidRPr="006D5882">
        <w:rPr>
          <w:rFonts w:cs="Calibri"/>
        </w:rPr>
        <w:t>(Belsky et al. 2020)</w:t>
      </w:r>
      <w:r w:rsidRPr="00410791">
        <w:fldChar w:fldCharType="end"/>
      </w:r>
      <w:r w:rsidRPr="00410791">
        <w:t>.</w:t>
      </w:r>
    </w:p>
  </w:footnote>
  <w:footnote w:id="42">
    <w:p w14:paraId="22CAF4BC" w14:textId="3336AB78" w:rsidR="001E29AB" w:rsidRPr="00F0646E" w:rsidRDefault="001E29AB" w:rsidP="001E29AB">
      <w:pPr>
        <w:pStyle w:val="FootnoteText"/>
      </w:pPr>
      <w:r w:rsidRPr="009006D7">
        <w:rPr>
          <w:rStyle w:val="FootnoteReference"/>
        </w:rPr>
        <w:footnoteRef/>
      </w:r>
      <w:r w:rsidRPr="00F0646E">
        <w:t xml:space="preserve"> </w:t>
      </w:r>
      <w:r w:rsidRPr="00F0646E">
        <w:tab/>
        <w:t xml:space="preserve">Note however that understanding of the linkages between genetic and environmental influences is still developing and is relatively contested. For a discussion of these issues in the context of the Dunedin Study, see Belsky et al. </w:t>
      </w:r>
      <w:r w:rsidRPr="00F0646E">
        <w:fldChar w:fldCharType="begin"/>
      </w:r>
      <w:r w:rsidR="009B0EC4">
        <w:instrText xml:space="preserve"> ADDIN ZOTERO_ITEM CSL_CITATION {"citationID":"api52s77e4","properties":{"formattedCitation":"(2020, 296\\uc0\\u8211{}99)","plainCitation":"(2020, 296–99)","noteIndex":41},"citationItems":[{"id":"93SUiiiy/CsAMhaEf","uris":["http://zotero.org/groups/2875298/items/GDRV5HCM"],"itemData":{"id":630,"type":"book","event-place":"Cambridge, MA","ISBN":"0-674-98345-9","note":"ISBN: 9780674983458\nEISBN: 0674245148\nEISBN: 9780674245143\nEISBN: 9780674245433\nEISBN: 0674245431\nOCLC: 1153753448","publisher":"Harvard University Press","publisher-place":"Cambridge, MA","title":"The origins of you: How childhood shapes later life","author":[{"family":"Belsky","given":"Jay"},{"family":"Caspi","given":"Avshalom"},{"family":"Moffitt","given":"Terrie"},{"family":"Poulton","given":"Richie"}],"issued":{"date-parts":[["2020"]]}},"locator":"296–99","label":"page","suppress-author":true}],"schema":"https://github.com/citation-style-language/schema/raw/master/csl-citation.json"} </w:instrText>
      </w:r>
      <w:r w:rsidRPr="00F0646E">
        <w:fldChar w:fldCharType="separate"/>
      </w:r>
      <w:r w:rsidRPr="00F0646E">
        <w:rPr>
          <w:rFonts w:cs="Calibri"/>
          <w:szCs w:val="24"/>
        </w:rPr>
        <w:t>(2020, 296–99)</w:t>
      </w:r>
      <w:r w:rsidRPr="00F0646E">
        <w:fldChar w:fldCharType="end"/>
      </w:r>
      <w:r w:rsidRPr="00F0646E">
        <w:t xml:space="preserve">. </w:t>
      </w:r>
    </w:p>
  </w:footnote>
  <w:footnote w:id="43">
    <w:p w14:paraId="5F1B82CC" w14:textId="6DED5E59" w:rsidR="001E29AB" w:rsidRPr="00F0646E" w:rsidRDefault="001E29AB" w:rsidP="001E29AB">
      <w:pPr>
        <w:pStyle w:val="FootnoteText"/>
      </w:pPr>
      <w:r w:rsidRPr="009006D7">
        <w:rPr>
          <w:rStyle w:val="FootnoteReference"/>
        </w:rPr>
        <w:footnoteRef/>
      </w:r>
      <w:r w:rsidRPr="00F0646E">
        <w:t xml:space="preserve"> </w:t>
      </w:r>
      <w:r w:rsidRPr="00F0646E">
        <w:tab/>
        <w:t xml:space="preserve">While the pathway to colonisation of the Pacific was chaotic, all the Pacific Island states were once colonies of a European power, and most are now independent </w:t>
      </w:r>
      <w:r w:rsidRPr="00F0646E">
        <w:fldChar w:fldCharType="begin"/>
      </w:r>
      <w:r w:rsidR="009B0EC4">
        <w:instrText xml:space="preserve"> ADDIN ZOTERO_ITEM CSL_CITATION {"citationID":"nlq6s7dC","properties":{"formattedCitation":"(Chand 2010, 4\\uc0\\u8211{}6)","plainCitation":"(Chand 2010, 4–6)","noteIndex":42},"citationItems":[{"id":16912,"uris":["http://zotero.org/groups/4801058/items/4XCEX72V"],"itemData":{"id":16912,"type":"report","collection-title":"ADB Working Paper Series on Regional Economic Integration","event-place":"Manila","language":"en","number":"61","page":"48","publisher":"Asian Development Bank","publisher-place":"Manila","source":"Zotero","title":"Shaping New Regionalism in the Pacific Islands: Back to the Future?","author":[{"family":"Chand","given":"Satish"}],"issued":{"date-parts":[["2010"]]}},"locator":"4-6","label":"page"}],"schema":"https://github.com/citation-style-language/schema/raw/master/csl-citation.json"} </w:instrText>
      </w:r>
      <w:r w:rsidRPr="00F0646E">
        <w:fldChar w:fldCharType="separate"/>
      </w:r>
      <w:r w:rsidRPr="00F0646E">
        <w:rPr>
          <w:rFonts w:cs="Calibri"/>
          <w:szCs w:val="24"/>
        </w:rPr>
        <w:t>(Chand 2010, 4–6)</w:t>
      </w:r>
      <w:r w:rsidRPr="00F0646E">
        <w:fldChar w:fldCharType="end"/>
      </w:r>
      <w:r w:rsidRPr="00F0646E">
        <w:t xml:space="preserve">. The nature of colonisation in each country was, however, different and each has its own legacy of foreign rule. Unlike New Zealand, colonisation of the Pacific followed the pattern often seen in Africa and Asia, where a small colonial administration and citizens of the colonial power exercised political and economic control but were not joined by large groups of settlers. There was, however, substantial inter-island migration of labourers, as well as migration from Asia (for example, Indians employed in the sugar trade in Fiji) </w:t>
      </w:r>
      <w:r w:rsidRPr="00F0646E">
        <w:fldChar w:fldCharType="begin"/>
      </w:r>
      <w:r w:rsidR="009B0EC4">
        <w:instrText xml:space="preserve"> ADDIN ZOTERO_ITEM CSL_CITATION {"citationID":"Twr6j2ZT","properties":{"formattedCitation":"(Munro 1990)","plainCitation":"(Munro 1990)","noteIndex":42},"citationItems":[{"id":16938,"uris":["http://zotero.org/groups/4801058/items/699R2WGW"],"itemData":{"id":16938,"type":"chapter","container-title":"Labour in the South Pacific","event-place":"Townsville","publisher":"James Cook University of Northern Queensland","publisher-place":"Townsville","title":"The Origins of Labourers in the South Pacific: commentary and statistics","author":[{"family":"Munro","given":"Doug"}],"issued":{"date-parts":[["1990"]]}}}],"schema":"https://github.com/citation-style-language/schema/raw/master/csl-citation.json"} </w:instrText>
      </w:r>
      <w:r w:rsidRPr="00F0646E">
        <w:fldChar w:fldCharType="separate"/>
      </w:r>
      <w:r w:rsidRPr="00F0646E">
        <w:rPr>
          <w:rFonts w:cs="Calibri"/>
        </w:rPr>
        <w:t>(Munro 1990)</w:t>
      </w:r>
      <w:r w:rsidRPr="00F0646E">
        <w:fldChar w:fldCharType="end"/>
      </w:r>
      <w:r w:rsidRPr="00F0646E">
        <w:t xml:space="preserve">. The general aim was exploitation of resources, rather than building a large European settlement. </w:t>
      </w:r>
      <w:r w:rsidRPr="00F0646E">
        <w:fldChar w:fldCharType="begin"/>
      </w:r>
      <w:r w:rsidR="009B0EC4">
        <w:instrText xml:space="preserve"> ADDIN ZOTERO_ITEM CSL_CITATION {"citationID":"aITrkvr8","properties":{"formattedCitation":"(LeFevre 2015)","plainCitation":"(LeFevre 2015)","noteIndex":42},"citationItems":[{"id":16891,"uris":["http://zotero.org/groups/4801058/items/AUTZKXHU"],"itemData":{"id":16891,"type":"webpage","container-title":"Oxford Bibliographies","language":"en","note":"type: dataset\nDOI: 10.1093/obo/9780199766567-0125","title":"Settler Colonialism","URL":"https://oxfordbibliographies.com/view/document/obo-9780199766567/obo-9780199766567-0125.xml","author":[{"family":"LeFevre","given":"Tate A."}],"accessed":{"date-parts":[["2022",10,31]]},"issued":{"date-parts":[["2015",5,29]]}}}],"schema":"https://github.com/citation-style-language/schema/raw/master/csl-citation.json"} </w:instrText>
      </w:r>
      <w:r w:rsidRPr="00F0646E">
        <w:fldChar w:fldCharType="separate"/>
      </w:r>
      <w:r w:rsidRPr="00F0646E">
        <w:rPr>
          <w:rFonts w:cs="Calibri"/>
        </w:rPr>
        <w:t>(LeFevre 2015)</w:t>
      </w:r>
      <w:r w:rsidRPr="00F0646E">
        <w:fldChar w:fldCharType="end"/>
      </w:r>
      <w:r w:rsidRPr="00F0646E">
        <w:t xml:space="preserve">. The </w:t>
      </w:r>
      <w:r w:rsidR="00026FF5">
        <w:t xml:space="preserve">abhorrent </w:t>
      </w:r>
      <w:r w:rsidRPr="00F0646E">
        <w:t xml:space="preserve">practice of slavery – ‘blackbirding’ – where island residents were forced, coerced and tricked into going to Australia to work in settler plantations was rife </w:t>
      </w:r>
      <w:r w:rsidRPr="00F0646E">
        <w:fldChar w:fldCharType="begin"/>
      </w:r>
      <w:r w:rsidR="009B0EC4">
        <w:instrText xml:space="preserve"> ADDIN ZOTERO_ITEM CSL_CITATION {"citationID":"NuAgUTua","properties":{"formattedCitation":"(McIntyre 1997; 1999; Flanagan, Wilkie, and Iuliano 2003; Salesa 2019; Foster 2020; Stead and Davies 2021)","plainCitation":"(McIntyre 1997; 1999; Flanagan, Wilkie, and Iuliano 2003; Salesa 2019; Foster 2020; Stead and Davies 2021)","noteIndex":42},"citationItems":[{"id":16881,"uris":["http://zotero.org/groups/4801058/items/XDDQJYDT"],"itemData":{"id":16881,"type":"article-journal","container-title":"The International History Review","ISSN":"0707-5332","issue":"1","note":"publisher: Taylor &amp; Francis, Ltd.","page":"192-195","source":"JSTOR","title":"Review of Colonialism and Development: Britain and Its Tropical Colonies, 1850-1960; Imperialism and Its Contradictions","title-short":"Review of Colonialism and Development","volume":"19","author":[{"family":"McIntyre","given":"W. David"}],"reviewed-author":[{"family":"Havinden","given":"Michael"},{"family":"Meredith","given":"David"},{"family":"Kiernan","given":"V. G."}],"issued":{"date-parts":[["1997"]]}},"label":"page"},{"id":16880,"uris":["http://zotero.org/groups/4801058/items/HDV9NF3I"],"itemData":{"id":16880,"type":"chapter","container-title":"The Oxford History of the British Empire: Volume IV: The Twentieth Century","ISBN":"978-0-19-820564-7","note":"DOI: 10.1093/acprof:oso/9780198205647.003.0029\nDOI: 10.1093/acprof:oso/9780198205647.003.0029","page":"667-692","publisher":"Oxford University Press","source":"DOI.org (Crossref)","title":"Australia, New Zealand, and the Pacific Islands","URL":"https://academic.oup.com/book/8180/chapter/153720137","editor":[{"family":"Brown","given":"Judith"},{"family":"Louis","given":"Wm Roger"}],"container-author":[{"family":"Louis","given":"Wm Roger"}],"author":[{"family":"McIntyre","given":"W. David"}],"accessed":{"date-parts":[["2022",10,31]]},"issued":{"date-parts":[["1999",10,21]]}},"label":"page"},{"id":16903,"uris":["http://zotero.org/groups/4801058/items/FHG2RLAM"],"itemData":{"id":16903,"type":"webpage","container-title":"e-Race Archives","title":"Australian South Sea Islanders: A century of race discrimination under Australian law. Australian Human Rights Commission","URL":"https://humanrights.gov.au/our-work/race-discrimination/publications/australian-south-sea-islanders-century-race","author":[{"family":"Flanagan","given":"Tracey"},{"family":"Wilkie","given":"Meredith"},{"family":"Iuliano","given":"Susanna"}],"accessed":{"date-parts":[["2022",11,1]]},"issued":{"date-parts":[["2003"]]}},"label":"page"},{"id":16873,"uris":["http://zotero.org/groups/4801058/items/5HMXVBJI"],"itemData":{"id":16873,"type":"post-weblog","abstract":"\"Colonialism had done little to develop or educate those people it ruled, so for many Pacific — especially Polynesian — people, leaving their homelands was often seen as one of the few routes to economic and social advancement.”","container-title":"E-Tangata","language":"en-NZ","title":"Decolonising the Pacific","URL":"https://e-tangata.co.nz/history/decolonising-the-pacific/","author":[{"family":"Salesa","given":"Damon"}],"accessed":{"date-parts":[["2022",10,31]]},"issued":{"date-parts":[["2019",6,1]]}},"label":"page"},{"id":16885,"uris":["http://zotero.org/groups/4801058/items/28DKE942"],"itemData":{"id":16885,"type":"entry-encyclopedia","abstract":"Eventually the unstable conditions in the Pacific began to draw in European governments, all of which acknowledged some responsibility for the protection of their nationals and their property. The French government was the first to intervene, after two Roman Catholic missionaries were expelled from Tahiti in 1836. In the same year, two more were deported from Hawaii. In 1839 the archbishop of Chalcedon suggested regular association between the Roman Catholic missions and the French navy, but the French government was also aware of the need for a good naval station for the fleet and for French commerce and for a","container-title":"Britannica","language":"en","title":"Pacific Islands - Colonial rule","URL":"https://www.britannica.com/place/Pacific-Islands/Colonial-rule","author":[{"family":"Foster","given":"Sophie"}],"accessed":{"date-parts":[["2022",10,31]]},"issued":{"date-parts":[["2020"]]}},"label":"page"},{"id":"93SUiiiy/1WNFkoYI","uris":["http://zotero.org/groups/4801058/items/5Q9Z5E2W"],"itemData":{"id":15254,"type":"article-journal","abstract":"The passage of Australia’s Modern Slavery Act 2018 received bipartisan support and was heralded within both Houses of Parliament as a significant step towards addressing Australia’s complicity in modern slavery. Political discourse surrounding the legislation, however, exhibits a profound and disconcerting dehistoricisation, emphasising particularities of global supply chains and contemporary transnational capitalism. Australia’s own histories of slavery, slavery-like conditions and unfree labour are overwhelmingly absent from these narratives, which are framed instead by occasional references to the transatlantic slave trade. Attending particularly to histories of coerced Pacific labour within Australia, we analyse these absences as reflective of deeply rooted fissures of memory and power within Australia’s national imaginaries, and of the exercise of colonial power both within the settler state and in its entanglements with the region. Through reference to two threads of Pacific labour history in Australia—the struggle for recognition of the 19th-century Pacific labour trade, and the labour patterns of 20th-century Papuan and New Guinean domestic workers—we argue for an alternate genealogy of modern slavery, one that re-centres attention to race and coloniality, and attends more fully to the presence of the past in the exploitations of the present.","container-title":"Journal of Australian Studies","DOI":"10.1080/14443058.2021.1956571","ISSN":"1444-3058","issue":"3","note":"publisher: Routledge\n_eprint: https://doi.org/10.1080/14443058.2021.1956571","page":"400-416","source":"Taylor and Francis+NEJM","title":"Unfree Labour and Australia’s Obscured Pacific Histories: Towards a New Genealogy of Modern Slavery","title-short":"Unfree Labour and Australia’s Obscured Pacific Histories","volume":"45","author":[{"family":"Stead","given":"Victoria"},{"family":"Davies","given":"Lucy"}],"issued":{"date-parts":[["2021",7,3]]}},"label":"page"}],"schema":"https://github.com/citation-style-language/schema/raw/master/csl-citation.json"} </w:instrText>
      </w:r>
      <w:r w:rsidRPr="00F0646E">
        <w:fldChar w:fldCharType="separate"/>
      </w:r>
      <w:r w:rsidR="00114681" w:rsidRPr="00114681">
        <w:rPr>
          <w:rFonts w:cs="Calibri"/>
        </w:rPr>
        <w:t xml:space="preserve">(McIntyre 1997; 1999; Flanagan, Wilkie, and </w:t>
      </w:r>
      <w:proofErr w:type="spellStart"/>
      <w:r w:rsidR="00114681" w:rsidRPr="00114681">
        <w:rPr>
          <w:rFonts w:cs="Calibri"/>
        </w:rPr>
        <w:t>Iuliano</w:t>
      </w:r>
      <w:proofErr w:type="spellEnd"/>
      <w:r w:rsidR="00114681" w:rsidRPr="00114681">
        <w:rPr>
          <w:rFonts w:cs="Calibri"/>
        </w:rPr>
        <w:t xml:space="preserve"> 2003; </w:t>
      </w:r>
      <w:proofErr w:type="spellStart"/>
      <w:r w:rsidR="00114681" w:rsidRPr="00114681">
        <w:rPr>
          <w:rFonts w:cs="Calibri"/>
        </w:rPr>
        <w:t>Salesa</w:t>
      </w:r>
      <w:proofErr w:type="spellEnd"/>
      <w:r w:rsidR="00114681" w:rsidRPr="00114681">
        <w:rPr>
          <w:rFonts w:cs="Calibri"/>
        </w:rPr>
        <w:t xml:space="preserve"> 2019; Foster 2020; Stead and Davies 2021)</w:t>
      </w:r>
      <w:r w:rsidRPr="00F0646E">
        <w:fldChar w:fldCharType="end"/>
      </w:r>
      <w:r w:rsidRPr="00F0646E">
        <w:t xml:space="preserve">. </w:t>
      </w:r>
    </w:p>
  </w:footnote>
  <w:footnote w:id="44">
    <w:p w14:paraId="441749DC" w14:textId="0D9BABF2" w:rsidR="00796810" w:rsidRPr="00107BC9" w:rsidRDefault="00796810" w:rsidP="00796810">
      <w:pPr>
        <w:pStyle w:val="FootnoteText"/>
      </w:pPr>
      <w:r w:rsidRPr="009006D7">
        <w:rPr>
          <w:rStyle w:val="FootnoteReference"/>
        </w:rPr>
        <w:footnoteRef/>
      </w:r>
      <w:r w:rsidRPr="00EA40F9">
        <w:t xml:space="preserve"> </w:t>
      </w:r>
      <w:r w:rsidRPr="00EA40F9">
        <w:tab/>
        <w:t xml:space="preserve">We are grateful to </w:t>
      </w:r>
      <w:proofErr w:type="spellStart"/>
      <w:r w:rsidRPr="00EA40F9">
        <w:t>Te</w:t>
      </w:r>
      <w:proofErr w:type="spellEnd"/>
      <w:r w:rsidRPr="00EA40F9">
        <w:t xml:space="preserve"> Aorangi Murphy-Fell for highlighting many </w:t>
      </w:r>
      <w:r w:rsidR="00346A51">
        <w:t xml:space="preserve">other </w:t>
      </w:r>
      <w:r w:rsidRPr="00EA40F9">
        <w:t>ways in which the right to choose can be taken away from people</w:t>
      </w:r>
      <w:r>
        <w:t xml:space="preserve">. These </w:t>
      </w:r>
      <w:r w:rsidRPr="00EA40F9">
        <w:t xml:space="preserve">include situations of coercive control </w:t>
      </w:r>
      <w:r>
        <w:t xml:space="preserve">where people experience </w:t>
      </w:r>
      <w:r w:rsidRPr="00EA40F9">
        <w:t>threats to obey</w:t>
      </w:r>
      <w:r>
        <w:t xml:space="preserve"> and are unable</w:t>
      </w:r>
      <w:r w:rsidRPr="00EA40F9">
        <w:t xml:space="preserve"> to escape and make autonomous decisions</w:t>
      </w:r>
      <w:r>
        <w:t xml:space="preserve">. This could occur, for example, </w:t>
      </w:r>
      <w:r w:rsidR="00041E30">
        <w:t>because of</w:t>
      </w:r>
      <w:r>
        <w:t xml:space="preserve"> </w:t>
      </w:r>
      <w:r w:rsidR="002B59B9">
        <w:t xml:space="preserve">family </w:t>
      </w:r>
      <w:r>
        <w:t xml:space="preserve">violence, </w:t>
      </w:r>
      <w:r w:rsidRPr="00EA40F9">
        <w:t>modern slavery</w:t>
      </w:r>
      <w:r>
        <w:t>, sex trafficking, gang involvement or</w:t>
      </w:r>
      <w:r w:rsidRPr="00EA40F9">
        <w:t xml:space="preserve"> religious control.</w:t>
      </w:r>
      <w:r w:rsidRPr="00107BC9">
        <w:t xml:space="preserve"> </w:t>
      </w:r>
    </w:p>
  </w:footnote>
  <w:footnote w:id="45">
    <w:p w14:paraId="67DED0C1" w14:textId="26B634D9" w:rsidR="001E29AB" w:rsidRPr="00F0646E" w:rsidRDefault="001E29AB" w:rsidP="001E29AB">
      <w:pPr>
        <w:pStyle w:val="FootnoteText"/>
      </w:pPr>
      <w:r w:rsidRPr="009006D7">
        <w:rPr>
          <w:rStyle w:val="FootnoteReference"/>
        </w:rPr>
        <w:footnoteRef/>
      </w:r>
      <w:r w:rsidRPr="00F0646E">
        <w:t xml:space="preserve"> </w:t>
      </w:r>
      <w:r w:rsidRPr="00F0646E">
        <w:tab/>
        <w:t xml:space="preserve">An insidious feedback loop can be at play </w:t>
      </w:r>
      <w:r w:rsidR="0047637D" w:rsidRPr="00F0646E">
        <w:t>here because</w:t>
      </w:r>
      <w:r w:rsidRPr="00F0646E">
        <w:t xml:space="preserve"> the existence of unmet needs also influences the capacity to seek support.</w:t>
      </w:r>
    </w:p>
  </w:footnote>
  <w:footnote w:id="46">
    <w:p w14:paraId="1D8A51DF" w14:textId="1FD1EFE8" w:rsidR="00C36D5F" w:rsidRPr="00F0646E" w:rsidRDefault="00C36D5F" w:rsidP="00C36D5F">
      <w:pPr>
        <w:pStyle w:val="FootnoteText"/>
      </w:pPr>
      <w:r w:rsidRPr="009006D7">
        <w:rPr>
          <w:rStyle w:val="FootnoteReference"/>
        </w:rPr>
        <w:footnoteRef/>
      </w:r>
      <w:r w:rsidRPr="00F0646E">
        <w:t xml:space="preserve"> </w:t>
      </w:r>
      <w:r w:rsidRPr="00F0646E">
        <w:tab/>
        <w:t xml:space="preserve">We agree with the Productivity Commission’s assessment that the existing ‘mainstream’ system of standardised, </w:t>
      </w:r>
      <w:r w:rsidR="002D5442">
        <w:t>specialised</w:t>
      </w:r>
      <w:r w:rsidRPr="00F0646E">
        <w:t xml:space="preserve"> social assistance works well for many people with similar, and relatively uncomplicated needs </w:t>
      </w:r>
      <w:r w:rsidRPr="00F0646E">
        <w:fldChar w:fldCharType="begin"/>
      </w:r>
      <w:r w:rsidR="009B0EC4">
        <w:instrText xml:space="preserve"> ADDIN ZOTERO_ITEM CSL_CITATION {"citationID":"zXhkTnc7","properties":{"formattedCitation":"(New Zealand Productivity Commission 2015, 2)","plainCitation":"(New Zealand Productivity Commission 2015, 2)","noteIndex":45},"citationItems":[{"id":14096,"uris":["http://zotero.org/groups/4623831/items/XXV9BK5F"],"itemData":{"id":14096,"type":"report","event-place":"Wellington","language":"English","note":"OCLC: 921943108","publisher":"New Zealand Productivity Commission","publisher-place":"Wellington","source":"Open WorldCat","title":"More effective social services","URL":"http://www.productivity.govt.nz/sites/default/files/social-services-final-report-main.pdf","author":[{"literal":"New Zealand Productivity Commission"}],"accessed":{"date-parts":[["2022",4,4]]},"issued":{"date-parts":[["2015"]]}},"locator":"2","label":"page"}],"schema":"https://github.com/citation-style-language/schema/raw/master/csl-citation.json"} </w:instrText>
      </w:r>
      <w:r w:rsidRPr="00F0646E">
        <w:fldChar w:fldCharType="separate"/>
      </w:r>
      <w:r w:rsidRPr="00F0646E">
        <w:rPr>
          <w:rFonts w:cs="Calibri"/>
        </w:rPr>
        <w:t>(New Zealand Productivity Commission 2015, 2)</w:t>
      </w:r>
      <w:r w:rsidRPr="00F0646E">
        <w:fldChar w:fldCharType="end"/>
      </w:r>
      <w:r w:rsidRPr="00F0646E">
        <w:t>.</w:t>
      </w:r>
      <w:r>
        <w:t xml:space="preserve"> </w:t>
      </w:r>
    </w:p>
  </w:footnote>
  <w:footnote w:id="47">
    <w:p w14:paraId="5E739753" w14:textId="1AF4CB80" w:rsidR="00C36D5F" w:rsidRPr="00F0646E" w:rsidRDefault="00C36D5F" w:rsidP="00C36D5F">
      <w:pPr>
        <w:pStyle w:val="FootnoteText"/>
      </w:pPr>
      <w:r w:rsidRPr="009006D7">
        <w:rPr>
          <w:rStyle w:val="FootnoteReference"/>
        </w:rPr>
        <w:footnoteRef/>
      </w:r>
      <w:r w:rsidRPr="00F0646E">
        <w:t xml:space="preserve"> </w:t>
      </w:r>
      <w:r w:rsidRPr="00F0646E">
        <w:tab/>
        <w:t xml:space="preserve">A strong egalitarian sense is also behind the idea of uniform service provision. The recent restructuring of the health system in New Zealand is motivated in part by a desire to remove disparities in care across regions (sometimes called the ‘postcode lottery’ of care) </w:t>
      </w:r>
      <w:r w:rsidRPr="00F0646E">
        <w:fldChar w:fldCharType="begin"/>
      </w:r>
      <w:r w:rsidR="009B0EC4">
        <w:instrText xml:space="preserve"> ADDIN ZOTERO_ITEM CSL_CITATION {"citationID":"a1dcb0akaih","properties":{"formattedCitation":"(Health Transition Unit 2021)","plainCitation":"(Health Transition Unit 2021)","noteIndex":46},"citationItems":[{"id":17080,"uris":["http://zotero.org/groups/4801058/items/R6ZTIUKW"],"itemData":{"id":17080,"type":"webpage","abstract":"Aotearoa New Zealand's health system is changing the way we structure and deliver health services to ensure all New Zealanders get the services they need and to meet future challenges.DPMC serves the Executive, Governor-General, Prime Minister and Cabinet, through the provision of impartial advice and support.","container-title":"The new health system","language":"en-NZ","title":"The new health system","URL":"https://dpmc.govt.nz/our-business-units/transition-unit/response-health-and-disability-system-review/information","author":[{"family":"Health Transition Unit","given":""}],"accessed":{"date-parts":[["2022",11,20]]},"issued":{"date-parts":[["2021"]]}}}],"schema":"https://github.com/citation-style-language/schema/raw/master/csl-citation.json"} </w:instrText>
      </w:r>
      <w:r w:rsidRPr="00F0646E">
        <w:fldChar w:fldCharType="separate"/>
      </w:r>
      <w:r w:rsidRPr="00F0646E">
        <w:rPr>
          <w:rFonts w:cs="Calibri"/>
          <w:szCs w:val="24"/>
        </w:rPr>
        <w:t>(Health Transition Unit 2021)</w:t>
      </w:r>
      <w:r w:rsidRPr="00F0646E">
        <w:fldChar w:fldCharType="end"/>
      </w:r>
      <w:r w:rsidRPr="00F0646E">
        <w:t xml:space="preserve">. We note that these concerns are not unique to New Zealand – see for example </w:t>
      </w:r>
      <w:r w:rsidRPr="00F0646E">
        <w:rPr>
          <w:rFonts w:cs="Calibri"/>
          <w:szCs w:val="24"/>
        </w:rPr>
        <w:t>Russell et al</w:t>
      </w:r>
      <w:r w:rsidRPr="00F0646E">
        <w:t xml:space="preserve"> </w:t>
      </w:r>
      <w:r w:rsidRPr="00F0646E">
        <w:fldChar w:fldCharType="begin"/>
      </w:r>
      <w:r w:rsidR="009B0EC4">
        <w:instrText xml:space="preserve"> ADDIN ZOTERO_ITEM CSL_CITATION {"citationID":"arjm8hdlre","properties":{"formattedCitation":"(2013)","plainCitation":"(2013)","noteIndex":46},"citationItems":[{"id":17078,"uris":["http://zotero.org/groups/4801058/items/DRCP29LP"],"itemData":{"id":17078,"type":"article-journal","container-title":"Journal of the Royal Society of Medicine","DOI":"10.1177/0141076813479192","ISSN":"0141-0768","issue":"4","journalAbbreviation":"J R Soc Med","note":"PMID: 23564895\nPMCID: PMC3618168","page":"120-123","source":"PubMed Central","title":"Addressing the ‘postcode lottery’ in local resource allocation decisions: a framework for clinical commissioning groups","title-short":"Addressing the ‘postcode lottery’ in local resource allocation decisions","volume":"106","author":[{"family":"Russell","given":"Jill"},{"family":"Greenhalgh","given":"Trisha"},{"family":"Lewis","given":"Harriet"},{"family":"MacKenzie","given":"Ian"},{"family":"Maskrey","given":"Neal"},{"family":"Montgomery","given":"Jonathan"},{"family":"O'Donnell","given":"Claire"}],"issued":{"date-parts":[["2013",4]]}},"label":"page","suppress-author":true}],"schema":"https://github.com/citation-style-language/schema/raw/master/csl-citation.json"} </w:instrText>
      </w:r>
      <w:r w:rsidRPr="00F0646E">
        <w:fldChar w:fldCharType="separate"/>
      </w:r>
      <w:r w:rsidRPr="00F0646E">
        <w:rPr>
          <w:rFonts w:cs="Calibri"/>
          <w:szCs w:val="24"/>
        </w:rPr>
        <w:t>(2013)</w:t>
      </w:r>
      <w:r w:rsidRPr="00F0646E">
        <w:fldChar w:fldCharType="end"/>
      </w:r>
      <w:r w:rsidRPr="00F0646E">
        <w:t xml:space="preserve"> and Crump et al. </w:t>
      </w:r>
      <w:r w:rsidRPr="00F0646E">
        <w:fldChar w:fldCharType="begin"/>
      </w:r>
      <w:r w:rsidR="009B0EC4">
        <w:instrText xml:space="preserve"> ADDIN ZOTERO_ITEM CSL_CITATION {"citationID":"a1dm3o349o6","properties":{"formattedCitation":"(2015)","plainCitation":"(2015)","noteIndex":46},"citationItems":[{"id":17077,"uris":["http://zotero.org/groups/4801058/items/NP7BDEKF"],"itemData":{"id":17077,"type":"report","abstract":"Our second policy briefing in the run up to the General Election 2015 provides an overview of the current difficulties in making decisions about rationing healthcare in England.","language":"en-GB","publisher":"Nuffield Trust","title":"Rationing in the NHS","URL":"https://www.nuffieldtrust.org.uk/resource/rationing-in-the-nhs","author":[{"family":"Crump","given":"Helen"},{"family":"Dayan","given":"Mark"},{"family":"Edwards","given":"Nigel"}],"accessed":{"date-parts":[["2022",11,20]]},"issued":{"date-parts":[["2015"]]}},"label":"page","suppress-author":true}],"schema":"https://github.com/citation-style-language/schema/raw/master/csl-citation.json"} </w:instrText>
      </w:r>
      <w:r w:rsidRPr="00F0646E">
        <w:fldChar w:fldCharType="separate"/>
      </w:r>
      <w:r w:rsidRPr="00F0646E">
        <w:rPr>
          <w:rFonts w:cs="Calibri"/>
        </w:rPr>
        <w:t>(2015)</w:t>
      </w:r>
      <w:r w:rsidRPr="00F0646E">
        <w:fldChar w:fldCharType="end"/>
      </w:r>
      <w:r w:rsidRPr="00F0646E">
        <w:t xml:space="preserve"> in relation to the National Health Service in the United Kingdom.</w:t>
      </w:r>
    </w:p>
  </w:footnote>
  <w:footnote w:id="48">
    <w:p w14:paraId="595F2A52" w14:textId="076BF31D" w:rsidR="007C59F3" w:rsidRPr="00374EF9" w:rsidRDefault="007C59F3">
      <w:pPr>
        <w:pStyle w:val="FootnoteText"/>
        <w:rPr>
          <w:lang w:val="en-US"/>
        </w:rPr>
      </w:pPr>
      <w:r w:rsidRPr="009006D7">
        <w:rPr>
          <w:rStyle w:val="FootnoteReference"/>
        </w:rPr>
        <w:footnoteRef/>
      </w:r>
      <w:r>
        <w:t xml:space="preserve"> </w:t>
      </w:r>
      <w:r w:rsidR="00EF342C">
        <w:rPr>
          <w:lang w:val="en-US"/>
        </w:rPr>
        <w:tab/>
        <w:t xml:space="preserve">For example, </w:t>
      </w:r>
      <w:r w:rsidR="00EF342C" w:rsidRPr="00EF342C">
        <w:rPr>
          <w:lang w:val="en-US"/>
        </w:rPr>
        <w:t>the bureaucratic nature of the system</w:t>
      </w:r>
      <w:r w:rsidR="00EF342C">
        <w:rPr>
          <w:lang w:val="en-US"/>
        </w:rPr>
        <w:t xml:space="preserve"> may</w:t>
      </w:r>
      <w:r w:rsidR="00EF342C" w:rsidRPr="00EF342C">
        <w:rPr>
          <w:lang w:val="en-US"/>
        </w:rPr>
        <w:t xml:space="preserve"> make accessing assistance too arduous,</w:t>
      </w:r>
      <w:r w:rsidR="00B6063B">
        <w:rPr>
          <w:lang w:val="en-US"/>
        </w:rPr>
        <w:t xml:space="preserve"> or it may be </w:t>
      </w:r>
      <w:r w:rsidR="00EF342C" w:rsidRPr="00EF342C">
        <w:rPr>
          <w:lang w:val="en-US"/>
        </w:rPr>
        <w:t>discriminatory</w:t>
      </w:r>
      <w:r w:rsidR="00B6063B">
        <w:rPr>
          <w:lang w:val="en-US"/>
        </w:rPr>
        <w:t>.</w:t>
      </w:r>
    </w:p>
  </w:footnote>
  <w:footnote w:id="49">
    <w:p w14:paraId="6C670345" w14:textId="2774DDEE" w:rsidR="002F18BD" w:rsidRDefault="002F18BD">
      <w:pPr>
        <w:pStyle w:val="FootnoteText"/>
      </w:pPr>
      <w:r w:rsidRPr="009006D7">
        <w:rPr>
          <w:rStyle w:val="FootnoteReference"/>
        </w:rPr>
        <w:footnoteRef/>
      </w:r>
      <w:r>
        <w:t xml:space="preserve"> </w:t>
      </w:r>
      <w:r>
        <w:tab/>
        <w:t>Examples</w:t>
      </w:r>
      <w:r w:rsidR="00905144">
        <w:t xml:space="preserve"> include </w:t>
      </w:r>
      <w:proofErr w:type="spellStart"/>
      <w:r w:rsidR="00905144" w:rsidRPr="00905144">
        <w:t>Oranga</w:t>
      </w:r>
      <w:proofErr w:type="spellEnd"/>
      <w:r w:rsidR="00905144" w:rsidRPr="00905144">
        <w:t xml:space="preserve"> Tamariki</w:t>
      </w:r>
      <w:r w:rsidR="00905144">
        <w:t xml:space="preserve"> </w:t>
      </w:r>
      <w:r w:rsidR="00905144">
        <w:fldChar w:fldCharType="begin"/>
      </w:r>
      <w:r w:rsidR="009B0EC4">
        <w:instrText xml:space="preserve"> ADDIN ZOTERO_ITEM CSL_CITATION {"citationID":"qH3Zleqj","properties":{"formattedCitation":"(2019)","plainCitation":"(2019)","noteIndex":48},"citationItems":[{"id":18413,"uris":["http://zotero.org/groups/4801058/items/9GU47HCT"],"itemData":{"id":18413,"type":"webpage","abstract":"An A-Z of Service Specifications and Service Guidelines&amp;nbsp;produced by Oranga Tamariki—Ministry for Children.","container-title":"Oranga Tamariki — Ministry for Children","language":"en","title":"Service Specifications/Guidelines","URL":"https://www.orangatamariki.govt.nz/working-with-children/information-for-providers/service-guidelines/","author":[{"family":"Oranga Tamariki","given":""}],"accessed":{"date-parts":[["2023",1,10]]},"issued":{"date-parts":[["2019"]]}},"label":"page","suppress-author":true}],"schema":"https://github.com/citation-style-language/schema/raw/master/csl-citation.json"} </w:instrText>
      </w:r>
      <w:r w:rsidR="00905144">
        <w:fldChar w:fldCharType="separate"/>
      </w:r>
      <w:r w:rsidR="00905144" w:rsidRPr="00905144">
        <w:rPr>
          <w:rFonts w:cs="Calibri"/>
        </w:rPr>
        <w:t>(2019)</w:t>
      </w:r>
      <w:r w:rsidR="00905144">
        <w:fldChar w:fldCharType="end"/>
      </w:r>
      <w:r w:rsidR="001C192F">
        <w:t xml:space="preserve">; </w:t>
      </w:r>
      <w:r w:rsidR="001C192F" w:rsidRPr="001C192F">
        <w:t>Ministry of Education</w:t>
      </w:r>
      <w:r w:rsidR="001C192F">
        <w:t xml:space="preserve"> </w:t>
      </w:r>
      <w:r w:rsidR="001C192F">
        <w:fldChar w:fldCharType="begin"/>
      </w:r>
      <w:r w:rsidR="009B0EC4">
        <w:instrText xml:space="preserve"> ADDIN ZOTERO_ITEM CSL_CITATION {"citationID":"UnvvNuGw","properties":{"formattedCitation":"(2021)","plainCitation":"(2021)","noteIndex":48},"citationItems":[{"id":18409,"uris":["http://zotero.org/groups/4801058/items/HIDEU3KU"],"itemData":{"id":18409,"type":"webpage","abstract":"Your operations grant  entitlement notice says how much operational funding your school receives. Your operations grant  instalment notice says how much each quarterly instalment is.","container-title":"Education in New Zealand","language":"en-NZ","title":"Operations grant entitlement and instalment notices","URL":"https://www.education.govt.nz/school/funding-and-financials/resourcing/operational-funding/operations-grant-entitlement-and-instalment-notices/","author":[{"family":"Ministry of Education","given":""}],"accessed":{"date-parts":[["2023",1,10]]},"issued":{"date-parts":[["2021"]]}},"label":"page","suppress-author":true}],"schema":"https://github.com/citation-style-language/schema/raw/master/csl-citation.json"} </w:instrText>
      </w:r>
      <w:r w:rsidR="001C192F">
        <w:fldChar w:fldCharType="separate"/>
      </w:r>
      <w:r w:rsidR="001C192F" w:rsidRPr="001C192F">
        <w:rPr>
          <w:rFonts w:cs="Calibri"/>
        </w:rPr>
        <w:t>(2021)</w:t>
      </w:r>
      <w:r w:rsidR="001C192F">
        <w:fldChar w:fldCharType="end"/>
      </w:r>
      <w:r w:rsidR="003142BD">
        <w:t xml:space="preserve">; </w:t>
      </w:r>
      <w:r w:rsidR="003142BD" w:rsidRPr="003142BD">
        <w:t>Ministry for Social Development</w:t>
      </w:r>
      <w:r w:rsidR="003142BD">
        <w:t xml:space="preserve"> </w:t>
      </w:r>
      <w:r w:rsidR="003142BD">
        <w:fldChar w:fldCharType="begin"/>
      </w:r>
      <w:r w:rsidR="009B0EC4">
        <w:instrText xml:space="preserve"> ADDIN ZOTERO_ITEM CSL_CITATION {"citationID":"JDOysoyd","properties":{"formattedCitation":"(2023)","plainCitation":"(2023)","noteIndex":48},"citationItems":[{"id":18411,"uris":["http://zotero.org/groups/4801058/items/CBFLBI86"],"itemData":{"id":18411,"type":"document","abstract":"Home page for Map - the Guide to Social Development Policy","language":"eng","publisher":"Ministry for Social Development","source":"www.workandincome.govt.nz","title":"The Guide to Social Development Policy","URL":"https://www.workandincome.govt.nz/map/index.html","author":[{"family":"Ministry for Social Development","given":""}],"accessed":{"date-parts":[["2023",1,10]]},"issued":{"date-parts":[["2023"]]}},"label":"page","suppress-author":true}],"schema":"https://github.com/citation-style-language/schema/raw/master/csl-citation.json"} </w:instrText>
      </w:r>
      <w:r w:rsidR="003142BD">
        <w:fldChar w:fldCharType="separate"/>
      </w:r>
      <w:r w:rsidR="008F569F" w:rsidRPr="008F569F">
        <w:rPr>
          <w:rFonts w:cs="Calibri"/>
        </w:rPr>
        <w:t>(2023)</w:t>
      </w:r>
      <w:r w:rsidR="003142BD">
        <w:fldChar w:fldCharType="end"/>
      </w:r>
      <w:r w:rsidR="008F569F">
        <w:t xml:space="preserve"> and </w:t>
      </w:r>
      <w:r w:rsidR="008F569F" w:rsidRPr="008F569F">
        <w:t>Ministry of Health</w:t>
      </w:r>
      <w:r w:rsidR="008F569F">
        <w:t xml:space="preserve"> </w:t>
      </w:r>
      <w:r w:rsidR="008F569F">
        <w:fldChar w:fldCharType="begin"/>
      </w:r>
      <w:r w:rsidR="009B0EC4">
        <w:instrText xml:space="preserve"> ADDIN ZOTERO_ITEM CSL_CITATION {"citationID":"BRsRM4dK","properties":{"formattedCitation":"(2023)","plainCitation":"(2023)","noteIndex":48},"citationItems":[{"id":18415,"uris":["http://zotero.org/groups/4801058/items/VCXAHSK7"],"itemData":{"id":18415,"type":"webpage","container-title":"Ministry of Health NZ","language":"en","title":"Publications: guides and standards","URL":"https://www.health.govt.nz/publications","author":[{"family":"Ministry of Health","given":""}],"accessed":{"date-parts":[["2023",1,10]]},"issued":{"date-parts":[["2023"]]}},"label":"page","suppress-author":true}],"schema":"https://github.com/citation-style-language/schema/raw/master/csl-citation.json"} </w:instrText>
      </w:r>
      <w:r w:rsidR="008F569F">
        <w:fldChar w:fldCharType="separate"/>
      </w:r>
      <w:r w:rsidR="008F569F" w:rsidRPr="008F569F">
        <w:rPr>
          <w:rFonts w:cs="Calibri"/>
        </w:rPr>
        <w:t>(2023)</w:t>
      </w:r>
      <w:r w:rsidR="008F569F">
        <w:fldChar w:fldCharType="end"/>
      </w:r>
      <w:r w:rsidR="00E81D2B">
        <w:t>.</w:t>
      </w:r>
    </w:p>
  </w:footnote>
  <w:footnote w:id="50">
    <w:p w14:paraId="138137A7" w14:textId="2FCB1E91" w:rsidR="00C36D5F" w:rsidRPr="00F0646E" w:rsidRDefault="00C36D5F" w:rsidP="00C36D5F">
      <w:pPr>
        <w:pStyle w:val="FootnoteText"/>
      </w:pPr>
      <w:r w:rsidRPr="009006D7">
        <w:rPr>
          <w:rStyle w:val="FootnoteReference"/>
        </w:rPr>
        <w:footnoteRef/>
      </w:r>
      <w:r w:rsidRPr="00F0646E">
        <w:t xml:space="preserve"> </w:t>
      </w:r>
      <w:r w:rsidRPr="00F0646E">
        <w:tab/>
        <w:t xml:space="preserve">Standard </w:t>
      </w:r>
      <w:r w:rsidR="0079296F">
        <w:t>specialised</w:t>
      </w:r>
      <w:r w:rsidRPr="00F0646E">
        <w:t xml:space="preserve"> services often require thresholds to be met before someone can receive help. This approach has developed over many decades as an effective tool to manage </w:t>
      </w:r>
      <w:r w:rsidR="00A92D8A">
        <w:t xml:space="preserve">short-term </w:t>
      </w:r>
      <w:r w:rsidRPr="00F0646E">
        <w:t xml:space="preserve">costs. However, when a person or whānau experiences multiple challenges over an extended period, a focus on </w:t>
      </w:r>
      <w:r w:rsidR="00335456">
        <w:t xml:space="preserve">short-term </w:t>
      </w:r>
      <w:r w:rsidRPr="00F0646E">
        <w:t>cost containment can lead to poorer outcomes as stress builds, issues compound and severity escalates</w:t>
      </w:r>
      <w:r w:rsidR="00335456">
        <w:t xml:space="preserve"> which can potentially be more costly in the long run</w:t>
      </w:r>
      <w:r w:rsidRPr="00F0646E">
        <w:t>.</w:t>
      </w:r>
    </w:p>
  </w:footnote>
  <w:footnote w:id="51">
    <w:p w14:paraId="572324C1" w14:textId="3C50EC17" w:rsidR="00292CF3" w:rsidRDefault="00292CF3">
      <w:pPr>
        <w:pStyle w:val="FootnoteText"/>
      </w:pPr>
      <w:r w:rsidRPr="009006D7">
        <w:rPr>
          <w:rStyle w:val="FootnoteReference"/>
        </w:rPr>
        <w:footnoteRef/>
      </w:r>
      <w:r>
        <w:t xml:space="preserve"> </w:t>
      </w:r>
      <w:r w:rsidR="00AB0E7F">
        <w:tab/>
        <w:t xml:space="preserve">There are currently </w:t>
      </w:r>
      <w:proofErr w:type="gramStart"/>
      <w:r w:rsidR="00AB0E7F">
        <w:t>a number of</w:t>
      </w:r>
      <w:proofErr w:type="gramEnd"/>
      <w:r w:rsidR="00AB0E7F">
        <w:t xml:space="preserve"> types of </w:t>
      </w:r>
      <w:r w:rsidR="00B56B5B">
        <w:t>organisations</w:t>
      </w:r>
      <w:r w:rsidR="00AB0E7F">
        <w:t xml:space="preserve"> in New Zealand that are starting to </w:t>
      </w:r>
      <w:r w:rsidR="00B56B5B">
        <w:t>develop</w:t>
      </w:r>
      <w:r w:rsidR="00AB0E7F">
        <w:t xml:space="preserve"> this sort of approach. Whān</w:t>
      </w:r>
      <w:r w:rsidR="00B56B5B">
        <w:t xml:space="preserve">au Ora is operating at a national scale, through three commissioning bodies; Manaaki </w:t>
      </w:r>
      <w:proofErr w:type="spellStart"/>
      <w:r w:rsidR="00B56B5B">
        <w:t>Tairāwhiti</w:t>
      </w:r>
      <w:proofErr w:type="spellEnd"/>
      <w:r w:rsidR="00B56B5B">
        <w:t xml:space="preserve"> are working </w:t>
      </w:r>
      <w:r w:rsidR="008471E6">
        <w:t xml:space="preserve">to </w:t>
      </w:r>
      <w:r w:rsidR="00EC39B8">
        <w:t>embed</w:t>
      </w:r>
      <w:r w:rsidR="008471E6">
        <w:t xml:space="preserve"> their version of navigators into service providers and the South Auckland Social Wellbeing Board are</w:t>
      </w:r>
      <w:r w:rsidR="00EC39B8">
        <w:t xml:space="preserve"> using multi-disciplinary teams to co-ordinate services provided by departments. </w:t>
      </w:r>
      <w:r w:rsidR="00DF591B">
        <w:t>We discuss</w:t>
      </w:r>
      <w:r w:rsidR="008471E6">
        <w:t xml:space="preserve"> </w:t>
      </w:r>
      <w:r w:rsidR="00DF591B">
        <w:t xml:space="preserve">Manaaki </w:t>
      </w:r>
      <w:proofErr w:type="spellStart"/>
      <w:r w:rsidR="00DF591B">
        <w:t>Tairāwhiti</w:t>
      </w:r>
      <w:proofErr w:type="spellEnd"/>
      <w:r w:rsidR="00DF591B" w:rsidRPr="00DF591B">
        <w:t xml:space="preserve"> </w:t>
      </w:r>
      <w:r w:rsidR="00DF591B">
        <w:t xml:space="preserve">and the South Auckland Social Wellbeing Board in section </w:t>
      </w:r>
      <w:r w:rsidR="00DF591B">
        <w:fldChar w:fldCharType="begin"/>
      </w:r>
      <w:r w:rsidR="00DF591B">
        <w:instrText xml:space="preserve"> REF _Ref125976403 \r \h </w:instrText>
      </w:r>
      <w:r w:rsidR="00DF591B">
        <w:fldChar w:fldCharType="separate"/>
      </w:r>
      <w:r w:rsidR="00E06351">
        <w:t>2.5.10</w:t>
      </w:r>
      <w:r w:rsidR="00DF591B">
        <w:fldChar w:fldCharType="end"/>
      </w:r>
      <w:r w:rsidR="00393D68">
        <w:t xml:space="preserve"> below</w:t>
      </w:r>
      <w:r w:rsidR="004624FE">
        <w:t xml:space="preserve">. </w:t>
      </w:r>
      <w:r w:rsidR="00A7735C">
        <w:t>Julie</w:t>
      </w:r>
      <w:r w:rsidR="004624FE">
        <w:t xml:space="preserve"> Fry </w:t>
      </w:r>
      <w:r w:rsidR="00A7735C">
        <w:t xml:space="preserve">discussed </w:t>
      </w:r>
      <w:r w:rsidR="00A7735C" w:rsidRPr="00A7735C">
        <w:t>Whānau Ora</w:t>
      </w:r>
      <w:r w:rsidR="00A7735C">
        <w:t xml:space="preserve"> in her </w:t>
      </w:r>
      <w:r w:rsidR="00545402" w:rsidRPr="00545402">
        <w:t>review of joined-up social services</w:t>
      </w:r>
      <w:r w:rsidR="00545402">
        <w:t xml:space="preserve"> </w:t>
      </w:r>
      <w:r w:rsidR="00A7735C">
        <w:t xml:space="preserve">for the Productivity Commission </w:t>
      </w:r>
      <w:r w:rsidR="00287D41">
        <w:fldChar w:fldCharType="begin"/>
      </w:r>
      <w:r w:rsidR="009B0EC4">
        <w:instrText xml:space="preserve"> ADDIN ZOTERO_ITEM CSL_CITATION {"citationID":"0wIHVuNe","properties":{"formattedCitation":"(Fry 2022, 45 ff)","plainCitation":"(Fry 2022, 45 ff)","noteIndex":50},"citationItems":[{"id":18461,"uris":["http://zotero.org/groups/4801058/items/Y4XY6L7J"],"itemData":{"id":18461,"type":"report","event-place":"Wellington","publisher":"Productivity Commission","publisher-place":"Wellington","title":"Together alone: A review of joined-up social services","URL":"https://www.productivity.govt.nz/assets/Documents/Together-alone_A-review-of-joined-up-social-services.pdf","author":[{"family":"Fry","given":"Julie"}],"accessed":{"date-parts":[["2023",1,15]]},"issued":{"date-parts":[["2022"]]}},"locator":"45 ff","label":"page"}],"schema":"https://github.com/citation-style-language/schema/raw/master/csl-citation.json"} </w:instrText>
      </w:r>
      <w:r w:rsidR="00287D41">
        <w:fldChar w:fldCharType="separate"/>
      </w:r>
      <w:r w:rsidR="00287D41" w:rsidRPr="00287D41">
        <w:rPr>
          <w:rFonts w:cs="Calibri"/>
        </w:rPr>
        <w:t>(Fry 2022, 45 ff)</w:t>
      </w:r>
      <w:r w:rsidR="00287D41">
        <w:fldChar w:fldCharType="end"/>
      </w:r>
      <w:r w:rsidR="00287D41">
        <w:t>.</w:t>
      </w:r>
    </w:p>
  </w:footnote>
  <w:footnote w:id="52">
    <w:p w14:paraId="69FB6BD4" w14:textId="23C333ED" w:rsidR="001E29AB" w:rsidRPr="00F0646E" w:rsidRDefault="001E29AB" w:rsidP="001E29AB">
      <w:pPr>
        <w:pStyle w:val="FootnoteText"/>
      </w:pPr>
      <w:r w:rsidRPr="009006D7">
        <w:rPr>
          <w:rStyle w:val="FootnoteReference"/>
        </w:rPr>
        <w:footnoteRef/>
      </w:r>
      <w:r w:rsidRPr="00F0646E">
        <w:t xml:space="preserve"> </w:t>
      </w:r>
      <w:r w:rsidRPr="00107BC9">
        <w:tab/>
      </w:r>
      <w:r w:rsidRPr="004004A3">
        <w:t>The Royal Commission of Inquiry into abuse in state care reports particularly egregious examples</w:t>
      </w:r>
      <w:r w:rsidR="00541274">
        <w:t>:</w:t>
      </w:r>
      <w:r w:rsidR="002C7A8E">
        <w:t xml:space="preserve"> </w:t>
      </w:r>
      <w:r w:rsidR="00FD4339">
        <w:t>“</w:t>
      </w:r>
      <w:r w:rsidR="00FD4339" w:rsidRPr="00FD4339">
        <w:t>For many, Lake Alice was a place of misery, neglect, terror and torment</w:t>
      </w:r>
      <w:r w:rsidR="007B0049">
        <w:t>”</w:t>
      </w:r>
      <w:r w:rsidR="00CF5AFD">
        <w:t xml:space="preserve"> </w:t>
      </w:r>
      <w:r w:rsidR="006A4974" w:rsidRPr="004004A3">
        <w:fldChar w:fldCharType="begin"/>
      </w:r>
      <w:r w:rsidR="009B0EC4">
        <w:instrText xml:space="preserve"> ADDIN ZOTERO_ITEM CSL_CITATION {"citationID":"WiWwH2sF","properties":{"formattedCitation":"(Abuse in Care Royal Commission of Inquiry 2022, 27)","plainCitation":"(Abuse in Care Royal Commission of Inquiry 2022, 27)","noteIndex":51},"citationItems":[{"id":18484,"uris":["http://zotero.org/groups/4801058/items/7QQ3DM5N"],"itemData":{"id":18484,"type":"report","event-place":"Wellington","publisher":"Abuse in Care Royal Commission of Inquiry","publisher-place":"Wellington","title":"Beautiful Children: Inquiry into the Lake Alice Child and Adolescent Unit","URL":"https://www.abuseincare.org.nz/our-progress/reports/inquiry-into-the-lake-alice-child-and-adolescent-unit/","author":[{"family":"Abuse in Care Royal Commission of Inquiry","given":""}],"accessed":{"date-parts":[["2023",1,17]]},"issued":{"date-parts":[["2022"]]}},"locator":"27","label":"page"}],"schema":"https://github.com/citation-style-language/schema/raw/master/csl-citation.json"} </w:instrText>
      </w:r>
      <w:r w:rsidR="006A4974" w:rsidRPr="004004A3">
        <w:fldChar w:fldCharType="separate"/>
      </w:r>
      <w:r w:rsidR="007B0049" w:rsidRPr="007B0049">
        <w:rPr>
          <w:rFonts w:cs="Calibri"/>
        </w:rPr>
        <w:t>(Abuse in Care Royal Commission of Inquiry 2022, 27)</w:t>
      </w:r>
      <w:r w:rsidR="006A4974" w:rsidRPr="004004A3">
        <w:fldChar w:fldCharType="end"/>
      </w:r>
      <w:r w:rsidRPr="004004A3">
        <w:t xml:space="preserve">. Another example is policies intended to reduce drug harm that focus on criminality rather than treating addiction, and which fail to understand drug delivery business models. Recent evaluations of He Ara </w:t>
      </w:r>
      <w:proofErr w:type="spellStart"/>
      <w:r w:rsidRPr="004004A3">
        <w:t>Oranga</w:t>
      </w:r>
      <w:proofErr w:type="spellEnd"/>
      <w:r w:rsidRPr="004004A3">
        <w:t xml:space="preserve">, a methamphetamine harm reduction programme in Northland, concluded that a key component to driving down demand involves “destigmatising users and their involvement and role in supplying the drug to others” </w:t>
      </w:r>
      <w:r w:rsidRPr="004004A3">
        <w:fldChar w:fldCharType="begin"/>
      </w:r>
      <w:r w:rsidR="009B0EC4">
        <w:instrText xml:space="preserve"> ADDIN ZOTERO_ITEM CSL_CITATION {"citationID":"ak8ntuapea","properties":{"formattedCitation":"(Walton and Martin 2021, 14)","plainCitation":"(Walton and Martin 2021, 14)","noteIndex":51},"citationItems":[{"id":18120,"uris":["http://zotero.org/groups/4801058/items/UHL3AGZM"],"itemData":{"id":18120,"type":"article-journal","language":"en","note":"Wellington: Ministry of Health","source":"Zotero","title":"The Evaluation of Te Ara Oranga: The Path to Wellbeing. A Methamphetamine Harm Reduction Programme in Northland.","author":[{"family":"Walton","given":"Darren"},{"family":"Martin","given":"Samara"}],"issued":{"date-parts":[["2021"]]}},"locator":"14","label":"page"}],"schema":"https://github.com/citation-style-language/schema/raw/master/csl-citation.json"} </w:instrText>
      </w:r>
      <w:r w:rsidRPr="004004A3">
        <w:fldChar w:fldCharType="separate"/>
      </w:r>
      <w:r w:rsidRPr="004004A3">
        <w:rPr>
          <w:rFonts w:cs="Calibri"/>
          <w:szCs w:val="24"/>
        </w:rPr>
        <w:t>(Walton and Martin 2021, 14)</w:t>
      </w:r>
      <w:r w:rsidRPr="004004A3">
        <w:fldChar w:fldCharType="end"/>
      </w:r>
      <w:r w:rsidRPr="004004A3">
        <w:t>.</w:t>
      </w:r>
    </w:p>
  </w:footnote>
  <w:footnote w:id="53">
    <w:p w14:paraId="60C75B63" w14:textId="385E5D85" w:rsidR="00177AFF" w:rsidRDefault="00177AFF">
      <w:pPr>
        <w:pStyle w:val="FootnoteText"/>
      </w:pPr>
      <w:r w:rsidRPr="009006D7">
        <w:rPr>
          <w:rStyle w:val="FootnoteReference"/>
        </w:rPr>
        <w:footnoteRef/>
      </w:r>
      <w:r>
        <w:t xml:space="preserve"> </w:t>
      </w:r>
      <w:r>
        <w:tab/>
        <w:t xml:space="preserve">For a recent </w:t>
      </w:r>
      <w:r w:rsidR="00947946" w:rsidRPr="00947946">
        <w:t xml:space="preserve">research report by a group of eminent </w:t>
      </w:r>
      <w:proofErr w:type="spellStart"/>
      <w:r w:rsidR="00947946" w:rsidRPr="00947946">
        <w:t>tangata</w:t>
      </w:r>
      <w:proofErr w:type="spellEnd"/>
      <w:r w:rsidR="00947946" w:rsidRPr="00947946">
        <w:t xml:space="preserve"> whenua scholars and leaders</w:t>
      </w:r>
      <w:r w:rsidR="00947946">
        <w:t xml:space="preserve"> on </w:t>
      </w:r>
      <w:r w:rsidR="00C51C5C">
        <w:t xml:space="preserve">the </w:t>
      </w:r>
      <w:r w:rsidR="00C51C5C" w:rsidRPr="00C51C5C">
        <w:t xml:space="preserve">impacts of colonisation, racism, and white supremacy upon </w:t>
      </w:r>
      <w:proofErr w:type="spellStart"/>
      <w:r w:rsidR="00C51C5C" w:rsidRPr="00C51C5C">
        <w:t>Tangata</w:t>
      </w:r>
      <w:proofErr w:type="spellEnd"/>
      <w:r w:rsidR="00C51C5C" w:rsidRPr="00C51C5C">
        <w:t xml:space="preserve"> Whenua in Aotearoa</w:t>
      </w:r>
      <w:r w:rsidR="00C51C5C">
        <w:t xml:space="preserve">, see Human Right Commission </w:t>
      </w:r>
      <w:r w:rsidR="00C51C5C">
        <w:fldChar w:fldCharType="begin"/>
      </w:r>
      <w:r w:rsidR="009B0EC4">
        <w:instrText xml:space="preserve"> ADDIN ZOTERO_ITEM CSL_CITATION {"citationID":"jSbgb84t","properties":{"formattedCitation":"(2022)","plainCitation":"(2022)","noteIndex":52},"citationItems":[{"id":18688,"uris":["http://zotero.org/groups/4801058/items/VB54ZWH8"],"itemData":{"id":18688,"type":"report","event-place":"Wellington","publisher":"Human Rights Commission","publisher-place":"Wellington","title":"Maranga Mai!: The dynamics and impacts of white supremacy, racism, and colonisation upon tangata whenua in Aotearoa New Zealand.","author":[{"family":"Human Rights Commission","given":""}],"issued":{"date-parts":[["2022"]]}},"label":"page","suppress-author":true}],"schema":"https://github.com/citation-style-language/schema/raw/master/csl-citation.json"} </w:instrText>
      </w:r>
      <w:r w:rsidR="00C51C5C">
        <w:fldChar w:fldCharType="separate"/>
      </w:r>
      <w:r w:rsidR="00C51C5C" w:rsidRPr="00C51C5C">
        <w:rPr>
          <w:rFonts w:cs="Calibri"/>
        </w:rPr>
        <w:t>(2022)</w:t>
      </w:r>
      <w:r w:rsidR="00C51C5C">
        <w:fldChar w:fldCharType="end"/>
      </w:r>
      <w:r w:rsidR="003E4010">
        <w:t>.</w:t>
      </w:r>
      <w:r w:rsidR="00C51C5C">
        <w:t xml:space="preserve"> </w:t>
      </w:r>
      <w:r w:rsidR="00205631">
        <w:t xml:space="preserve">A report on the work of the </w:t>
      </w:r>
      <w:r w:rsidR="00205631" w:rsidRPr="00205631">
        <w:t>Human Rights Commission</w:t>
      </w:r>
      <w:r w:rsidR="00205631">
        <w:t xml:space="preserve"> in developing a </w:t>
      </w:r>
      <w:r w:rsidR="00A35193" w:rsidRPr="00A35193">
        <w:t>National Action Plan Against Racism</w:t>
      </w:r>
      <w:r w:rsidR="00A35193">
        <w:t xml:space="preserve"> is in Human Right Commission </w:t>
      </w:r>
      <w:r w:rsidR="00A35193">
        <w:fldChar w:fldCharType="begin"/>
      </w:r>
      <w:r w:rsidR="009B0EC4">
        <w:instrText xml:space="preserve"> ADDIN ZOTERO_ITEM CSL_CITATION {"citationID":"d0F8gpIp","properties":{"formattedCitation":"(2022)","plainCitation":"(2022)","noteIndex":52},"citationItems":[{"id":18689,"uris":["http://zotero.org/groups/4801058/items/4SFVFMZ3"],"itemData":{"id":18689,"type":"report","event-place":"Wellington","publisher":"Human Rights Commission","publisher-place":"Wellington","title":"Ki te whaiao, ki te ao Mārama: Community Engagement Report for developing a National Action Plan Against Racism","author":[{"literal":"Human Rights"},{"literal":"Commission"}],"issued":{"date-parts":[["2022"]]}},"label":"page","suppress-author":true}],"schema":"https://github.com/citation-style-language/schema/raw/master/csl-citation.json"} </w:instrText>
      </w:r>
      <w:r w:rsidR="00A35193">
        <w:fldChar w:fldCharType="separate"/>
      </w:r>
      <w:r w:rsidR="00526D39" w:rsidRPr="00526D39">
        <w:rPr>
          <w:rFonts w:cs="Calibri"/>
        </w:rPr>
        <w:t>(2022)</w:t>
      </w:r>
      <w:r w:rsidR="00A35193">
        <w:fldChar w:fldCharType="end"/>
      </w:r>
      <w:r w:rsidR="006C7A87">
        <w:t>.</w:t>
      </w:r>
    </w:p>
  </w:footnote>
  <w:footnote w:id="54">
    <w:p w14:paraId="539DD070" w14:textId="15256530" w:rsidR="00BE015F" w:rsidRDefault="00BE015F">
      <w:pPr>
        <w:pStyle w:val="FootnoteText"/>
      </w:pPr>
      <w:r w:rsidRPr="009006D7">
        <w:rPr>
          <w:rStyle w:val="FootnoteReference"/>
        </w:rPr>
        <w:footnoteRef/>
      </w:r>
      <w:r>
        <w:t xml:space="preserve"> </w:t>
      </w:r>
      <w:r>
        <w:tab/>
        <w:t xml:space="preserve">We return to a more detailed discussion of how a workforce can be </w:t>
      </w:r>
      <w:r w:rsidRPr="00D766EF">
        <w:t xml:space="preserve">empowered in </w:t>
      </w:r>
      <w:r w:rsidR="005B383A" w:rsidRPr="00D766EF">
        <w:t>s</w:t>
      </w:r>
      <w:r w:rsidRPr="00D766EF">
        <w:t xml:space="preserve">ections </w:t>
      </w:r>
      <w:r w:rsidR="00D766EF" w:rsidRPr="00D766EF">
        <w:fldChar w:fldCharType="begin"/>
      </w:r>
      <w:r w:rsidR="00D766EF" w:rsidRPr="00D766EF">
        <w:instrText xml:space="preserve"> REF _Ref124683501 \r \h </w:instrText>
      </w:r>
      <w:r w:rsidR="00D766EF">
        <w:instrText xml:space="preserve"> \* MERGEFORMAT </w:instrText>
      </w:r>
      <w:r w:rsidR="00D766EF" w:rsidRPr="00D766EF">
        <w:fldChar w:fldCharType="separate"/>
      </w:r>
      <w:r w:rsidR="00E06351">
        <w:t>3.7.2</w:t>
      </w:r>
      <w:r w:rsidR="00D766EF" w:rsidRPr="00D766EF">
        <w:fldChar w:fldCharType="end"/>
      </w:r>
      <w:r w:rsidR="00FF395C" w:rsidRPr="00D766EF">
        <w:t xml:space="preserve"> </w:t>
      </w:r>
      <w:r w:rsidR="00DD5548">
        <w:t xml:space="preserve">and </w:t>
      </w:r>
      <w:r w:rsidR="00DD5548">
        <w:fldChar w:fldCharType="begin"/>
      </w:r>
      <w:r w:rsidR="00DD5548">
        <w:instrText xml:space="preserve"> REF _Ref125966770 \r \h </w:instrText>
      </w:r>
      <w:r w:rsidR="00DD5548">
        <w:fldChar w:fldCharType="separate"/>
      </w:r>
      <w:r w:rsidR="00E06351">
        <w:t>4.6.7</w:t>
      </w:r>
      <w:r w:rsidR="00DD5548">
        <w:fldChar w:fldCharType="end"/>
      </w:r>
      <w:r w:rsidR="00FF395C" w:rsidRPr="00D766EF">
        <w:t>.</w:t>
      </w:r>
    </w:p>
  </w:footnote>
  <w:footnote w:id="55">
    <w:p w14:paraId="47FCF587" w14:textId="6B0DC783" w:rsidR="001E29AB" w:rsidRPr="00107BC9" w:rsidRDefault="001E29AB" w:rsidP="001E29AB">
      <w:pPr>
        <w:pStyle w:val="FootnoteText"/>
      </w:pPr>
      <w:r w:rsidRPr="009006D7">
        <w:rPr>
          <w:rStyle w:val="FootnoteReference"/>
        </w:rPr>
        <w:footnoteRef/>
      </w:r>
      <w:r w:rsidRPr="00F0646E">
        <w:t xml:space="preserve"> </w:t>
      </w:r>
      <w:r w:rsidRPr="00F0646E">
        <w:tab/>
      </w:r>
      <w:proofErr w:type="spellStart"/>
      <w:r w:rsidRPr="00F0646E">
        <w:t>Tōfā</w:t>
      </w:r>
      <w:proofErr w:type="spellEnd"/>
      <w:r w:rsidRPr="00F0646E">
        <w:t xml:space="preserve"> </w:t>
      </w:r>
      <w:proofErr w:type="spellStart"/>
      <w:r w:rsidRPr="00F0646E">
        <w:t>Mamao</w:t>
      </w:r>
      <w:proofErr w:type="spellEnd"/>
      <w:r w:rsidRPr="00F0646E">
        <w:t xml:space="preserve"> is a proudly independent national non-profit collective led entirely by </w:t>
      </w:r>
      <w:proofErr w:type="spellStart"/>
      <w:r w:rsidRPr="00F0646E">
        <w:t>tagata</w:t>
      </w:r>
      <w:proofErr w:type="spellEnd"/>
      <w:r w:rsidRPr="00F0646E">
        <w:t xml:space="preserve"> </w:t>
      </w:r>
      <w:proofErr w:type="spellStart"/>
      <w:r w:rsidRPr="00F0646E">
        <w:t>sa’ilimalo</w:t>
      </w:r>
      <w:proofErr w:type="spellEnd"/>
      <w:r w:rsidRPr="00F0646E">
        <w:t xml:space="preserve">. Their vision and strategic framework </w:t>
      </w:r>
      <w:r w:rsidR="00C12F1C" w:rsidRPr="00F0646E">
        <w:t>build</w:t>
      </w:r>
      <w:r w:rsidRPr="00F0646E">
        <w:t xml:space="preserve"> on a social movement developed in Aotearoa over more than two decades by </w:t>
      </w:r>
      <w:proofErr w:type="spellStart"/>
      <w:r w:rsidRPr="00F0646E">
        <w:t>tagata</w:t>
      </w:r>
      <w:proofErr w:type="spellEnd"/>
      <w:r w:rsidRPr="00F0646E">
        <w:t xml:space="preserve"> </w:t>
      </w:r>
      <w:proofErr w:type="spellStart"/>
      <w:r w:rsidRPr="00F0646E">
        <w:t>sa’ilimalo</w:t>
      </w:r>
      <w:proofErr w:type="spellEnd"/>
      <w:r w:rsidRPr="00F0646E">
        <w:t xml:space="preserve"> (Pacific disabled people) and their families (</w:t>
      </w:r>
      <w:proofErr w:type="spellStart"/>
      <w:r w:rsidRPr="00F0646E">
        <w:t>nofo</w:t>
      </w:r>
      <w:proofErr w:type="spellEnd"/>
      <w:r w:rsidRPr="00F0646E">
        <w:t>-a-</w:t>
      </w:r>
      <w:proofErr w:type="spellStart"/>
      <w:r w:rsidRPr="00F0646E">
        <w:t>kainga</w:t>
      </w:r>
      <w:proofErr w:type="spellEnd"/>
      <w:r w:rsidRPr="00F0646E">
        <w:t>) and carers/supporters (</w:t>
      </w:r>
      <w:proofErr w:type="spellStart"/>
      <w:r w:rsidRPr="00F0646E">
        <w:t>tautua</w:t>
      </w:r>
      <w:proofErr w:type="spellEnd"/>
      <w:r w:rsidRPr="00F0646E">
        <w:t xml:space="preserve"> </w:t>
      </w:r>
      <w:proofErr w:type="spellStart"/>
      <w:r w:rsidRPr="00F0646E">
        <w:t>soifua</w:t>
      </w:r>
      <w:proofErr w:type="spellEnd"/>
      <w:r w:rsidRPr="00F0646E">
        <w:t xml:space="preserve">). The name </w:t>
      </w:r>
      <w:proofErr w:type="spellStart"/>
      <w:r w:rsidRPr="00F0646E">
        <w:t>Tagata</w:t>
      </w:r>
      <w:proofErr w:type="spellEnd"/>
      <w:r w:rsidRPr="00F0646E">
        <w:t xml:space="preserve"> </w:t>
      </w:r>
      <w:proofErr w:type="spellStart"/>
      <w:r w:rsidRPr="00F0646E">
        <w:t>Sa’ilimalo</w:t>
      </w:r>
      <w:proofErr w:type="spellEnd"/>
      <w:r w:rsidRPr="00F0646E">
        <w:t xml:space="preserve"> is derived from a Samoan phrase, </w:t>
      </w:r>
      <w:proofErr w:type="spellStart"/>
      <w:r w:rsidRPr="00F0646E">
        <w:t>malo</w:t>
      </w:r>
      <w:proofErr w:type="spellEnd"/>
      <w:r w:rsidRPr="00F0646E">
        <w:t xml:space="preserve"> le </w:t>
      </w:r>
      <w:proofErr w:type="spellStart"/>
      <w:r w:rsidRPr="00F0646E">
        <w:t>sa’ili</w:t>
      </w:r>
      <w:proofErr w:type="spellEnd"/>
      <w:r w:rsidRPr="00F0646E">
        <w:t xml:space="preserve"> </w:t>
      </w:r>
      <w:proofErr w:type="spellStart"/>
      <w:r w:rsidRPr="00F0646E">
        <w:t>malo</w:t>
      </w:r>
      <w:proofErr w:type="spellEnd"/>
      <w:r w:rsidRPr="00F0646E">
        <w:t xml:space="preserve">, </w:t>
      </w:r>
      <w:proofErr w:type="spellStart"/>
      <w:r w:rsidRPr="00F0646E">
        <w:t>malo</w:t>
      </w:r>
      <w:proofErr w:type="spellEnd"/>
      <w:r w:rsidRPr="00F0646E">
        <w:t xml:space="preserve"> le </w:t>
      </w:r>
      <w:proofErr w:type="spellStart"/>
      <w:r w:rsidRPr="00F0646E">
        <w:t>finau</w:t>
      </w:r>
      <w:proofErr w:type="spellEnd"/>
      <w:r w:rsidRPr="00F0646E">
        <w:t xml:space="preserve">, </w:t>
      </w:r>
      <w:proofErr w:type="spellStart"/>
      <w:r w:rsidRPr="00F0646E">
        <w:t>malo</w:t>
      </w:r>
      <w:proofErr w:type="spellEnd"/>
      <w:r w:rsidRPr="00F0646E">
        <w:t xml:space="preserve"> le </w:t>
      </w:r>
      <w:proofErr w:type="spellStart"/>
      <w:r w:rsidRPr="00F0646E">
        <w:t>tauivi</w:t>
      </w:r>
      <w:proofErr w:type="spellEnd"/>
      <w:r w:rsidRPr="00F0646E">
        <w:t xml:space="preserve">, which acknowledges an individual or group’s victory or achievement and allows “allows those who have witnessed or taken part in the successful journey to recognise everything it took to get there”. The English meaning of this expression is “well done for pursuing success; well done for raising and arguing the point; well done for persevering with the struggle”. Over time, </w:t>
      </w:r>
      <w:proofErr w:type="spellStart"/>
      <w:r w:rsidR="00474DE2" w:rsidRPr="00F0646E">
        <w:t>Tōfā</w:t>
      </w:r>
      <w:proofErr w:type="spellEnd"/>
      <w:r w:rsidR="00474DE2" w:rsidRPr="00F0646E">
        <w:t xml:space="preserve"> </w:t>
      </w:r>
      <w:proofErr w:type="spellStart"/>
      <w:r w:rsidRPr="00F0646E">
        <w:t>Mamao</w:t>
      </w:r>
      <w:proofErr w:type="spellEnd"/>
      <w:r w:rsidRPr="00F0646E">
        <w:t xml:space="preserve"> anticipates that “additional names will be developed in other Pacific languages to describe the same underlying vision” </w:t>
      </w:r>
      <w:r w:rsidRPr="00F0646E">
        <w:fldChar w:fldCharType="begin"/>
      </w:r>
      <w:r w:rsidR="009B0EC4">
        <w:instrText xml:space="preserve"> ADDIN ZOTERO_ITEM CSL_CITATION {"citationID":"a17js8ssq7u","properties":{"formattedCitation":"(T\\uc0\\u333{}f\\uc0\\u257{} Mamao Collective 2022, 2)","plainCitation":"(Tōfā Mamao Collective 2022, 2)","noteIndex":54},"citationItems":[{"id":18124,"uris":["http://zotero.org/groups/4801058/items/P3CPBU4M"],"itemData":{"id":18124,"type":"report","title":"Tagata Sa’ilimalo Strategic Framework","author":[{"family":"Tōfā Mamao Collective","given":""}],"issued":{"date-parts":[["2022"]]}},"locator":"2","label":"page"}],"schema":"https://github.com/citation-style-language/schema/raw/master/csl-citation.json"} </w:instrText>
      </w:r>
      <w:r w:rsidRPr="00F0646E">
        <w:fldChar w:fldCharType="separate"/>
      </w:r>
      <w:r w:rsidRPr="00F0646E">
        <w:rPr>
          <w:rFonts w:cs="Calibri"/>
          <w:szCs w:val="24"/>
        </w:rPr>
        <w:t>(</w:t>
      </w:r>
      <w:proofErr w:type="spellStart"/>
      <w:r w:rsidRPr="00F0646E">
        <w:rPr>
          <w:rFonts w:cs="Calibri"/>
          <w:szCs w:val="24"/>
        </w:rPr>
        <w:t>Tōfā</w:t>
      </w:r>
      <w:proofErr w:type="spellEnd"/>
      <w:r w:rsidRPr="00F0646E">
        <w:rPr>
          <w:rFonts w:cs="Calibri"/>
          <w:szCs w:val="24"/>
        </w:rPr>
        <w:t xml:space="preserve"> </w:t>
      </w:r>
      <w:proofErr w:type="spellStart"/>
      <w:r w:rsidRPr="00F0646E">
        <w:rPr>
          <w:rFonts w:cs="Calibri"/>
          <w:szCs w:val="24"/>
        </w:rPr>
        <w:t>Mamao</w:t>
      </w:r>
      <w:proofErr w:type="spellEnd"/>
      <w:r w:rsidRPr="00F0646E">
        <w:rPr>
          <w:rFonts w:cs="Calibri"/>
          <w:szCs w:val="24"/>
        </w:rPr>
        <w:t xml:space="preserve"> Collective 2022, 2)</w:t>
      </w:r>
      <w:r w:rsidRPr="00F0646E">
        <w:fldChar w:fldCharType="end"/>
      </w:r>
      <w:r w:rsidRPr="00F0646E">
        <w:t>.</w:t>
      </w:r>
    </w:p>
  </w:footnote>
  <w:footnote w:id="56">
    <w:p w14:paraId="56689E71" w14:textId="77777777" w:rsidR="00FC1E6E" w:rsidRPr="002C4CAD" w:rsidRDefault="00FC1E6E" w:rsidP="00FC1E6E">
      <w:pPr>
        <w:pStyle w:val="FootnoteText"/>
      </w:pPr>
      <w:r w:rsidRPr="009006D7">
        <w:rPr>
          <w:rStyle w:val="FootnoteReference"/>
        </w:rPr>
        <w:footnoteRef/>
      </w:r>
      <w:r w:rsidRPr="00F0646E">
        <w:t xml:space="preserve"> </w:t>
      </w:r>
      <w:r w:rsidRPr="002C4CAD">
        <w:tab/>
        <w:t xml:space="preserve">As </w:t>
      </w:r>
      <w:proofErr w:type="spellStart"/>
      <w:r w:rsidRPr="002C4CAD">
        <w:t>Arja</w:t>
      </w:r>
      <w:proofErr w:type="spellEnd"/>
      <w:r w:rsidRPr="002C4CAD">
        <w:t xml:space="preserve"> </w:t>
      </w:r>
      <w:proofErr w:type="spellStart"/>
      <w:r w:rsidRPr="002C4CAD">
        <w:t>Lehti</w:t>
      </w:r>
      <w:proofErr w:type="spellEnd"/>
      <w:r w:rsidRPr="002C4CAD">
        <w:t xml:space="preserve"> and her colleagues note:</w:t>
      </w:r>
    </w:p>
    <w:p w14:paraId="069339AF" w14:textId="28B9B33E" w:rsidR="00FC1E6E" w:rsidRPr="002C4CAD" w:rsidRDefault="00FC1E6E" w:rsidP="00FC1E6E">
      <w:pPr>
        <w:pStyle w:val="FootnoteText"/>
        <w:tabs>
          <w:tab w:val="clear" w:pos="425"/>
        </w:tabs>
        <w:ind w:left="810" w:firstLine="0"/>
      </w:pPr>
      <w:r w:rsidRPr="002C4CAD">
        <w:tab/>
      </w:r>
      <w:r w:rsidRPr="002C4CAD">
        <w:rPr>
          <w:i/>
          <w:iCs/>
        </w:rPr>
        <w:t>Many minority group patients who attend primary health care are depressed. To identify a depressive state when GPs see patients from other cultures than their own can be difficult because of cultural and gender differences in expressions and problems of communication.</w:t>
      </w:r>
      <w:r w:rsidRPr="002C4CAD">
        <w:t xml:space="preserve"> </w:t>
      </w:r>
      <w:r w:rsidRPr="002C4CAD">
        <w:fldChar w:fldCharType="begin"/>
      </w:r>
      <w:r w:rsidR="009B0EC4">
        <w:instrText xml:space="preserve"> ADDIN ZOTERO_ITEM CSL_CITATION {"citationID":"a1m517itm1q","properties":{"formattedCitation":"(Lehti, Hammarstr\\uc0\\u246{}m, and Mattsson 2009)","plainCitation":"(Lehti, Hammarström, and Mattsson 2009)","noteIndex":55},"citationItems":[{"id":17088,"uris":["http://zotero.org/groups/4801058/items/JCY3V5T5"],"itemData":{"id":17088,"type":"article-journal","abstract":"Many minority group patients who attend primary health care are depressed. To identify a depressive state when GPs see patients from other cultures than their own can be difficult because of cultural and gender differences in expressions and problems of communication. The aim of this study was to explore and analyse how GPs think and deliberate when seeing and treating patients from foreign countries who display potential depressive features.","container-title":"BMC Family Practice","DOI":"10.1186/1471-2296-10-53","ISSN":"1471-2296","issue":"1","journalAbbreviation":"BMC Family Practice","page":"53","source":"BioMed Central","title":"Recognition of depression in people of different cultures: a qualitative study","title-short":"Recognition of depression in people of different cultures","volume":"10","author":[{"family":"Lehti","given":"Arja"},{"family":"Hammarström","given":"Anne"},{"family":"Mattsson","given":"Bengt"}],"issued":{"date-parts":[["2009",7,27]]}}}],"schema":"https://github.com/citation-style-language/schema/raw/master/csl-citation.json"} </w:instrText>
      </w:r>
      <w:r w:rsidRPr="002C4CAD">
        <w:fldChar w:fldCharType="separate"/>
      </w:r>
      <w:r w:rsidRPr="00F0646E">
        <w:rPr>
          <w:rFonts w:cs="Calibri"/>
          <w:szCs w:val="24"/>
        </w:rPr>
        <w:t>(</w:t>
      </w:r>
      <w:proofErr w:type="spellStart"/>
      <w:r w:rsidRPr="00F0646E">
        <w:rPr>
          <w:rFonts w:cs="Calibri"/>
          <w:szCs w:val="24"/>
        </w:rPr>
        <w:t>Lehti</w:t>
      </w:r>
      <w:proofErr w:type="spellEnd"/>
      <w:r w:rsidRPr="00F0646E">
        <w:rPr>
          <w:rFonts w:cs="Calibri"/>
          <w:szCs w:val="24"/>
        </w:rPr>
        <w:t xml:space="preserve">, </w:t>
      </w:r>
      <w:proofErr w:type="spellStart"/>
      <w:r w:rsidRPr="00F0646E">
        <w:rPr>
          <w:rFonts w:cs="Calibri"/>
          <w:szCs w:val="24"/>
        </w:rPr>
        <w:t>Hammarström</w:t>
      </w:r>
      <w:proofErr w:type="spellEnd"/>
      <w:r w:rsidRPr="00F0646E">
        <w:rPr>
          <w:rFonts w:cs="Calibri"/>
          <w:szCs w:val="24"/>
        </w:rPr>
        <w:t xml:space="preserve">, and </w:t>
      </w:r>
      <w:proofErr w:type="spellStart"/>
      <w:r w:rsidRPr="00F0646E">
        <w:rPr>
          <w:rFonts w:cs="Calibri"/>
          <w:szCs w:val="24"/>
        </w:rPr>
        <w:t>Mattsson</w:t>
      </w:r>
      <w:proofErr w:type="spellEnd"/>
      <w:r w:rsidRPr="00F0646E">
        <w:rPr>
          <w:rFonts w:cs="Calibri"/>
          <w:szCs w:val="24"/>
        </w:rPr>
        <w:t xml:space="preserve"> 2009)</w:t>
      </w:r>
      <w:r w:rsidRPr="002C4CAD">
        <w:fldChar w:fldCharType="end"/>
      </w:r>
    </w:p>
  </w:footnote>
  <w:footnote w:id="57">
    <w:p w14:paraId="6204D81C" w14:textId="77777777" w:rsidR="00FC1E6E" w:rsidRPr="002C4CAD" w:rsidRDefault="00FC1E6E" w:rsidP="00FC1E6E">
      <w:pPr>
        <w:pStyle w:val="FootnoteText"/>
      </w:pPr>
      <w:r w:rsidRPr="009006D7">
        <w:rPr>
          <w:rStyle w:val="FootnoteReference"/>
        </w:rPr>
        <w:footnoteRef/>
      </w:r>
      <w:r w:rsidRPr="00F0646E">
        <w:t xml:space="preserve"> </w:t>
      </w:r>
      <w:r w:rsidRPr="002C4CAD">
        <w:tab/>
      </w:r>
      <w:r w:rsidRPr="00F0646E">
        <w:t>This can be challenging for practitioners whose professional ethics may view such wider involvement as breaching patient confidentiality.</w:t>
      </w:r>
      <w:r w:rsidRPr="002C4CAD">
        <w:t xml:space="preserve"> </w:t>
      </w:r>
    </w:p>
  </w:footnote>
  <w:footnote w:id="58">
    <w:p w14:paraId="2B1EDB17" w14:textId="7ACF3199" w:rsidR="00A43393" w:rsidRDefault="00A43393" w:rsidP="00A43393">
      <w:pPr>
        <w:pStyle w:val="FootnoteText"/>
      </w:pPr>
      <w:r w:rsidRPr="009006D7">
        <w:rPr>
          <w:rStyle w:val="FootnoteReference"/>
        </w:rPr>
        <w:footnoteRef/>
      </w:r>
      <w:r>
        <w:t xml:space="preserve"> </w:t>
      </w:r>
      <w:r>
        <w:tab/>
        <w:t xml:space="preserve">The 2018 census reported the following ethnicities under the board category ‘Asian’: </w:t>
      </w:r>
      <w:r w:rsidRPr="00C15FAB">
        <w:t>Filipino</w:t>
      </w:r>
      <w:r>
        <w:t xml:space="preserve">, </w:t>
      </w:r>
      <w:r w:rsidRPr="00C15FAB">
        <w:t>Cambodian</w:t>
      </w:r>
      <w:r>
        <w:t xml:space="preserve">, </w:t>
      </w:r>
      <w:r w:rsidRPr="00C15FAB">
        <w:t>Vietnamese</w:t>
      </w:r>
      <w:r>
        <w:t xml:space="preserve">, </w:t>
      </w:r>
      <w:r w:rsidRPr="00C15FAB">
        <w:t>Burmese</w:t>
      </w:r>
      <w:r>
        <w:t xml:space="preserve">, </w:t>
      </w:r>
      <w:r w:rsidRPr="00C15FAB">
        <w:t>Indonesian</w:t>
      </w:r>
      <w:r>
        <w:t xml:space="preserve">, </w:t>
      </w:r>
      <w:r w:rsidRPr="00C15FAB">
        <w:t>Lao</w:t>
      </w:r>
      <w:r>
        <w:t xml:space="preserve">, </w:t>
      </w:r>
      <w:r w:rsidRPr="00C15FAB">
        <w:t>Malay</w:t>
      </w:r>
      <w:r>
        <w:t xml:space="preserve">, </w:t>
      </w:r>
      <w:r w:rsidRPr="00C15FAB">
        <w:t>Thai</w:t>
      </w:r>
      <w:r>
        <w:t xml:space="preserve">, </w:t>
      </w:r>
      <w:r w:rsidRPr="00C15FAB">
        <w:t>Karen</w:t>
      </w:r>
      <w:r>
        <w:t xml:space="preserve">, </w:t>
      </w:r>
      <w:r w:rsidRPr="00C15FAB">
        <w:t>Chin</w:t>
      </w:r>
      <w:r>
        <w:t xml:space="preserve">, </w:t>
      </w:r>
      <w:r w:rsidRPr="00C15FAB">
        <w:t>Chinese</w:t>
      </w:r>
      <w:r>
        <w:t xml:space="preserve">, </w:t>
      </w:r>
      <w:r w:rsidRPr="00C15FAB">
        <w:t>Hong</w:t>
      </w:r>
      <w:r>
        <w:t xml:space="preserve"> </w:t>
      </w:r>
      <w:r w:rsidRPr="00C15FAB">
        <w:t>Kong</w:t>
      </w:r>
      <w:r>
        <w:t xml:space="preserve"> </w:t>
      </w:r>
      <w:r w:rsidRPr="00C15FAB">
        <w:t>Chinese</w:t>
      </w:r>
      <w:r>
        <w:t xml:space="preserve">, </w:t>
      </w:r>
      <w:r w:rsidRPr="00C15FAB">
        <w:t>Cambodian</w:t>
      </w:r>
      <w:r>
        <w:t xml:space="preserve"> </w:t>
      </w:r>
      <w:r w:rsidRPr="00C15FAB">
        <w:t>Chinese</w:t>
      </w:r>
      <w:r>
        <w:t xml:space="preserve">, </w:t>
      </w:r>
      <w:r w:rsidRPr="00C15FAB">
        <w:t>Malaysian</w:t>
      </w:r>
      <w:r>
        <w:t xml:space="preserve"> </w:t>
      </w:r>
      <w:r w:rsidRPr="00C15FAB">
        <w:t>Chinese</w:t>
      </w:r>
      <w:r>
        <w:t xml:space="preserve">, </w:t>
      </w:r>
      <w:r w:rsidRPr="00C15FAB">
        <w:t>Singaporean</w:t>
      </w:r>
      <w:r>
        <w:t xml:space="preserve"> </w:t>
      </w:r>
      <w:r w:rsidRPr="00C15FAB">
        <w:t>Chinese</w:t>
      </w:r>
      <w:r>
        <w:t xml:space="preserve">, </w:t>
      </w:r>
      <w:r w:rsidRPr="00C15FAB">
        <w:t>Vietnamese</w:t>
      </w:r>
      <w:r>
        <w:t xml:space="preserve"> </w:t>
      </w:r>
      <w:r w:rsidRPr="00C15FAB">
        <w:t>Chinese</w:t>
      </w:r>
      <w:r>
        <w:t xml:space="preserve">, </w:t>
      </w:r>
      <w:r w:rsidRPr="00C15FAB">
        <w:t>Taiwanese</w:t>
      </w:r>
      <w:r>
        <w:t xml:space="preserve"> </w:t>
      </w:r>
      <w:r w:rsidRPr="00C15FAB">
        <w:t>Chinese</w:t>
      </w:r>
      <w:r>
        <w:t xml:space="preserve">, </w:t>
      </w:r>
      <w:r w:rsidRPr="00C15FAB">
        <w:t>Indian</w:t>
      </w:r>
      <w:r>
        <w:t xml:space="preserve">, </w:t>
      </w:r>
      <w:r w:rsidRPr="00C15FAB">
        <w:t>Bengali</w:t>
      </w:r>
      <w:r>
        <w:t xml:space="preserve">, </w:t>
      </w:r>
      <w:r w:rsidRPr="00C15FAB">
        <w:t>Fijian</w:t>
      </w:r>
      <w:r>
        <w:t xml:space="preserve"> </w:t>
      </w:r>
      <w:r w:rsidRPr="00C15FAB">
        <w:t>Indian</w:t>
      </w:r>
      <w:r>
        <w:t xml:space="preserve">, </w:t>
      </w:r>
      <w:r w:rsidRPr="00C15FAB">
        <w:t>Indian</w:t>
      </w:r>
      <w:r>
        <w:t xml:space="preserve"> </w:t>
      </w:r>
      <w:r w:rsidRPr="00C15FAB">
        <w:t>Tamil</w:t>
      </w:r>
      <w:r>
        <w:t xml:space="preserve">, </w:t>
      </w:r>
      <w:r w:rsidRPr="00C15FAB">
        <w:t>Punjabi</w:t>
      </w:r>
      <w:r>
        <w:t xml:space="preserve">, </w:t>
      </w:r>
      <w:r w:rsidRPr="00C15FAB">
        <w:t>Sikh</w:t>
      </w:r>
      <w:r>
        <w:t xml:space="preserve">, </w:t>
      </w:r>
      <w:r w:rsidRPr="00C15FAB">
        <w:t>Anglo</w:t>
      </w:r>
      <w:r>
        <w:t xml:space="preserve"> </w:t>
      </w:r>
      <w:r w:rsidRPr="00C15FAB">
        <w:t>Indian</w:t>
      </w:r>
      <w:r>
        <w:t xml:space="preserve">, </w:t>
      </w:r>
      <w:r w:rsidRPr="00C15FAB">
        <w:t>Malaysian</w:t>
      </w:r>
      <w:r>
        <w:t xml:space="preserve"> </w:t>
      </w:r>
      <w:r w:rsidRPr="00C15FAB">
        <w:t>Indian</w:t>
      </w:r>
      <w:r>
        <w:t xml:space="preserve">, </w:t>
      </w:r>
      <w:r w:rsidRPr="00C15FAB">
        <w:t>South</w:t>
      </w:r>
      <w:r>
        <w:t xml:space="preserve"> </w:t>
      </w:r>
      <w:r w:rsidRPr="00C15FAB">
        <w:t>African</w:t>
      </w:r>
      <w:r>
        <w:t xml:space="preserve"> </w:t>
      </w:r>
      <w:r w:rsidRPr="00C15FAB">
        <w:t>Indian</w:t>
      </w:r>
      <w:r>
        <w:t xml:space="preserve">, </w:t>
      </w:r>
      <w:r w:rsidRPr="00C15FAB">
        <w:t>Sri</w:t>
      </w:r>
      <w:r>
        <w:t xml:space="preserve"> </w:t>
      </w:r>
      <w:r w:rsidRPr="00C15FAB">
        <w:t>Lankan</w:t>
      </w:r>
      <w:r>
        <w:t xml:space="preserve">, </w:t>
      </w:r>
      <w:r w:rsidRPr="00C15FAB">
        <w:t>Sinhalese</w:t>
      </w:r>
      <w:r>
        <w:t xml:space="preserve">, </w:t>
      </w:r>
      <w:r w:rsidRPr="00C15FAB">
        <w:t>Sri</w:t>
      </w:r>
      <w:r>
        <w:t xml:space="preserve"> </w:t>
      </w:r>
      <w:r w:rsidRPr="00C15FAB">
        <w:t>Lankan</w:t>
      </w:r>
      <w:r>
        <w:t xml:space="preserve"> </w:t>
      </w:r>
      <w:r w:rsidRPr="00C15FAB">
        <w:t>Tamil</w:t>
      </w:r>
      <w:r>
        <w:t xml:space="preserve">, </w:t>
      </w:r>
      <w:r w:rsidRPr="00C15FAB">
        <w:t>Japanese</w:t>
      </w:r>
      <w:r>
        <w:t xml:space="preserve">, </w:t>
      </w:r>
      <w:r w:rsidRPr="00C15FAB">
        <w:t>Korean</w:t>
      </w:r>
      <w:r>
        <w:t xml:space="preserve">, </w:t>
      </w:r>
      <w:r w:rsidRPr="00C15FAB">
        <w:t>Afghani</w:t>
      </w:r>
      <w:r>
        <w:t xml:space="preserve">, </w:t>
      </w:r>
      <w:r w:rsidRPr="00C15FAB">
        <w:t>Bangladeshi</w:t>
      </w:r>
      <w:r>
        <w:t xml:space="preserve">, </w:t>
      </w:r>
      <w:r w:rsidRPr="00C15FAB">
        <w:t>Nepalese</w:t>
      </w:r>
      <w:r>
        <w:t xml:space="preserve">, </w:t>
      </w:r>
      <w:r w:rsidRPr="00C15FAB">
        <w:t>Pakistani</w:t>
      </w:r>
      <w:r>
        <w:t xml:space="preserve">, </w:t>
      </w:r>
      <w:r w:rsidRPr="00C15FAB">
        <w:t>Tibetan</w:t>
      </w:r>
      <w:r>
        <w:t xml:space="preserve">, </w:t>
      </w:r>
      <w:r w:rsidRPr="00C15FAB">
        <w:t>Eurasian</w:t>
      </w:r>
      <w:r>
        <w:t xml:space="preserve">, </w:t>
      </w:r>
      <w:r w:rsidRPr="00C15FAB">
        <w:t>Bhutanese</w:t>
      </w:r>
      <w:r>
        <w:t xml:space="preserve">, </w:t>
      </w:r>
      <w:r w:rsidRPr="00C15FAB">
        <w:t>Maldivian</w:t>
      </w:r>
      <w:r>
        <w:t xml:space="preserve"> and </w:t>
      </w:r>
      <w:r w:rsidRPr="00C15FAB">
        <w:t>Mongolian</w:t>
      </w:r>
      <w:r>
        <w:t xml:space="preserve">. </w:t>
      </w:r>
      <w:r>
        <w:fldChar w:fldCharType="begin"/>
      </w:r>
      <w:r w:rsidR="009B0EC4">
        <w:instrText xml:space="preserve"> ADDIN ZOTERO_ITEM CSL_CITATION {"citationID":"a1qbid758b0","properties":{"formattedCitation":"(Stats NZ 2022b)","plainCitation":"(Stats NZ 2022b)","noteIndex":57},"citationItems":[{"id":17067,"uris":["http://zotero.org/groups/4801058/items/LZ44ZNSK"],"itemData":{"id":17067,"type":"webpage","title":"NZ.Stat","URL":"https://nzdotstat.stats.govt.nz/wbos/Index.aspx?_ga=2.255590664.1601334792.1562706338-799100744.1551837708#","author":[{"family":"Stats NZ","given":""}],"accessed":{"date-parts":[["2022",11,17]]},"issued":{"date-parts":[["2022"]]}}}],"schema":"https://github.com/citation-style-language/schema/raw/master/csl-citation.json"} </w:instrText>
      </w:r>
      <w:r>
        <w:fldChar w:fldCharType="separate"/>
      </w:r>
      <w:r w:rsidR="00606B17" w:rsidRPr="00606B17">
        <w:rPr>
          <w:rFonts w:cs="Calibri"/>
        </w:rPr>
        <w:t>(Stats NZ 2022b)</w:t>
      </w:r>
      <w:r>
        <w:fldChar w:fldCharType="end"/>
      </w:r>
    </w:p>
  </w:footnote>
  <w:footnote w:id="59">
    <w:p w14:paraId="59C7C05E" w14:textId="0D89CBC4" w:rsidR="00A43393" w:rsidRDefault="00A43393" w:rsidP="00A43393">
      <w:pPr>
        <w:pStyle w:val="FootnoteText"/>
      </w:pPr>
      <w:r w:rsidRPr="009006D7">
        <w:rPr>
          <w:rStyle w:val="FootnoteReference"/>
        </w:rPr>
        <w:footnoteRef/>
      </w:r>
      <w:r>
        <w:t xml:space="preserve"> </w:t>
      </w:r>
      <w:r>
        <w:tab/>
        <w:t xml:space="preserve">About 160,000 of the people who reported Asian ethnicity in the 2018 census were born in New Zealand, compared with around 536,000 born overseas. </w:t>
      </w:r>
      <w:r>
        <w:fldChar w:fldCharType="begin"/>
      </w:r>
      <w:r w:rsidR="009B0EC4">
        <w:instrText xml:space="preserve"> ADDIN ZOTERO_ITEM CSL_CITATION {"citationID":"a1ij2l27evp","properties":{"formattedCitation":"(Stats NZ 2022b)","plainCitation":"(Stats NZ 2022b)","noteIndex":58},"citationItems":[{"id":17067,"uris":["http://zotero.org/groups/4801058/items/LZ44ZNSK"],"itemData":{"id":17067,"type":"webpage","title":"NZ.Stat","URL":"https://nzdotstat.stats.govt.nz/wbos/Index.aspx?_ga=2.255590664.1601334792.1562706338-799100744.1551837708#","author":[{"family":"Stats NZ","given":""}],"accessed":{"date-parts":[["2022",11,17]]},"issued":{"date-parts":[["2022"]]}}}],"schema":"https://github.com/citation-style-language/schema/raw/master/csl-citation.json"} </w:instrText>
      </w:r>
      <w:r>
        <w:fldChar w:fldCharType="separate"/>
      </w:r>
      <w:r w:rsidR="00606B17" w:rsidRPr="00606B17">
        <w:rPr>
          <w:rFonts w:cs="Calibri"/>
        </w:rPr>
        <w:t>(Stats NZ 2022b)</w:t>
      </w:r>
      <w:r>
        <w:fldChar w:fldCharType="end"/>
      </w:r>
      <w:r>
        <w:t>.</w:t>
      </w:r>
    </w:p>
  </w:footnote>
  <w:footnote w:id="60">
    <w:p w14:paraId="5F2BCD22" w14:textId="23071A9A" w:rsidR="00A43393" w:rsidRPr="00023354" w:rsidRDefault="00A43393" w:rsidP="00A43393">
      <w:pPr>
        <w:pStyle w:val="FootnoteText"/>
        <w:rPr>
          <w:lang w:val="en-US"/>
        </w:rPr>
      </w:pPr>
      <w:r w:rsidRPr="009006D7">
        <w:rPr>
          <w:rStyle w:val="FootnoteReference"/>
        </w:rPr>
        <w:footnoteRef/>
      </w:r>
      <w:r>
        <w:t xml:space="preserve"> </w:t>
      </w:r>
      <w:r>
        <w:rPr>
          <w:lang w:val="en-US"/>
        </w:rPr>
        <w:tab/>
        <w:t xml:space="preserve">There is a long history of racist anti-Asian immigration policy in Aotearoa which has been well-documented elsewhere (Fry and Wilson 2018, </w:t>
      </w:r>
      <w:proofErr w:type="spellStart"/>
      <w:r>
        <w:rPr>
          <w:lang w:val="en-US"/>
        </w:rPr>
        <w:t>Spoonley</w:t>
      </w:r>
      <w:proofErr w:type="spellEnd"/>
      <w:r>
        <w:rPr>
          <w:lang w:val="en-US"/>
        </w:rPr>
        <w:t xml:space="preserve"> and Bedford 2012). For example, i</w:t>
      </w:r>
      <w:r w:rsidRPr="00987B37">
        <w:rPr>
          <w:lang w:val="en-US"/>
        </w:rPr>
        <w:t>n the 1920s and 1930s, Chinese</w:t>
      </w:r>
      <w:r>
        <w:rPr>
          <w:lang w:val="en-US"/>
        </w:rPr>
        <w:t xml:space="preserve"> </w:t>
      </w:r>
      <w:r w:rsidRPr="00987B37">
        <w:rPr>
          <w:lang w:val="en-US"/>
        </w:rPr>
        <w:t>women were banned from entering New Zealand</w:t>
      </w:r>
      <w:r>
        <w:rPr>
          <w:lang w:val="en-US"/>
        </w:rPr>
        <w:t xml:space="preserve"> as a way of preventing the Chinese population from increasing</w:t>
      </w:r>
      <w:r w:rsidRPr="00987B37">
        <w:rPr>
          <w:lang w:val="en-US"/>
        </w:rPr>
        <w:t xml:space="preserve"> </w:t>
      </w:r>
      <w:r>
        <w:rPr>
          <w:lang w:val="en-US"/>
        </w:rPr>
        <w:fldChar w:fldCharType="begin"/>
      </w:r>
      <w:r w:rsidR="009B0EC4">
        <w:rPr>
          <w:lang w:val="en-US"/>
        </w:rPr>
        <w:instrText xml:space="preserve"> ADDIN ZOTERO_ITEM CSL_CITATION {"citationID":"a13dh8q3jah","properties":{"formattedCitation":"(Spoonley and Bedford 2012, 103)","plainCitation":"(Spoonley and Bedford 2012, 103)","noteIndex":59},"citationItems":[{"id":6515,"uris":["http://zotero.org/users/4659042/items/4S66J62M"],"itemData":{"id":6515,"type":"book","call-number":"JV9262 .S76 2012","event-place":"Auckland, N.Z","ISBN":"978-1-927212-00-4","note":"OCLC: ocn816502794","number-of-pages":"325","publisher":"Dunmore Pub","publisher-place":"Auckland, N.Z","source":"Library of Congress ISBN","title":"Welcome to our world? immigration and the reshaping of New Zealand","title-short":"Welcome to our world?","author":[{"family":"Spoonley","given":"Paul"},{"family":"Bedford","given":"Richard"}],"issued":{"date-parts":[["2012"]]}},"locator":"103","label":"page"}],"schema":"https://github.com/citation-style-language/schema/raw/master/csl-citation.json"} </w:instrText>
      </w:r>
      <w:r>
        <w:rPr>
          <w:lang w:val="en-US"/>
        </w:rPr>
        <w:fldChar w:fldCharType="separate"/>
      </w:r>
      <w:r w:rsidRPr="0068332A">
        <w:rPr>
          <w:rFonts w:cs="Calibri"/>
          <w:szCs w:val="24"/>
        </w:rPr>
        <w:t>(</w:t>
      </w:r>
      <w:proofErr w:type="spellStart"/>
      <w:r w:rsidRPr="0068332A">
        <w:rPr>
          <w:rFonts w:cs="Calibri"/>
          <w:szCs w:val="24"/>
        </w:rPr>
        <w:t>Spoonley</w:t>
      </w:r>
      <w:proofErr w:type="spellEnd"/>
      <w:r w:rsidRPr="0068332A">
        <w:rPr>
          <w:rFonts w:cs="Calibri"/>
          <w:szCs w:val="24"/>
        </w:rPr>
        <w:t xml:space="preserve"> and Bedford 2012, 103)</w:t>
      </w:r>
      <w:r>
        <w:rPr>
          <w:lang w:val="en-US"/>
        </w:rPr>
        <w:fldChar w:fldCharType="end"/>
      </w:r>
      <w:r>
        <w:rPr>
          <w:lang w:val="en-US"/>
        </w:rPr>
        <w:t>. More recently, the policy of successive New Zealand government restricting the immigration of older family members had has particular</w:t>
      </w:r>
      <w:r w:rsidR="00B47616">
        <w:rPr>
          <w:lang w:val="en-US"/>
        </w:rPr>
        <w:t>ly</w:t>
      </w:r>
      <w:r>
        <w:rPr>
          <w:lang w:val="en-US"/>
        </w:rPr>
        <w:t xml:space="preserve"> negative effects on people from </w:t>
      </w:r>
      <w:r w:rsidRPr="00F507F3">
        <w:rPr>
          <w:lang w:val="en-US"/>
        </w:rPr>
        <w:t>highly collective cultures</w:t>
      </w:r>
      <w:r>
        <w:rPr>
          <w:lang w:val="en-US"/>
        </w:rPr>
        <w:t xml:space="preserve">. (ibid. 120), New Zealand suspended granting visas for migrant parents in 2016, as part of a policy of reducing overall numbers of permanent residents </w:t>
      </w:r>
      <w:r>
        <w:rPr>
          <w:lang w:val="en-US"/>
        </w:rPr>
        <w:fldChar w:fldCharType="begin"/>
      </w:r>
      <w:r w:rsidR="009B0EC4">
        <w:rPr>
          <w:lang w:val="en-US"/>
        </w:rPr>
        <w:instrText xml:space="preserve"> ADDIN ZOTERO_ITEM CSL_CITATION {"citationID":"a1ei3e1cldv","properties":{"formattedCitation":"(Woodhouse 2016)","plainCitation":"(Woodhouse 2016)","noteIndex":59},"citationItems":[{"id":17082,"uris":["http://zotero.org/groups/4801058/items/Q8L7M3NI"],"itemData":{"id":17082,"type":"report","abstract":"Immigration Minister Michael Woodhouse today announced changes to the Government’s New Zealand Residence Programme (NZRP) for the next two years. “Migrants make a valuable contribution to New Zealand both culturally and economically, and the Government periodically reviews all our immigration settings to make sure they are working as intended,” Mr Woodhouse says.","event-place":"Wellington","language":"en","publisher":"Government of New Zealand","publisher-place":"Wellington","title":"NZRP changes to strike the right balance","URL":"https://www.beehive.govt.nz/release/nzrp-changes-strike-right-balance","author":[{"family":"Woodhouse","given":"Michael"}],"accessed":{"date-parts":[["2022",11,19]]},"issued":{"date-parts":[["2016"]]}}}],"schema":"https://github.com/citation-style-language/schema/raw/master/csl-citation.json"} </w:instrText>
      </w:r>
      <w:r>
        <w:rPr>
          <w:lang w:val="en-US"/>
        </w:rPr>
        <w:fldChar w:fldCharType="separate"/>
      </w:r>
      <w:r w:rsidRPr="00306038">
        <w:rPr>
          <w:rFonts w:cs="Calibri"/>
          <w:szCs w:val="24"/>
        </w:rPr>
        <w:t>(Woodhouse 2016)</w:t>
      </w:r>
      <w:r>
        <w:rPr>
          <w:lang w:val="en-US"/>
        </w:rPr>
        <w:fldChar w:fldCharType="end"/>
      </w:r>
      <w:r>
        <w:rPr>
          <w:lang w:val="en-US"/>
        </w:rPr>
        <w:t xml:space="preserve">. In 2022, the current Government announced that it would allow up to 2,000 parent category visas to be granted each year </w:t>
      </w:r>
      <w:r>
        <w:rPr>
          <w:lang w:val="en-US"/>
        </w:rPr>
        <w:fldChar w:fldCharType="begin"/>
      </w:r>
      <w:r w:rsidR="009B0EC4">
        <w:rPr>
          <w:lang w:val="en-US"/>
        </w:rPr>
        <w:instrText xml:space="preserve"> ADDIN ZOTERO_ITEM CSL_CITATION {"citationID":"a4859e3jsb","properties":{"formattedCitation":"(Wood 2022)","plainCitation":"(Wood 2022)","noteIndex":59},"citationItems":[{"id":17081,"uris":["http://zotero.org/groups/4801058/items/RP2VUZFM"],"itemData":{"id":17081,"type":"report","abstract":"The Government is ensuring skilled migrants can resettle in Aotearoa New Zealand with their families, Immigration Minister Michael Wood announced today.","event-place":"Wellington","language":"en","publisher":"Government of New Zealand","publisher-place":"Wellington","title":"2000 visas a year to be granted through resumption of parent category","URL":"https://www.beehive.govt.nz/release/2000-visas-year-be-granted-through-resumption-parent-category","author":[{"family":"Wood","given":"Michael"}],"issued":{"date-parts":[["2022"]]}}}],"schema":"https://github.com/citation-style-language/schema/raw/master/csl-citation.json"} </w:instrText>
      </w:r>
      <w:r>
        <w:rPr>
          <w:lang w:val="en-US"/>
        </w:rPr>
        <w:fldChar w:fldCharType="separate"/>
      </w:r>
      <w:r w:rsidRPr="00306038">
        <w:rPr>
          <w:rFonts w:cs="Calibri"/>
          <w:szCs w:val="24"/>
        </w:rPr>
        <w:t>(Wood 2022)</w:t>
      </w:r>
      <w:r>
        <w:rPr>
          <w:lang w:val="en-US"/>
        </w:rPr>
        <w:fldChar w:fldCharType="end"/>
      </w:r>
      <w:r>
        <w:rPr>
          <w:lang w:val="en-US"/>
        </w:rPr>
        <w:t>.</w:t>
      </w:r>
      <w:r w:rsidR="00FC3B27">
        <w:rPr>
          <w:lang w:val="en-US"/>
        </w:rPr>
        <w:t xml:space="preserve"> </w:t>
      </w:r>
      <w:r>
        <w:rPr>
          <w:lang w:val="en-US"/>
        </w:rPr>
        <w:t xml:space="preserve"> </w:t>
      </w:r>
    </w:p>
  </w:footnote>
  <w:footnote w:id="61">
    <w:p w14:paraId="4AE04C56" w14:textId="05D34F03" w:rsidR="00A43393" w:rsidRDefault="00A43393" w:rsidP="00A43393">
      <w:pPr>
        <w:pStyle w:val="FootnoteText"/>
      </w:pPr>
      <w:r w:rsidRPr="009006D7">
        <w:rPr>
          <w:rStyle w:val="FootnoteReference"/>
        </w:rPr>
        <w:footnoteRef/>
      </w:r>
      <w:r>
        <w:t xml:space="preserve"> </w:t>
      </w:r>
      <w:r>
        <w:tab/>
        <w:t xml:space="preserve">One </w:t>
      </w:r>
      <w:proofErr w:type="gramStart"/>
      <w:r>
        <w:t>particular issue</w:t>
      </w:r>
      <w:proofErr w:type="gramEnd"/>
      <w:r>
        <w:t xml:space="preserve"> is how people with more than one ethnicity are recorded. </w:t>
      </w:r>
      <w:r>
        <w:rPr>
          <w:lang w:val="mi-NZ"/>
        </w:rPr>
        <w:t>I</w:t>
      </w:r>
      <w:r w:rsidRPr="00AE3CAD">
        <w:t xml:space="preserve">n the Census, people are asked to identify their ethnicity and are given a number of choices from a list, plus being able to write their ethnicity in a space provided. People are advised that they can state more than one ethnicity, which many people do. </w:t>
      </w:r>
      <w:r>
        <w:t xml:space="preserve">In 2018, 13 percent of the total population recorded more than one ethnicity </w:t>
      </w:r>
      <w:r>
        <w:fldChar w:fldCharType="begin"/>
      </w:r>
      <w:r w:rsidR="009B0EC4">
        <w:instrText xml:space="preserve"> ADDIN ZOTERO_ITEM CSL_CITATION {"citationID":"MEfdP0vs","properties":{"formattedCitation":"(Stats NZ 2020)","plainCitation":"(Stats NZ 2020)","noteIndex":60},"citationItems":[{"id":14984,"uris":["http://zotero.org/groups/4623831/items/YSJA4U37"],"itemData":{"id":14984,"type":"webpage","title":"2018 Census data allows users to dive deep into New Zealand's diversity | Stats NZ","URL":"https://www.stats.govt.nz/news/2018-census-data-allows-users-to-dive-deep-into-new-zealands-diversity","author":[{"family":"Stats NZ","given":""}],"accessed":{"date-parts":[["2022",5,31]]},"issued":{"date-parts":[["2020"]]}}}],"schema":"https://github.com/citation-style-language/schema/raw/master/csl-citation.json"} </w:instrText>
      </w:r>
      <w:r>
        <w:fldChar w:fldCharType="separate"/>
      </w:r>
      <w:r w:rsidRPr="0068332A">
        <w:rPr>
          <w:rFonts w:cs="Calibri"/>
        </w:rPr>
        <w:t>(Stats NZ 2020)</w:t>
      </w:r>
      <w:r>
        <w:fldChar w:fldCharType="end"/>
      </w:r>
      <w:r>
        <w:t xml:space="preserve">. </w:t>
      </w:r>
      <w:r w:rsidRPr="00AE3CAD">
        <w:t>Using the raw answers, any tabulation of ethnicity will, therefore, sum to more than 100</w:t>
      </w:r>
      <w:r>
        <w:t xml:space="preserve"> percent</w:t>
      </w:r>
      <w:r w:rsidRPr="00AE3CAD">
        <w:t xml:space="preserve"> of the population </w:t>
      </w:r>
      <w:r w:rsidRPr="00AE3CAD">
        <w:fldChar w:fldCharType="begin"/>
      </w:r>
      <w:r w:rsidR="009B0EC4">
        <w:instrText xml:space="preserve"> ADDIN ZOTERO_ITEM CSL_CITATION {"citationID":"c7fxUcwJ","properties":{"formattedCitation":"(Stats NZ 2019)","plainCitation":"(Stats NZ 2019)","noteIndex":60},"citationItems":[{"id":14761,"uris":["http://zotero.org/groups/4623831/items/UAB2HP54"],"itemData":{"id":14761,"type":"webpage","title":"2018 Census population and dwelling counts","URL":"https://www.stats.govt.nz/information-releases/2018-census-population-and-dwelling-counts","author":[{"family":"Stats NZ","given":""}],"accessed":{"date-parts":[["2022",5,18]]},"issued":{"date-parts":[["2019"]]}}}],"schema":"https://github.com/citation-style-language/schema/raw/master/csl-citation.json"} </w:instrText>
      </w:r>
      <w:r w:rsidRPr="00AE3CAD">
        <w:fldChar w:fldCharType="separate"/>
      </w:r>
      <w:r w:rsidRPr="00AE3CAD">
        <w:rPr>
          <w:rFonts w:cs="Calibri"/>
        </w:rPr>
        <w:t>(Stats NZ 2019)</w:t>
      </w:r>
      <w:r w:rsidRPr="00AE3CAD">
        <w:fldChar w:fldCharType="end"/>
      </w:r>
      <w:r w:rsidRPr="00AE3CAD">
        <w:t>.</w:t>
      </w:r>
      <w:r>
        <w:t xml:space="preserve"> Other Government agencies, like the Ministry of Health, use a ‘prioritised ethnicity’ system, which assigns a single ethnicity to a person. This means that responses always total 100 percent of the population. The prioritisation used by the Ministry of Health is Māori, Pacific Peoples, Asian, Middle Eastern/ Latin America/ African (MELAA), Other and European. </w:t>
      </w:r>
      <w:r w:rsidRPr="00F25F3A">
        <w:t>So</w:t>
      </w:r>
      <w:r>
        <w:t>,</w:t>
      </w:r>
      <w:r w:rsidRPr="00F25F3A">
        <w:t xml:space="preserve"> </w:t>
      </w:r>
      <w:r>
        <w:t xml:space="preserve">a person </w:t>
      </w:r>
      <w:r w:rsidRPr="00F25F3A">
        <w:t>who state</w:t>
      </w:r>
      <w:r>
        <w:t>s</w:t>
      </w:r>
      <w:r w:rsidRPr="00F25F3A">
        <w:t xml:space="preserve"> their ethnicity as </w:t>
      </w:r>
      <w:r>
        <w:t xml:space="preserve">say </w:t>
      </w:r>
      <w:r w:rsidRPr="00F25F3A">
        <w:t xml:space="preserve">Māori and </w:t>
      </w:r>
      <w:r>
        <w:t>Asian</w:t>
      </w:r>
      <w:r w:rsidRPr="00F25F3A">
        <w:t xml:space="preserve"> </w:t>
      </w:r>
      <w:r>
        <w:t xml:space="preserve">will be recoded as </w:t>
      </w:r>
      <w:r w:rsidRPr="00F25F3A">
        <w:t>Māori</w:t>
      </w:r>
      <w:r>
        <w:t xml:space="preserve"> (about 3,700 people were in this category in the 2018 Census). Under this priority ranking, only people who state that Asian is their sole ethnicity will be recorded as Asian </w:t>
      </w:r>
      <w:r>
        <w:fldChar w:fldCharType="begin"/>
      </w:r>
      <w:r w:rsidR="00C04BC0">
        <w:instrText xml:space="preserve"> ADDIN ZOTERO_ITEM CSL_CITATION {"citationID":"a2nqej2crl1","properties":{"formattedCitation":"(Ministry of Health 2017)","plainCitation":"(Ministry of Health 2017)","noteIndex":60},"citationItems":[{"id":14760,"uris":["http://zotero.org/groups/4623831/items/YU24BZSA"],"itemData":{"id":14760,"type":"report","event-place":"Wellington","publisher":"Ministry of Health","publisher-place":"Wellington","title":"HISO 10001:2017 Ethnicity Data Protocols.","author":[{"family":"Ministry of Health","given":""}],"issued":{"date-parts":[["2017"]]}}}],"schema":"https://github.com/citation-style-language/schema/raw/master/csl-citation.json"} </w:instrText>
      </w:r>
      <w:r>
        <w:fldChar w:fldCharType="separate"/>
      </w:r>
      <w:r w:rsidRPr="0068332A">
        <w:rPr>
          <w:rFonts w:cs="Calibri"/>
          <w:szCs w:val="24"/>
        </w:rPr>
        <w:t>(Ministry of Health 2017)</w:t>
      </w:r>
      <w:r>
        <w:fldChar w:fldCharType="end"/>
      </w:r>
      <w:r>
        <w:t xml:space="preserve">. In the 2018 Census, 645,600 people stated that Asian was their only ethnicity, while another 57,123 included Asian as one of their ethnicities </w:t>
      </w:r>
      <w:r>
        <w:fldChar w:fldCharType="begin"/>
      </w:r>
      <w:r w:rsidR="009B0EC4">
        <w:instrText xml:space="preserve"> ADDIN ZOTERO_ITEM CSL_CITATION {"citationID":"a2eii0l4drv","properties":{"formattedCitation":"(Stats NZ 2022b)","plainCitation":"(Stats NZ 2022b)","noteIndex":60},"citationItems":[{"id":17067,"uris":["http://zotero.org/groups/4801058/items/LZ44ZNSK"],"itemData":{"id":17067,"type":"webpage","title":"NZ.Stat","URL":"https://nzdotstat.stats.govt.nz/wbos/Index.aspx?_ga=2.255590664.1601334792.1562706338-799100744.1551837708#","author":[{"family":"Stats NZ","given":""}],"accessed":{"date-parts":[["2022",11,17]]},"issued":{"date-parts":[["2022"]]}}}],"schema":"https://github.com/citation-style-language/schema/raw/master/csl-citation.json"} </w:instrText>
      </w:r>
      <w:r>
        <w:fldChar w:fldCharType="separate"/>
      </w:r>
      <w:r w:rsidR="00606B17" w:rsidRPr="00606B17">
        <w:rPr>
          <w:rFonts w:cs="Calibri"/>
        </w:rPr>
        <w:t>(Stats NZ 2022b)</w:t>
      </w:r>
      <w:r>
        <w:fldChar w:fldCharType="end"/>
      </w:r>
      <w:r>
        <w:t>.</w:t>
      </w:r>
    </w:p>
  </w:footnote>
  <w:footnote w:id="62">
    <w:p w14:paraId="19DD5470" w14:textId="77777777" w:rsidR="00A43393" w:rsidRPr="00157964" w:rsidRDefault="00A43393" w:rsidP="00A43393">
      <w:pPr>
        <w:pStyle w:val="USBodyText"/>
        <w:spacing w:after="57" w:line="170" w:lineRule="atLeast"/>
        <w:ind w:left="0"/>
        <w:rPr>
          <w:sz w:val="16"/>
          <w:szCs w:val="16"/>
        </w:rPr>
      </w:pPr>
      <w:r w:rsidRPr="009006D7">
        <w:rPr>
          <w:rStyle w:val="FootnoteReference"/>
        </w:rPr>
        <w:footnoteRef/>
      </w:r>
      <w:r w:rsidRPr="00157964">
        <w:rPr>
          <w:rStyle w:val="FootnoteReference"/>
          <w:sz w:val="16"/>
          <w:szCs w:val="20"/>
        </w:rPr>
        <w:t xml:space="preserve"> </w:t>
      </w:r>
      <w:r>
        <w:rPr>
          <w:lang w:val="en-US"/>
        </w:rPr>
        <w:tab/>
      </w:r>
      <w:r>
        <w:rPr>
          <w:sz w:val="16"/>
          <w:szCs w:val="16"/>
        </w:rPr>
        <w:t>For example, t</w:t>
      </w:r>
      <w:r w:rsidRPr="00157964">
        <w:rPr>
          <w:sz w:val="16"/>
          <w:szCs w:val="16"/>
        </w:rPr>
        <w:t>he Suicide Mortality Review Committee has noted a diversity of health experiences within Asian communities:</w:t>
      </w:r>
    </w:p>
    <w:p w14:paraId="5AFD1451" w14:textId="38AA0FE0" w:rsidR="00A43393" w:rsidRPr="00157964" w:rsidRDefault="00A43393" w:rsidP="00A43393">
      <w:pPr>
        <w:pStyle w:val="Quotation"/>
        <w:spacing w:before="0" w:after="57" w:line="170" w:lineRule="atLeast"/>
        <w:ind w:left="570"/>
        <w:rPr>
          <w:lang w:val="en-US"/>
        </w:rPr>
      </w:pPr>
      <w:r w:rsidRPr="00157964">
        <w:rPr>
          <w:iCs/>
          <w:color w:val="auto"/>
          <w:sz w:val="16"/>
          <w:szCs w:val="20"/>
        </w:rPr>
        <w:t xml:space="preserve">First-generation Asian migrants tend to be healthier both directly because of immigration health screening and indirectly because they are screened for education, </w:t>
      </w:r>
      <w:proofErr w:type="gramStart"/>
      <w:r w:rsidRPr="00157964">
        <w:rPr>
          <w:iCs/>
          <w:color w:val="auto"/>
          <w:sz w:val="16"/>
          <w:szCs w:val="20"/>
        </w:rPr>
        <w:t>wealth</w:t>
      </w:r>
      <w:proofErr w:type="gramEnd"/>
      <w:r w:rsidRPr="00157964">
        <w:rPr>
          <w:iCs/>
          <w:color w:val="auto"/>
          <w:sz w:val="16"/>
          <w:szCs w:val="20"/>
        </w:rPr>
        <w:t xml:space="preserve"> and occupation. Yet, as time goes on after they have migrated to Aotearoa New Zealand, their positive health status generally deteriorates towards the national average. Refugees, on the other hand, generally have poorer physical and mental health than the average but it improves over time. </w:t>
      </w:r>
      <w:r w:rsidRPr="00157964">
        <w:rPr>
          <w:i w:val="0"/>
          <w:color w:val="auto"/>
          <w:sz w:val="16"/>
          <w:szCs w:val="20"/>
        </w:rPr>
        <w:fldChar w:fldCharType="begin"/>
      </w:r>
      <w:r w:rsidR="009B0EC4">
        <w:rPr>
          <w:i w:val="0"/>
          <w:color w:val="auto"/>
          <w:sz w:val="16"/>
          <w:szCs w:val="20"/>
        </w:rPr>
        <w:instrText xml:space="preserve"> ADDIN ZOTERO_ITEM CSL_CITATION {"citationID":"a2d8j8kqjtl","properties":{"formattedCitation":"(Suicide Mortality Review Committee 2019, 8, internal citation omitted)","plainCitation":"(Suicide Mortality Review Committee 2019, 8, internal citation omitted)","noteIndex":61},"citationItems":[{"id":17048,"uris":["http://zotero.org/groups/4801058/items/J9SPX2JF"],"itemData":{"id":17048,"type":"article-journal","language":"en","page":"44","source":"Zotero","title":"Understanding deaths by suicide in the Asian population of Aotearoa New Zealand | Te whakamārama i ngā mate whakamomori i te taupori Āhia i Aotearoa","author":[{"family":"Suicide Mortality Review Committee","given":""}],"issued":{"date-parts":[["2019"]]}},"locator":"8","label":"page","suffix":", internal citation omitted"}],"schema":"https://github.com/citation-style-language/schema/raw/master/csl-citation.json"} </w:instrText>
      </w:r>
      <w:r w:rsidRPr="00157964">
        <w:rPr>
          <w:i w:val="0"/>
          <w:color w:val="auto"/>
          <w:sz w:val="16"/>
          <w:szCs w:val="20"/>
        </w:rPr>
        <w:fldChar w:fldCharType="separate"/>
      </w:r>
      <w:r w:rsidRPr="00157964">
        <w:rPr>
          <w:i w:val="0"/>
          <w:color w:val="auto"/>
          <w:sz w:val="16"/>
          <w:szCs w:val="20"/>
        </w:rPr>
        <w:t>(Suicide Mortality Review Committee 2019, 8, internal citation omitted)</w:t>
      </w:r>
      <w:r w:rsidRPr="00157964">
        <w:rPr>
          <w:i w:val="0"/>
          <w:color w:val="auto"/>
          <w:sz w:val="16"/>
          <w:szCs w:val="20"/>
        </w:rPr>
        <w:fldChar w:fldCharType="end"/>
      </w:r>
      <w:r w:rsidRPr="00F24662">
        <w:rPr>
          <w:i w:val="0"/>
          <w:color w:val="auto"/>
          <w:sz w:val="16"/>
          <w:szCs w:val="20"/>
        </w:rPr>
        <w:t>.</w:t>
      </w:r>
    </w:p>
  </w:footnote>
  <w:footnote w:id="63">
    <w:p w14:paraId="599FA1FF" w14:textId="5B9F388B" w:rsidR="00826F74" w:rsidRPr="00023354" w:rsidRDefault="00826F74" w:rsidP="00826F74">
      <w:pPr>
        <w:pStyle w:val="FootnoteText"/>
        <w:rPr>
          <w:lang w:val="en-US"/>
        </w:rPr>
      </w:pPr>
      <w:r w:rsidRPr="009006D7">
        <w:rPr>
          <w:rStyle w:val="FootnoteReference"/>
        </w:rPr>
        <w:footnoteRef/>
      </w:r>
      <w:r>
        <w:t xml:space="preserve"> </w:t>
      </w:r>
      <w:r>
        <w:rPr>
          <w:lang w:val="en-US"/>
        </w:rPr>
        <w:tab/>
        <w:t xml:space="preserve">Recent survey evidence finds young female students from </w:t>
      </w:r>
      <w:r w:rsidRPr="00A528CD">
        <w:rPr>
          <w:lang w:val="en-US"/>
        </w:rPr>
        <w:t>East Asia, South Asia, Chin</w:t>
      </w:r>
      <w:r>
        <w:rPr>
          <w:lang w:val="en-US"/>
        </w:rPr>
        <w:t>a</w:t>
      </w:r>
      <w:r w:rsidRPr="00A528CD">
        <w:rPr>
          <w:lang w:val="en-US"/>
        </w:rPr>
        <w:t xml:space="preserve"> and India students in Aotearoa </w:t>
      </w:r>
      <w:r>
        <w:rPr>
          <w:lang w:val="en-US"/>
        </w:rPr>
        <w:t xml:space="preserve">consistently experience lower psychological wellbeing, are more likely to harm themselves, think about, plan or attempt suicide, and are more likely to experience unwanted sexual </w:t>
      </w:r>
      <w:proofErr w:type="spellStart"/>
      <w:r>
        <w:rPr>
          <w:lang w:val="en-US"/>
        </w:rPr>
        <w:t>behaviour</w:t>
      </w:r>
      <w:proofErr w:type="spellEnd"/>
      <w:r>
        <w:rPr>
          <w:lang w:val="en-US"/>
        </w:rPr>
        <w:t xml:space="preserve"> than their male counterparts </w:t>
      </w:r>
      <w:r>
        <w:rPr>
          <w:lang w:val="en-US"/>
        </w:rPr>
        <w:fldChar w:fldCharType="begin"/>
      </w:r>
      <w:r w:rsidR="009B0EC4">
        <w:rPr>
          <w:lang w:val="en-US"/>
        </w:rPr>
        <w:instrText xml:space="preserve"> ADDIN ZOTERO_ITEM CSL_CITATION {"citationID":"a3u5rhe1gb","properties":{"formattedCitation":"(Peiris-John et al. 2021)","plainCitation":"(Peiris-John et al. 2021)","noteIndex":62},"citationItems":[{"id":17042,"uris":["http://zotero.org/groups/4801058/items/4Z3YZP2L"],"itemData":{"id":17042,"type":"webpage","title":"East Asian, South Asian, Chinese and Indian Students in Aotearoa: A Youth19 Report","URL":"https:/.asianfamilyservices.nz/media/jqscvlai/east-asian-south-asian-chinese-and-indian-studetns-in-aotearoa-youth-2000-survey-series.pdf","author":[{"family":"Peiris-John","given":"Roshini"},{"family":"Kang","given":"Kristy"},{"family":"Bavin","given":"L"},{"family":"Dizon","given":"Lovely"},{"family":"Singh","given":"N"},{"family":"Clark","given":"T"},{"family":"Fleming","given":"T"},{"literal":"Ameratunga, S"}],"accessed":{"date-parts":[["2022",11,16]]},"issued":{"date-parts":[["2021"]]}}}],"schema":"https://github.com/citation-style-language/schema/raw/master/csl-citation.json"} </w:instrText>
      </w:r>
      <w:r>
        <w:rPr>
          <w:lang w:val="en-US"/>
        </w:rPr>
        <w:fldChar w:fldCharType="separate"/>
      </w:r>
      <w:r w:rsidRPr="0068332A">
        <w:rPr>
          <w:rFonts w:cs="Calibri"/>
          <w:szCs w:val="24"/>
        </w:rPr>
        <w:t>(Peiris-John et al. 2021)</w:t>
      </w:r>
      <w:r>
        <w:rPr>
          <w:lang w:val="en-US"/>
        </w:rPr>
        <w:fldChar w:fldCharType="end"/>
      </w:r>
      <w:r>
        <w:rPr>
          <w:lang w:val="en-US"/>
        </w:rPr>
        <w:t xml:space="preserve">. Elsie Ho and her colleagues also highlight cultural factors that make it harder for women experiencing perinatal health challenges to get the assistance they need, including the shame that comes with seeking outside help </w:t>
      </w:r>
      <w:r>
        <w:rPr>
          <w:lang w:val="en-US"/>
        </w:rPr>
        <w:fldChar w:fldCharType="begin"/>
      </w:r>
      <w:r w:rsidR="009B0EC4">
        <w:rPr>
          <w:lang w:val="en-US"/>
        </w:rPr>
        <w:instrText xml:space="preserve"> ADDIN ZOTERO_ITEM CSL_CITATION {"citationID":"a17ec9o4b83","properties":{"formattedCitation":"(Ho, Feng, and Wang 2021, 28)","plainCitation":"(Ho, Feng, and Wang 2021, 28)","noteIndex":62},"citationItems":[{"id":17047,"uris":["http://zotero.org/groups/4801058/items/HDLQLZD5"],"itemData":{"id":17047,"type":"report","language":"en","page":"76","source":"Zotero","title":"Supporting Equitable Perinatal Mental Health Outcomes for Asian Women: A Report for the Northern Region District Health Boards","author":[{"family":"Ho","given":"Elsie"},{"family":"Feng","given":"Kelly"},{"family":"Wang","given":"Ingrid"}],"issued":{"date-parts":[["2021"]]}},"locator":"28","label":"page"}],"schema":"https://github.com/citation-style-language/schema/raw/master/csl-citation.json"} </w:instrText>
      </w:r>
      <w:r>
        <w:rPr>
          <w:lang w:val="en-US"/>
        </w:rPr>
        <w:fldChar w:fldCharType="separate"/>
      </w:r>
      <w:r w:rsidRPr="0068332A">
        <w:rPr>
          <w:rFonts w:cs="Calibri"/>
          <w:szCs w:val="24"/>
        </w:rPr>
        <w:t>(Ho, Feng, and Wang 2021, 28)</w:t>
      </w:r>
      <w:r>
        <w:rPr>
          <w:lang w:val="en-US"/>
        </w:rPr>
        <w:fldChar w:fldCharType="end"/>
      </w:r>
      <w:r>
        <w:rPr>
          <w:lang w:val="en-US"/>
        </w:rPr>
        <w:t xml:space="preserve">, and family perceptions that they are </w:t>
      </w:r>
      <w:r w:rsidRPr="00AA4A41">
        <w:rPr>
          <w:lang w:val="en-US"/>
        </w:rPr>
        <w:t>melodramatic, attention-seeking, lazy or tired</w:t>
      </w:r>
      <w:r>
        <w:rPr>
          <w:lang w:val="en-US"/>
        </w:rPr>
        <w:t xml:space="preserve"> (ibid, 35-6). Some rainbow youth report </w:t>
      </w:r>
      <w:proofErr w:type="spellStart"/>
      <w:r>
        <w:rPr>
          <w:lang w:val="en-US"/>
        </w:rPr>
        <w:t>internalised</w:t>
      </w:r>
      <w:proofErr w:type="spellEnd"/>
      <w:r>
        <w:rPr>
          <w:lang w:val="en-US"/>
        </w:rPr>
        <w:t xml:space="preserve"> homophobia and transphobia, tensions over determining where they fit between two cultures, and family members who are “</w:t>
      </w:r>
      <w:r w:rsidRPr="00AA4A41">
        <w:rPr>
          <w:lang w:val="en-US"/>
        </w:rPr>
        <w:t>okay about white people being gay like they don't really care. But as soon as it's me, it totally changes or as soon as it's part of our family, it's not okay”</w:t>
      </w:r>
      <w:r>
        <w:rPr>
          <w:lang w:val="en-US"/>
        </w:rPr>
        <w:t xml:space="preserve"> </w:t>
      </w:r>
      <w:r>
        <w:rPr>
          <w:lang w:val="en-US"/>
        </w:rPr>
        <w:fldChar w:fldCharType="begin"/>
      </w:r>
      <w:r w:rsidR="009B0EC4">
        <w:rPr>
          <w:lang w:val="en-US"/>
        </w:rPr>
        <w:instrText xml:space="preserve"> ADDIN ZOTERO_ITEM CSL_CITATION {"citationID":"a1l88k1koe6","properties":{"formattedCitation":"(Ning and Feng 2021, 9)","plainCitation":"(Ning and Feng 2021, 9)","noteIndex":62},"citationItems":[{"id":17035,"uris":["http://zotero.org/groups/4801058/items/6CAARWND"],"itemData":{"id":17035,"type":"report","language":"en","source":"Zotero","title":"Gaps, challenges and pathways to improve Asian mental wellbeing","author":[{"family":"Ning","given":"Bo"},{"family":"Feng","given":"Kelly"}],"issued":{"date-parts":[["2021"]]}},"locator":"9","label":"page"}],"schema":"https://github.com/citation-style-language/schema/raw/master/csl-citation.json"} </w:instrText>
      </w:r>
      <w:r>
        <w:rPr>
          <w:lang w:val="en-US"/>
        </w:rPr>
        <w:fldChar w:fldCharType="separate"/>
      </w:r>
      <w:r w:rsidRPr="0068332A">
        <w:rPr>
          <w:rFonts w:cs="Calibri"/>
          <w:szCs w:val="24"/>
        </w:rPr>
        <w:t>(Ning and Feng 2021, 9)</w:t>
      </w:r>
      <w:r>
        <w:rPr>
          <w:lang w:val="en-US"/>
        </w:rPr>
        <w:fldChar w:fldCharType="end"/>
      </w:r>
      <w:r>
        <w:rPr>
          <w:lang w:val="en-US"/>
        </w:rPr>
        <w:t>.</w:t>
      </w:r>
    </w:p>
  </w:footnote>
  <w:footnote w:id="64">
    <w:p w14:paraId="5C16A381" w14:textId="77777777" w:rsidR="00826F74" w:rsidRDefault="00826F74" w:rsidP="00826F74">
      <w:pPr>
        <w:pStyle w:val="FootnoteText"/>
      </w:pPr>
      <w:r w:rsidRPr="009006D7">
        <w:rPr>
          <w:rStyle w:val="FootnoteReference"/>
        </w:rPr>
        <w:footnoteRef/>
      </w:r>
      <w:r>
        <w:t xml:space="preserve"> </w:t>
      </w:r>
      <w:r>
        <w:tab/>
        <w:t>As an Asian service community coordinator for Age Concern commented:</w:t>
      </w:r>
    </w:p>
    <w:p w14:paraId="6B8B6CF8" w14:textId="6E5DF70F" w:rsidR="00826F74" w:rsidRPr="00023354" w:rsidRDefault="00826F74" w:rsidP="00826F74">
      <w:pPr>
        <w:pStyle w:val="FootnoteText"/>
        <w:tabs>
          <w:tab w:val="clear" w:pos="425"/>
        </w:tabs>
        <w:ind w:left="810" w:firstLine="0"/>
        <w:rPr>
          <w:i/>
          <w:iCs/>
          <w:lang w:val="en-US"/>
        </w:rPr>
      </w:pPr>
      <w:r w:rsidRPr="00023354">
        <w:rPr>
          <w:i/>
          <w:iCs/>
        </w:rPr>
        <w:t xml:space="preserve">Asian people do not think psychological distress is an issue that needs help. To Chinese people, talking therapy means that you are gossiping about your problem, which goes against face-saving. They believe that support is only required when someone is experiencing a severe mental disorder. </w:t>
      </w:r>
      <w:r>
        <w:rPr>
          <w:i/>
          <w:iCs/>
        </w:rPr>
        <w:fldChar w:fldCharType="begin"/>
      </w:r>
      <w:r w:rsidR="009B0EC4">
        <w:rPr>
          <w:i/>
          <w:iCs/>
        </w:rPr>
        <w:instrText xml:space="preserve"> ADDIN ZOTERO_ITEM CSL_CITATION {"citationID":"a1debj0hv91","properties":{"formattedCitation":"(Suicide Mortality Review Committee 2019, 16)","plainCitation":"(Suicide Mortality Review Committee 2019, 16)","noteIndex":63},"citationItems":[{"id":17048,"uris":["http://zotero.org/groups/4801058/items/J9SPX2JF"],"itemData":{"id":17048,"type":"article-journal","language":"en","page":"44","source":"Zotero","title":"Understanding deaths by suicide in the Asian population of Aotearoa New Zealand | Te whakamārama i ngā mate whakamomori i te taupori Āhia i Aotearoa","author":[{"family":"Suicide Mortality Review Committee","given":""}],"issued":{"date-parts":[["2019"]]}},"locator":"16","label":"page"}],"schema":"https://github.com/citation-style-language/schema/raw/master/csl-citation.json"} </w:instrText>
      </w:r>
      <w:r>
        <w:rPr>
          <w:i/>
          <w:iCs/>
        </w:rPr>
        <w:fldChar w:fldCharType="separate"/>
      </w:r>
      <w:r w:rsidRPr="0068332A">
        <w:rPr>
          <w:rFonts w:cs="Calibri"/>
          <w:szCs w:val="24"/>
        </w:rPr>
        <w:t>(Suicide Mortality Review Committee 2019, 16)</w:t>
      </w:r>
      <w:r>
        <w:rPr>
          <w:i/>
          <w:iCs/>
        </w:rPr>
        <w:fldChar w:fldCharType="end"/>
      </w:r>
      <w:r>
        <w:rPr>
          <w:i/>
          <w:iCs/>
        </w:rPr>
        <w:t>.</w:t>
      </w:r>
    </w:p>
  </w:footnote>
  <w:footnote w:id="65">
    <w:p w14:paraId="78862E4F" w14:textId="31A98455" w:rsidR="00A11CFD" w:rsidRPr="00E50566" w:rsidRDefault="00A11CFD">
      <w:pPr>
        <w:pStyle w:val="FootnoteText"/>
        <w:rPr>
          <w:lang w:val="en-US"/>
        </w:rPr>
      </w:pPr>
      <w:r w:rsidRPr="009006D7">
        <w:rPr>
          <w:rStyle w:val="FootnoteReference"/>
        </w:rPr>
        <w:footnoteRef/>
      </w:r>
      <w:r>
        <w:t xml:space="preserve"> </w:t>
      </w:r>
      <w:r>
        <w:rPr>
          <w:lang w:val="en-US"/>
        </w:rPr>
        <w:tab/>
        <w:t xml:space="preserve">The key here is with cross-party support. Without this, it is not possible to bind future </w:t>
      </w:r>
      <w:r w:rsidR="00FA7ACA">
        <w:rPr>
          <w:lang w:val="en-US"/>
        </w:rPr>
        <w:t>governments</w:t>
      </w:r>
      <w:r>
        <w:rPr>
          <w:lang w:val="en-US"/>
        </w:rPr>
        <w:t>.</w:t>
      </w:r>
      <w:r w:rsidR="00FA7ACA">
        <w:rPr>
          <w:lang w:val="en-US"/>
        </w:rPr>
        <w:t xml:space="preserve"> </w:t>
      </w:r>
      <w:r w:rsidR="00662A04">
        <w:rPr>
          <w:lang w:val="en-US"/>
        </w:rPr>
        <w:t>However, a</w:t>
      </w:r>
      <w:r w:rsidR="00FA7ACA">
        <w:rPr>
          <w:lang w:val="en-US"/>
        </w:rPr>
        <w:t xml:space="preserve">s </w:t>
      </w:r>
      <w:r w:rsidR="007B5AD6">
        <w:rPr>
          <w:lang w:val="en-US"/>
        </w:rPr>
        <w:t xml:space="preserve">public </w:t>
      </w:r>
      <w:r w:rsidR="00FA7ACA">
        <w:rPr>
          <w:lang w:val="en-US"/>
        </w:rPr>
        <w:t xml:space="preserve">mindsets shift over time </w:t>
      </w:r>
      <w:r w:rsidR="007B5AD6">
        <w:rPr>
          <w:lang w:val="en-US"/>
        </w:rPr>
        <w:t xml:space="preserve">so </w:t>
      </w:r>
      <w:r w:rsidR="00F32385">
        <w:rPr>
          <w:lang w:val="en-US"/>
        </w:rPr>
        <w:t>too</w:t>
      </w:r>
      <w:r w:rsidR="007B5AD6">
        <w:rPr>
          <w:lang w:val="en-US"/>
        </w:rPr>
        <w:t xml:space="preserve"> does th</w:t>
      </w:r>
      <w:r w:rsidR="003D1F1D">
        <w:rPr>
          <w:lang w:val="en-US"/>
        </w:rPr>
        <w:t xml:space="preserve">e extent of possible change. </w:t>
      </w:r>
      <w:r w:rsidR="00A91869">
        <w:rPr>
          <w:lang w:val="en-US"/>
        </w:rPr>
        <w:t>The pathway from</w:t>
      </w:r>
      <w:r w:rsidR="00EF377F">
        <w:rPr>
          <w:lang w:val="en-US"/>
        </w:rPr>
        <w:t xml:space="preserve"> </w:t>
      </w:r>
      <w:r w:rsidR="00FD0178">
        <w:rPr>
          <w:lang w:val="en-US"/>
        </w:rPr>
        <w:t xml:space="preserve">homosexual </w:t>
      </w:r>
      <w:r w:rsidR="00EF377F">
        <w:rPr>
          <w:lang w:val="en-US"/>
        </w:rPr>
        <w:t>activity b</w:t>
      </w:r>
      <w:r w:rsidR="00FC22DA">
        <w:rPr>
          <w:lang w:val="en-US"/>
        </w:rPr>
        <w:t>e</w:t>
      </w:r>
      <w:r w:rsidR="00EF377F">
        <w:rPr>
          <w:lang w:val="en-US"/>
        </w:rPr>
        <w:t>ing illegal</w:t>
      </w:r>
      <w:r w:rsidR="00FD0178">
        <w:rPr>
          <w:lang w:val="en-US"/>
        </w:rPr>
        <w:t xml:space="preserve"> between</w:t>
      </w:r>
      <w:r w:rsidR="000622B2">
        <w:rPr>
          <w:lang w:val="en-US"/>
        </w:rPr>
        <w:t xml:space="preserve"> consenting adults to </w:t>
      </w:r>
      <w:r w:rsidR="00F32385">
        <w:rPr>
          <w:lang w:val="en-US"/>
        </w:rPr>
        <w:t xml:space="preserve">legally </w:t>
      </w:r>
      <w:proofErr w:type="spellStart"/>
      <w:r w:rsidR="00F32385">
        <w:rPr>
          <w:lang w:val="en-US"/>
        </w:rPr>
        <w:t>recognised</w:t>
      </w:r>
      <w:proofErr w:type="spellEnd"/>
      <w:r w:rsidR="000622B2">
        <w:rPr>
          <w:lang w:val="en-US"/>
        </w:rPr>
        <w:t xml:space="preserve"> same sex marriage</w:t>
      </w:r>
      <w:r w:rsidR="00FD0178">
        <w:rPr>
          <w:lang w:val="en-US"/>
        </w:rPr>
        <w:t xml:space="preserve"> </w:t>
      </w:r>
      <w:r w:rsidR="000622B2">
        <w:rPr>
          <w:lang w:val="en-US"/>
        </w:rPr>
        <w:t>is one e</w:t>
      </w:r>
      <w:r w:rsidR="00FC22DA">
        <w:rPr>
          <w:lang w:val="en-US"/>
        </w:rPr>
        <w:t>xample of this</w:t>
      </w:r>
      <w:r w:rsidR="00904B35">
        <w:rPr>
          <w:lang w:val="en-US"/>
        </w:rPr>
        <w:t>.</w:t>
      </w:r>
      <w:r w:rsidR="00FC22DA">
        <w:rPr>
          <w:lang w:val="en-US"/>
        </w:rPr>
        <w:t xml:space="preserve"> </w:t>
      </w:r>
    </w:p>
  </w:footnote>
  <w:footnote w:id="66">
    <w:p w14:paraId="1AC8BBE6" w14:textId="689E78C4" w:rsidR="001E7675" w:rsidRPr="001B3DB6" w:rsidRDefault="001E7675">
      <w:pPr>
        <w:pStyle w:val="FootnoteText"/>
        <w:rPr>
          <w:lang w:val="en-US"/>
        </w:rPr>
      </w:pPr>
      <w:r w:rsidRPr="009006D7">
        <w:rPr>
          <w:rStyle w:val="FootnoteReference"/>
        </w:rPr>
        <w:footnoteRef/>
      </w:r>
      <w:r>
        <w:t xml:space="preserve"> </w:t>
      </w:r>
      <w:r>
        <w:rPr>
          <w:lang w:val="en-US"/>
        </w:rPr>
        <w:tab/>
        <w:t>For 2019, the share of</w:t>
      </w:r>
      <w:r w:rsidR="00CE6AF4">
        <w:rPr>
          <w:lang w:val="en-US"/>
        </w:rPr>
        <w:t xml:space="preserve"> people agreeing that </w:t>
      </w:r>
      <w:r w:rsidR="00B62CFE">
        <w:rPr>
          <w:lang w:val="en-US"/>
        </w:rPr>
        <w:t>“</w:t>
      </w:r>
      <w:r w:rsidR="00CE6AF4">
        <w:rPr>
          <w:lang w:val="en-US"/>
        </w:rPr>
        <w:t xml:space="preserve">the Treaty is important or very </w:t>
      </w:r>
      <w:r w:rsidR="00123419">
        <w:rPr>
          <w:lang w:val="en-US"/>
        </w:rPr>
        <w:t>important</w:t>
      </w:r>
      <w:r w:rsidR="00B62CFE">
        <w:rPr>
          <w:lang w:val="en-US"/>
        </w:rPr>
        <w:t>”</w:t>
      </w:r>
      <w:r w:rsidR="00CE6AF4">
        <w:rPr>
          <w:lang w:val="en-US"/>
        </w:rPr>
        <w:t xml:space="preserve"> is approaching </w:t>
      </w:r>
      <w:r w:rsidR="00123419">
        <w:rPr>
          <w:lang w:val="en-US"/>
        </w:rPr>
        <w:t xml:space="preserve">80 percent across </w:t>
      </w:r>
      <w:r w:rsidR="00DB6AF2">
        <w:rPr>
          <w:lang w:val="en-US"/>
        </w:rPr>
        <w:t xml:space="preserve">younger </w:t>
      </w:r>
      <w:r w:rsidR="00CE6AF4">
        <w:rPr>
          <w:lang w:val="en-US"/>
        </w:rPr>
        <w:t xml:space="preserve">age cohorts </w:t>
      </w:r>
      <w:r w:rsidR="00720EFE">
        <w:rPr>
          <w:lang w:val="en-US"/>
        </w:rPr>
        <w:t xml:space="preserve">(those aged </w:t>
      </w:r>
      <w:r w:rsidR="00CE6AF4">
        <w:rPr>
          <w:lang w:val="en-US"/>
        </w:rPr>
        <w:t>up to 50-59</w:t>
      </w:r>
      <w:r w:rsidR="00720EFE">
        <w:rPr>
          <w:lang w:val="en-US"/>
        </w:rPr>
        <w:t>)</w:t>
      </w:r>
      <w:r w:rsidR="006C6C85">
        <w:rPr>
          <w:lang w:val="en-US"/>
        </w:rPr>
        <w:t>, and 70 percent for</w:t>
      </w:r>
      <w:r w:rsidR="008641E7">
        <w:rPr>
          <w:lang w:val="en-US"/>
        </w:rPr>
        <w:t xml:space="preserve"> older groups</w:t>
      </w:r>
      <w:r w:rsidR="006C6C85">
        <w:rPr>
          <w:lang w:val="en-US"/>
        </w:rPr>
        <w:t xml:space="preserve"> </w:t>
      </w:r>
      <w:r w:rsidR="008641E7">
        <w:rPr>
          <w:lang w:val="en-US"/>
        </w:rPr>
        <w:t>(</w:t>
      </w:r>
      <w:r w:rsidR="006C6C85">
        <w:rPr>
          <w:lang w:val="en-US"/>
        </w:rPr>
        <w:t>those who are 6</w:t>
      </w:r>
      <w:r w:rsidR="00E94D01">
        <w:rPr>
          <w:lang w:val="en-US"/>
        </w:rPr>
        <w:t>0+</w:t>
      </w:r>
      <w:r w:rsidR="00B57D0C">
        <w:rPr>
          <w:lang w:val="en-US"/>
        </w:rPr>
        <w:t>)</w:t>
      </w:r>
      <w:r w:rsidR="00E94D01">
        <w:rPr>
          <w:lang w:val="en-US"/>
        </w:rPr>
        <w:t xml:space="preserve">. This is a significant increase from 2004, when </w:t>
      </w:r>
      <w:r w:rsidR="008C0C8A">
        <w:rPr>
          <w:lang w:val="en-US"/>
        </w:rPr>
        <w:t>50-60 perc</w:t>
      </w:r>
      <w:r w:rsidR="00B57D0C">
        <w:rPr>
          <w:lang w:val="en-US"/>
        </w:rPr>
        <w:t>ent of younger</w:t>
      </w:r>
      <w:r w:rsidR="008C0C8A">
        <w:rPr>
          <w:lang w:val="en-US"/>
        </w:rPr>
        <w:t xml:space="preserve"> cohorts </w:t>
      </w:r>
      <w:r w:rsidR="00B57D0C">
        <w:rPr>
          <w:lang w:val="en-US"/>
        </w:rPr>
        <w:t xml:space="preserve">and around </w:t>
      </w:r>
      <w:r w:rsidR="00B62CFE">
        <w:rPr>
          <w:lang w:val="en-US"/>
        </w:rPr>
        <w:t>40 percent of older cohorts agreed (</w:t>
      </w:r>
      <w:r w:rsidR="00070CBD">
        <w:rPr>
          <w:lang w:val="en-US"/>
        </w:rPr>
        <w:t>i</w:t>
      </w:r>
      <w:r w:rsidR="004D0E18">
        <w:rPr>
          <w:lang w:val="en-US"/>
        </w:rPr>
        <w:t>bid.</w:t>
      </w:r>
      <w:r w:rsidR="00B62CFE">
        <w:rPr>
          <w:lang w:val="en-US"/>
        </w:rPr>
        <w:t>)</w:t>
      </w:r>
    </w:p>
  </w:footnote>
  <w:footnote w:id="67">
    <w:p w14:paraId="6906715B" w14:textId="5B2B2F04" w:rsidR="00147F51" w:rsidRPr="00961417" w:rsidRDefault="00147F51" w:rsidP="00147F51">
      <w:pPr>
        <w:pStyle w:val="FootnoteText"/>
        <w:rPr>
          <w:lang w:val="en-US"/>
        </w:rPr>
      </w:pPr>
      <w:r w:rsidRPr="009006D7">
        <w:rPr>
          <w:rStyle w:val="FootnoteReference"/>
        </w:rPr>
        <w:footnoteRef/>
      </w:r>
      <w:r>
        <w:t xml:space="preserve"> </w:t>
      </w:r>
      <w:r>
        <w:rPr>
          <w:lang w:val="en-US"/>
        </w:rPr>
        <w:tab/>
      </w:r>
      <w:r w:rsidRPr="002A4471">
        <w:rPr>
          <w:lang w:val="en-US"/>
        </w:rPr>
        <w:t>Although ensuring resources are used prudently is important, focus</w:t>
      </w:r>
      <w:r w:rsidR="007575BF">
        <w:rPr>
          <w:lang w:val="en-US"/>
        </w:rPr>
        <w:t>ing too heavily</w:t>
      </w:r>
      <w:r w:rsidRPr="002A4471">
        <w:rPr>
          <w:lang w:val="en-US"/>
        </w:rPr>
        <w:t xml:space="preserve"> on short-term cost containment has </w:t>
      </w:r>
      <w:r w:rsidR="007575BF">
        <w:rPr>
          <w:lang w:val="en-US"/>
        </w:rPr>
        <w:t xml:space="preserve">frequently </w:t>
      </w:r>
      <w:r w:rsidRPr="002A4471">
        <w:rPr>
          <w:lang w:val="en-US"/>
        </w:rPr>
        <w:t>undermined trust-based approaches.</w:t>
      </w:r>
      <w:r w:rsidR="009322B2">
        <w:rPr>
          <w:lang w:val="en-US"/>
        </w:rPr>
        <w:t xml:space="preserve"> </w:t>
      </w:r>
      <w:r>
        <w:rPr>
          <w:lang w:val="en-US"/>
        </w:rPr>
        <w:t>This issue occurs at all levels, from individuals losing access to trusted key workers who move on due to uncertainty over whether the</w:t>
      </w:r>
      <w:r w:rsidR="009322B2">
        <w:rPr>
          <w:lang w:val="en-US"/>
        </w:rPr>
        <w:t>ir</w:t>
      </w:r>
      <w:r>
        <w:rPr>
          <w:lang w:val="en-US"/>
        </w:rPr>
        <w:t xml:space="preserve"> current role </w:t>
      </w:r>
      <w:r w:rsidR="009322B2">
        <w:rPr>
          <w:lang w:val="en-US"/>
        </w:rPr>
        <w:t xml:space="preserve">will continue to be funded; to </w:t>
      </w:r>
      <w:r w:rsidR="008F34FB">
        <w:rPr>
          <w:lang w:val="en-US"/>
        </w:rPr>
        <w:t xml:space="preserve">providers </w:t>
      </w:r>
      <w:r w:rsidR="007E3FCA">
        <w:rPr>
          <w:lang w:val="en-US"/>
        </w:rPr>
        <w:t xml:space="preserve">who are unable to deliver the assistance their clients need; to </w:t>
      </w:r>
      <w:r w:rsidR="00143E34">
        <w:rPr>
          <w:lang w:val="en-US"/>
        </w:rPr>
        <w:t xml:space="preserve">efforts to improve collaboration across agencies being hampered by discontinuities in funding provided for </w:t>
      </w:r>
      <w:r w:rsidR="00996E01">
        <w:rPr>
          <w:lang w:val="en-US"/>
        </w:rPr>
        <w:t xml:space="preserve">relationship-building </w:t>
      </w:r>
      <w:r w:rsidR="00996E01">
        <w:rPr>
          <w:lang w:val="en-US"/>
        </w:rPr>
        <w:fldChar w:fldCharType="begin"/>
      </w:r>
      <w:r w:rsidR="009B0EC4">
        <w:rPr>
          <w:lang w:val="en-US"/>
        </w:rPr>
        <w:instrText xml:space="preserve"> ADDIN ZOTERO_ITEM CSL_CITATION {"citationID":"Nwj6FHEV","properties":{"formattedCitation":"(Fry 2022)","plainCitation":"(Fry 2022)","noteIndex":66},"citationItems":[{"id":18461,"uris":["http://zotero.org/groups/4801058/items/Y4XY6L7J"],"itemData":{"id":18461,"type":"report","event-place":"Wellington","publisher":"Productivity Commission","publisher-place":"Wellington","title":"Together alone: A review of joined-up social services","URL":"https://www.productivity.govt.nz/assets/Documents/Together-alone_A-review-of-joined-up-social-services.pdf","author":[{"family":"Fry","given":"Julie"}],"accessed":{"date-parts":[["2023",1,15]]},"issued":{"date-parts":[["2022"]]}}}],"schema":"https://github.com/citation-style-language/schema/raw/master/csl-citation.json"} </w:instrText>
      </w:r>
      <w:r w:rsidR="00996E01">
        <w:rPr>
          <w:lang w:val="en-US"/>
        </w:rPr>
        <w:fldChar w:fldCharType="separate"/>
      </w:r>
      <w:r w:rsidR="00660BDF" w:rsidRPr="00660BDF">
        <w:rPr>
          <w:rFonts w:cs="Calibri"/>
        </w:rPr>
        <w:t>(Fry 2022)</w:t>
      </w:r>
      <w:r w:rsidR="00996E01">
        <w:rPr>
          <w:lang w:val="en-US"/>
        </w:rPr>
        <w:fldChar w:fldCharType="end"/>
      </w:r>
      <w:r w:rsidR="007A559D">
        <w:rPr>
          <w:lang w:val="en-US"/>
        </w:rPr>
        <w:t>.</w:t>
      </w:r>
    </w:p>
  </w:footnote>
  <w:footnote w:id="68">
    <w:p w14:paraId="2D3C3C54" w14:textId="4D3F6229" w:rsidR="00190125" w:rsidRPr="001B3DB6" w:rsidRDefault="00190125">
      <w:pPr>
        <w:pStyle w:val="FootnoteText"/>
        <w:rPr>
          <w:lang w:val="en-US"/>
        </w:rPr>
      </w:pPr>
      <w:r w:rsidRPr="009006D7">
        <w:rPr>
          <w:rStyle w:val="FootnoteReference"/>
        </w:rPr>
        <w:footnoteRef/>
      </w:r>
      <w:r>
        <w:t xml:space="preserve"> </w:t>
      </w:r>
      <w:r>
        <w:rPr>
          <w:lang w:val="en-US"/>
        </w:rPr>
        <w:tab/>
        <w:t xml:space="preserve">Julie Fry </w:t>
      </w:r>
      <w:r w:rsidR="007B3C1C">
        <w:rPr>
          <w:lang w:val="en-US"/>
        </w:rPr>
        <w:t>discusses</w:t>
      </w:r>
      <w:r>
        <w:rPr>
          <w:lang w:val="en-US"/>
        </w:rPr>
        <w:t xml:space="preserve"> several examples in Together Alone</w:t>
      </w:r>
      <w:r w:rsidR="009C28FB">
        <w:rPr>
          <w:lang w:val="en-US"/>
        </w:rPr>
        <w:t>, including during the establishment of what was then known as the Joint Venture on Family Violence and Sexual Violence</w:t>
      </w:r>
      <w:r w:rsidR="00AF3FED">
        <w:rPr>
          <w:lang w:val="en-US"/>
        </w:rPr>
        <w:t xml:space="preserve">; </w:t>
      </w:r>
      <w:r w:rsidR="007D00FE">
        <w:rPr>
          <w:lang w:val="en-US"/>
        </w:rPr>
        <w:t xml:space="preserve">and </w:t>
      </w:r>
      <w:r w:rsidR="00642A08">
        <w:rPr>
          <w:lang w:val="en-US"/>
        </w:rPr>
        <w:t xml:space="preserve">during the closure of the </w:t>
      </w:r>
      <w:proofErr w:type="spellStart"/>
      <w:r w:rsidR="00AF08B8" w:rsidRPr="00AF08B8">
        <w:rPr>
          <w:lang w:val="en-US"/>
        </w:rPr>
        <w:t>Kāinga</w:t>
      </w:r>
      <w:proofErr w:type="spellEnd"/>
      <w:r w:rsidR="00AF08B8" w:rsidRPr="00AF08B8">
        <w:rPr>
          <w:lang w:val="en-US"/>
        </w:rPr>
        <w:t xml:space="preserve"> Ora</w:t>
      </w:r>
      <w:r w:rsidR="00EE674B">
        <w:rPr>
          <w:lang w:val="en-US"/>
        </w:rPr>
        <w:t xml:space="preserve"> Place-Based Initiative</w:t>
      </w:r>
      <w:r w:rsidR="007D00FE">
        <w:rPr>
          <w:lang w:val="en-US"/>
        </w:rPr>
        <w:t xml:space="preserve"> </w:t>
      </w:r>
      <w:r w:rsidR="007D00FE">
        <w:rPr>
          <w:lang w:val="en-US"/>
        </w:rPr>
        <w:fldChar w:fldCharType="begin"/>
      </w:r>
      <w:r w:rsidR="009B0EC4">
        <w:rPr>
          <w:lang w:val="en-US"/>
        </w:rPr>
        <w:instrText xml:space="preserve"> ADDIN ZOTERO_ITEM CSL_CITATION {"citationID":"2iyMyeSs","properties":{"formattedCitation":"(Fry 2022)","plainCitation":"(Fry 2022)","noteIndex":67},"citationItems":[{"id":18461,"uris":["http://zotero.org/groups/4801058/items/Y4XY6L7J"],"itemData":{"id":18461,"type":"report","event-place":"Wellington","publisher":"Productivity Commission","publisher-place":"Wellington","title":"Together alone: A review of joined-up social services","URL":"https://www.productivity.govt.nz/assets/Documents/Together-alone_A-review-of-joined-up-social-services.pdf","author":[{"family":"Fry","given":"Julie"}],"accessed":{"date-parts":[["2023",1,15]]},"issued":{"date-parts":[["2022"]]}}}],"schema":"https://github.com/citation-style-language/schema/raw/master/csl-citation.json"} </w:instrText>
      </w:r>
      <w:r w:rsidR="007D00FE">
        <w:rPr>
          <w:lang w:val="en-US"/>
        </w:rPr>
        <w:fldChar w:fldCharType="separate"/>
      </w:r>
      <w:r w:rsidR="00660BDF" w:rsidRPr="00660BDF">
        <w:rPr>
          <w:rFonts w:cs="Calibri"/>
        </w:rPr>
        <w:t>(Fry 2022)</w:t>
      </w:r>
      <w:r w:rsidR="007D00FE">
        <w:rPr>
          <w:lang w:val="en-US"/>
        </w:rPr>
        <w:fldChar w:fldCharType="end"/>
      </w:r>
      <w:r w:rsidR="00361E2A">
        <w:rPr>
          <w:lang w:val="en-US"/>
        </w:rPr>
        <w:t>.</w:t>
      </w:r>
      <w:r w:rsidR="00EE674B">
        <w:rPr>
          <w:lang w:val="en-US"/>
        </w:rPr>
        <w:t xml:space="preserve"> </w:t>
      </w:r>
    </w:p>
  </w:footnote>
  <w:footnote w:id="69">
    <w:p w14:paraId="2AED6C35" w14:textId="77B14FD3" w:rsidR="00B1035A" w:rsidRPr="00F0646E" w:rsidRDefault="00B1035A" w:rsidP="00B1035A">
      <w:pPr>
        <w:pStyle w:val="FootnoteText"/>
      </w:pPr>
      <w:r w:rsidRPr="009006D7">
        <w:rPr>
          <w:rStyle w:val="FootnoteReference"/>
        </w:rPr>
        <w:footnoteRef/>
      </w:r>
      <w:r w:rsidRPr="00F0646E">
        <w:t xml:space="preserve"> </w:t>
      </w:r>
      <w:r w:rsidRPr="00107BC9">
        <w:tab/>
      </w:r>
      <w:r w:rsidRPr="00F0646E">
        <w:t xml:space="preserve">Examples may include “being declined financial assistance by Work and Income, being arrested by NZ Police, being fined, subjected to Community Service or imprisoned by Corrections, or having children uplifted by </w:t>
      </w:r>
      <w:proofErr w:type="spellStart"/>
      <w:r w:rsidRPr="00F0646E">
        <w:t>Oranga</w:t>
      </w:r>
      <w:proofErr w:type="spellEnd"/>
      <w:r w:rsidRPr="00F0646E">
        <w:t xml:space="preserve"> Tamariki” </w:t>
      </w:r>
      <w:r w:rsidRPr="00F0646E">
        <w:fldChar w:fldCharType="begin"/>
      </w:r>
      <w:r w:rsidR="009B0EC4">
        <w:instrText xml:space="preserve"> ADDIN ZOTERO_ITEM CSL_CITATION {"citationID":"Bz5ew27b","properties":{"formattedCitation":"(Fry 2022, 18)","plainCitation":"(Fry 2022, 18)","noteIndex":68},"citationItems":[{"id":18461,"uris":["http://zotero.org/groups/4801058/items/Y4XY6L7J"],"itemData":{"id":18461,"type":"report","event-place":"Wellington","publisher":"Productivity Commission","publisher-place":"Wellington","title":"Together alone: A review of joined-up social services","URL":"https://www.productivity.govt.nz/assets/Documents/Together-alone_A-review-of-joined-up-social-services.pdf","author":[{"family":"Fry","given":"Julie"}],"accessed":{"date-parts":[["2023",1,15]]},"issued":{"date-parts":[["2022"]]}},"locator":"18","label":"page"}],"schema":"https://github.com/citation-style-language/schema/raw/master/csl-citation.json"} </w:instrText>
      </w:r>
      <w:r w:rsidRPr="00F0646E">
        <w:fldChar w:fldCharType="separate"/>
      </w:r>
      <w:r w:rsidR="00660BDF" w:rsidRPr="00660BDF">
        <w:rPr>
          <w:rFonts w:cs="Calibri"/>
        </w:rPr>
        <w:t>(Fry 2022, 18)</w:t>
      </w:r>
      <w:r w:rsidRPr="00F0646E">
        <w:fldChar w:fldCharType="end"/>
      </w:r>
      <w:r w:rsidRPr="00F0646E">
        <w:t>.</w:t>
      </w:r>
    </w:p>
  </w:footnote>
  <w:footnote w:id="70">
    <w:p w14:paraId="2BD9C92E" w14:textId="43B2FBAF" w:rsidR="0020255A" w:rsidRPr="00E034F9" w:rsidRDefault="0020255A">
      <w:pPr>
        <w:pStyle w:val="FootnoteText"/>
        <w:rPr>
          <w:lang w:val="en-US"/>
        </w:rPr>
      </w:pPr>
      <w:r w:rsidRPr="009006D7">
        <w:rPr>
          <w:rStyle w:val="FootnoteReference"/>
        </w:rPr>
        <w:footnoteRef/>
      </w:r>
      <w:r>
        <w:t xml:space="preserve"> </w:t>
      </w:r>
      <w:r>
        <w:rPr>
          <w:lang w:val="en-US"/>
        </w:rPr>
        <w:tab/>
      </w:r>
      <w:r w:rsidRPr="001B3DB6">
        <w:t xml:space="preserve">Service or entitlement eligibility criteria can be used to </w:t>
      </w:r>
      <w:r w:rsidR="0051036A">
        <w:t>direct ass</w:t>
      </w:r>
      <w:r w:rsidR="00573B2C">
        <w:t>is</w:t>
      </w:r>
      <w:r w:rsidR="0051036A">
        <w:t xml:space="preserve">tance to those most in need, </w:t>
      </w:r>
      <w:r w:rsidRPr="001B3DB6">
        <w:t xml:space="preserve">manage costs and </w:t>
      </w:r>
      <w:r w:rsidR="00314A0F" w:rsidRPr="001B3DB6">
        <w:t>demonstrate</w:t>
      </w:r>
      <w:r w:rsidRPr="001B3DB6">
        <w:t xml:space="preserve"> accounta</w:t>
      </w:r>
      <w:r w:rsidR="00314A0F" w:rsidRPr="001B3DB6">
        <w:t>bility</w:t>
      </w:r>
      <w:r w:rsidR="007D2B83" w:rsidRPr="001B3DB6">
        <w:t xml:space="preserve"> to funders</w:t>
      </w:r>
      <w:r w:rsidRPr="001B3DB6">
        <w:t xml:space="preserve">. However, by </w:t>
      </w:r>
      <w:r w:rsidR="00237AC8" w:rsidRPr="001B3DB6">
        <w:t>definition</w:t>
      </w:r>
      <w:r w:rsidRPr="001B3DB6">
        <w:t xml:space="preserve">, </w:t>
      </w:r>
      <w:r w:rsidR="002C3F95">
        <w:t xml:space="preserve">setting </w:t>
      </w:r>
      <w:r w:rsidRPr="001B3DB6">
        <w:t xml:space="preserve">criteria require the application of </w:t>
      </w:r>
      <w:r w:rsidR="002C3F95">
        <w:t xml:space="preserve">a </w:t>
      </w:r>
      <w:r w:rsidRPr="001B3DB6">
        <w:t>judgement</w:t>
      </w:r>
      <w:r w:rsidR="00525D90">
        <w:t xml:space="preserve"> about what level of disadvantage will qualify for </w:t>
      </w:r>
      <w:r w:rsidR="00573B2C">
        <w:t xml:space="preserve">assistance. </w:t>
      </w:r>
      <w:r w:rsidR="00F00239">
        <w:t xml:space="preserve">Those judgements are often made </w:t>
      </w:r>
      <w:r w:rsidR="00F32385">
        <w:t>based on</w:t>
      </w:r>
      <w:r w:rsidR="00F00239">
        <w:t xml:space="preserve"> </w:t>
      </w:r>
      <w:r w:rsidR="007116D3">
        <w:t xml:space="preserve">only </w:t>
      </w:r>
      <w:r w:rsidR="00F00239">
        <w:t>considering</w:t>
      </w:r>
      <w:r w:rsidR="007116D3">
        <w:t xml:space="preserve"> one aspect of wellbeing in isolation, and not considering that a combination of </w:t>
      </w:r>
      <w:r w:rsidR="00354426">
        <w:t>“</w:t>
      </w:r>
      <w:r w:rsidR="0064316D">
        <w:t>not quite enough needs</w:t>
      </w:r>
      <w:r w:rsidR="00354426">
        <w:t xml:space="preserve"> to qualify”</w:t>
      </w:r>
      <w:r w:rsidR="0064316D">
        <w:t xml:space="preserve"> across all dimensions can combine to produce</w:t>
      </w:r>
      <w:r w:rsidR="00354426">
        <w:t xml:space="preserve"> toxic stress and reduce </w:t>
      </w:r>
      <w:r w:rsidR="001C6C1D">
        <w:t>the ability of people to lead a good life</w:t>
      </w:r>
      <w:r w:rsidR="00354426">
        <w:t>.</w:t>
      </w:r>
      <w:r w:rsidR="00E44E0D">
        <w:t xml:space="preserve"> </w:t>
      </w:r>
      <w:r w:rsidR="006F5F93">
        <w:t>Even for those people who do me</w:t>
      </w:r>
      <w:r w:rsidR="00E44E0D">
        <w:t xml:space="preserve">et the relevant criteria, having to continually </w:t>
      </w:r>
      <w:r w:rsidR="00E02FF9">
        <w:t>provide evidence of disadvantage can lead to stigmati</w:t>
      </w:r>
      <w:r w:rsidR="001B3DB6">
        <w:t>s</w:t>
      </w:r>
      <w:r w:rsidR="00E02FF9">
        <w:t>ation and further stress</w:t>
      </w:r>
      <w:r w:rsidR="00322374" w:rsidRPr="0096407E">
        <w:t>.</w:t>
      </w:r>
    </w:p>
  </w:footnote>
  <w:footnote w:id="71">
    <w:p w14:paraId="0D8C7EDF" w14:textId="11ADF75E" w:rsidR="00602904" w:rsidRPr="00E50566" w:rsidRDefault="00602904">
      <w:pPr>
        <w:pStyle w:val="FootnoteText"/>
        <w:rPr>
          <w:lang w:val="en-US"/>
        </w:rPr>
      </w:pPr>
      <w:r w:rsidRPr="009006D7">
        <w:rPr>
          <w:rStyle w:val="FootnoteReference"/>
        </w:rPr>
        <w:footnoteRef/>
      </w:r>
      <w:r>
        <w:t xml:space="preserve"> </w:t>
      </w:r>
      <w:r>
        <w:rPr>
          <w:lang w:val="en-US"/>
        </w:rPr>
        <w:tab/>
      </w:r>
      <w:r w:rsidR="00893C5F">
        <w:rPr>
          <w:lang w:val="en-US"/>
        </w:rPr>
        <w:t>Some</w:t>
      </w:r>
      <w:r w:rsidR="00ED4681">
        <w:rPr>
          <w:lang w:val="en-US"/>
        </w:rPr>
        <w:t xml:space="preserve"> providers </w:t>
      </w:r>
      <w:r w:rsidR="007341E2">
        <w:rPr>
          <w:lang w:val="en-US"/>
        </w:rPr>
        <w:t xml:space="preserve">have more limited flexibility. </w:t>
      </w:r>
      <w:r w:rsidR="00E71FBA">
        <w:rPr>
          <w:lang w:val="en-US"/>
        </w:rPr>
        <w:t xml:space="preserve">For example, a public hospital operating a surgical schedule needs to be able to respond to emergencies and </w:t>
      </w:r>
      <w:proofErr w:type="spellStart"/>
      <w:r w:rsidR="00AD4A03">
        <w:rPr>
          <w:lang w:val="en-US"/>
        </w:rPr>
        <w:t>prioritise</w:t>
      </w:r>
      <w:proofErr w:type="spellEnd"/>
      <w:r w:rsidR="00CA77E0">
        <w:rPr>
          <w:lang w:val="en-US"/>
        </w:rPr>
        <w:t xml:space="preserve"> </w:t>
      </w:r>
      <w:r w:rsidR="00B57A74">
        <w:rPr>
          <w:lang w:val="en-US"/>
        </w:rPr>
        <w:t xml:space="preserve">scheduled operations based on clinical </w:t>
      </w:r>
      <w:r w:rsidR="00D07A79">
        <w:rPr>
          <w:lang w:val="en-US"/>
        </w:rPr>
        <w:t>need.</w:t>
      </w:r>
      <w:r w:rsidR="00ED4681">
        <w:rPr>
          <w:lang w:val="en-US"/>
        </w:rPr>
        <w:t xml:space="preserve"> </w:t>
      </w:r>
    </w:p>
  </w:footnote>
  <w:footnote w:id="72">
    <w:p w14:paraId="22F60656" w14:textId="6C310A79" w:rsidR="00913A2C" w:rsidRDefault="00913A2C">
      <w:pPr>
        <w:pStyle w:val="FootnoteText"/>
      </w:pPr>
      <w:r w:rsidRPr="009006D7">
        <w:rPr>
          <w:rStyle w:val="FootnoteReference"/>
        </w:rPr>
        <w:footnoteRef/>
      </w:r>
      <w:r>
        <w:t xml:space="preserve"> </w:t>
      </w:r>
      <w:r>
        <w:tab/>
        <w:t>There is a</w:t>
      </w:r>
      <w:r w:rsidR="00B85BB9">
        <w:t>n</w:t>
      </w:r>
      <w:r>
        <w:t xml:space="preserve"> un</w:t>
      </w:r>
      <w:r w:rsidR="00BB4241">
        <w:t>avoidable</w:t>
      </w:r>
      <w:r>
        <w:t xml:space="preserve"> trade-off in social policy between </w:t>
      </w:r>
      <w:r w:rsidR="000929DE">
        <w:t xml:space="preserve">the dimensions of </w:t>
      </w:r>
      <w:r w:rsidR="00A05F32">
        <w:t xml:space="preserve">economy (cost), equity and efficiency. </w:t>
      </w:r>
      <w:r w:rsidR="00D44CD9">
        <w:t xml:space="preserve">It is simply impossible to have a </w:t>
      </w:r>
      <w:r w:rsidR="00D266A4">
        <w:t>large-scale</w:t>
      </w:r>
      <w:r w:rsidR="00D44CD9">
        <w:t xml:space="preserve"> </w:t>
      </w:r>
      <w:r w:rsidR="00154163">
        <w:t xml:space="preserve">social assistance </w:t>
      </w:r>
      <w:r w:rsidR="00D44CD9">
        <w:t xml:space="preserve">programme that is affordable, treats people fairly and </w:t>
      </w:r>
      <w:r w:rsidR="00154163">
        <w:t xml:space="preserve">does not produce adverse outcomes on dimensions like </w:t>
      </w:r>
      <w:r w:rsidR="00F33907">
        <w:t>incentives to participate in the workforce. Working-for Families shows these trade-off</w:t>
      </w:r>
      <w:r w:rsidR="004165A1">
        <w:t>s</w:t>
      </w:r>
      <w:r w:rsidR="00F33907">
        <w:t xml:space="preserve"> in action. High benefit abatement rates (the rate at which assistance is </w:t>
      </w:r>
      <w:r w:rsidR="00A66755">
        <w:t>withdrawn as income increases) can reduce incentives for people to join the workforce or increase their hours worked, especially for women</w:t>
      </w:r>
      <w:r w:rsidR="007E3CD4">
        <w:t xml:space="preserve"> with young children</w:t>
      </w:r>
      <w:r w:rsidR="00FF3D9B">
        <w:t>, who are very responsive to the after-all-taxes-and-transfers return to working</w:t>
      </w:r>
      <w:r w:rsidR="007E3CD4">
        <w:t>. But low benefit abatement rates dramatically increase the cost of the programme (which means th</w:t>
      </w:r>
      <w:r w:rsidR="00677478">
        <w:t>a</w:t>
      </w:r>
      <w:r w:rsidR="007E3CD4">
        <w:t xml:space="preserve">t </w:t>
      </w:r>
      <w:r w:rsidR="00BB6D17">
        <w:t>e</w:t>
      </w:r>
      <w:r w:rsidR="00677478">
        <w:t xml:space="preserve">ither taxes </w:t>
      </w:r>
      <w:r w:rsidR="00F32385">
        <w:t>must</w:t>
      </w:r>
      <w:r w:rsidR="00677478">
        <w:t xml:space="preserve"> be increased – which have their own potentially very high negative effects on incentives or other spending curtailed)</w:t>
      </w:r>
      <w:r w:rsidR="00F33907">
        <w:t xml:space="preserve"> </w:t>
      </w:r>
      <w:r w:rsidR="0048673C">
        <w:t>and mean that assistance is provided to higher income families</w:t>
      </w:r>
      <w:r w:rsidR="00D266A4">
        <w:t>, which reduces equity</w:t>
      </w:r>
      <w:r w:rsidR="0048673C">
        <w:t>.</w:t>
      </w:r>
      <w:r w:rsidR="00230CEF">
        <w:t xml:space="preserve"> The task of policy development, therefore, is to find the right mix of economy, </w:t>
      </w:r>
      <w:r w:rsidR="00452CA4">
        <w:t>efficiency,</w:t>
      </w:r>
      <w:r w:rsidR="00230CEF">
        <w:t xml:space="preserve"> and equity. Because of the equity dimension, value judgements are involved and there is </w:t>
      </w:r>
      <w:proofErr w:type="gramStart"/>
      <w:r w:rsidR="00230CEF">
        <w:t>no</w:t>
      </w:r>
      <w:proofErr w:type="gramEnd"/>
      <w:r w:rsidR="00230CEF">
        <w:t xml:space="preserve"> empirically provable ‘right’ answer. Evidence can, however, </w:t>
      </w:r>
      <w:r w:rsidR="00FF7299">
        <w:t xml:space="preserve">be used to measure and examine the effects on different outcomes on the three </w:t>
      </w:r>
      <w:r w:rsidR="00452CA4">
        <w:t>dimensions.</w:t>
      </w:r>
    </w:p>
  </w:footnote>
  <w:footnote w:id="73">
    <w:p w14:paraId="6E6488E5" w14:textId="1F78E046" w:rsidR="000F47A6" w:rsidRPr="00E50566" w:rsidRDefault="000F47A6">
      <w:pPr>
        <w:pStyle w:val="FootnoteText"/>
        <w:rPr>
          <w:lang w:val="en-US"/>
        </w:rPr>
      </w:pPr>
      <w:r w:rsidRPr="009006D7">
        <w:rPr>
          <w:rStyle w:val="FootnoteReference"/>
        </w:rPr>
        <w:footnoteRef/>
      </w:r>
      <w:r>
        <w:t xml:space="preserve"> </w:t>
      </w:r>
      <w:r>
        <w:rPr>
          <w:lang w:val="en-US"/>
        </w:rPr>
        <w:tab/>
      </w:r>
      <w:proofErr w:type="spellStart"/>
      <w:r w:rsidR="00093F2F">
        <w:rPr>
          <w:lang w:val="en-US"/>
        </w:rPr>
        <w:t>Leslynne</w:t>
      </w:r>
      <w:proofErr w:type="spellEnd"/>
      <w:r w:rsidR="00093F2F">
        <w:rPr>
          <w:lang w:val="en-US"/>
        </w:rPr>
        <w:t xml:space="preserve"> Jackson, </w:t>
      </w:r>
      <w:r>
        <w:rPr>
          <w:lang w:val="en-US"/>
        </w:rPr>
        <w:t xml:space="preserve">Personal communication, </w:t>
      </w:r>
      <w:r w:rsidR="00093F2F">
        <w:rPr>
          <w:lang w:val="en-US"/>
        </w:rPr>
        <w:t xml:space="preserve">25 </w:t>
      </w:r>
      <w:r w:rsidR="00B07E41">
        <w:rPr>
          <w:lang w:val="en-US"/>
        </w:rPr>
        <w:t>January 2023.</w:t>
      </w:r>
    </w:p>
  </w:footnote>
  <w:footnote w:id="74">
    <w:p w14:paraId="5933CC27" w14:textId="706FC9A9" w:rsidR="00C820BC" w:rsidRPr="001B3DB6" w:rsidRDefault="00C820BC">
      <w:pPr>
        <w:pStyle w:val="FootnoteText"/>
        <w:rPr>
          <w:lang w:val="en-US"/>
        </w:rPr>
      </w:pPr>
      <w:r w:rsidRPr="009006D7">
        <w:rPr>
          <w:rStyle w:val="FootnoteReference"/>
        </w:rPr>
        <w:footnoteRef/>
      </w:r>
      <w:r>
        <w:t xml:space="preserve"> </w:t>
      </w:r>
      <w:r>
        <w:rPr>
          <w:lang w:val="en-US"/>
        </w:rPr>
        <w:tab/>
        <w:t>P</w:t>
      </w:r>
      <w:proofErr w:type="spellStart"/>
      <w:r w:rsidRPr="00E034F9">
        <w:t>roviders</w:t>
      </w:r>
      <w:proofErr w:type="spellEnd"/>
      <w:r w:rsidRPr="00E034F9">
        <w:t xml:space="preserve"> </w:t>
      </w:r>
      <w:r>
        <w:t>with a</w:t>
      </w:r>
      <w:r w:rsidRPr="00E034F9">
        <w:t xml:space="preserve"> history of </w:t>
      </w:r>
      <w:r>
        <w:t>‘</w:t>
      </w:r>
      <w:r w:rsidRPr="00E034F9">
        <w:t>feathering their own nests</w:t>
      </w:r>
      <w:r>
        <w:t>’</w:t>
      </w:r>
      <w:r w:rsidRPr="00E034F9">
        <w:t xml:space="preserve"> at the expense of supporting their clients' independence</w:t>
      </w:r>
      <w:r w:rsidR="00D96F30">
        <w:t xml:space="preserve"> was one of the core reasons behind moves to more individualised funding such as those described in Box </w:t>
      </w:r>
      <w:r w:rsidR="00A97772">
        <w:t xml:space="preserve">1 on Mana </w:t>
      </w:r>
      <w:proofErr w:type="spellStart"/>
      <w:r w:rsidR="00A97772">
        <w:t>Whaikaha</w:t>
      </w:r>
      <w:proofErr w:type="spellEnd"/>
      <w:r w:rsidR="00A97772">
        <w:t xml:space="preserve">. </w:t>
      </w:r>
    </w:p>
  </w:footnote>
  <w:footnote w:id="75">
    <w:p w14:paraId="31F6475F" w14:textId="1E21202F" w:rsidR="00A87F25" w:rsidRPr="00E034F9" w:rsidRDefault="00A87F25">
      <w:pPr>
        <w:pStyle w:val="FootnoteText"/>
        <w:rPr>
          <w:lang w:val="en-US"/>
        </w:rPr>
      </w:pPr>
      <w:r w:rsidRPr="009006D7">
        <w:rPr>
          <w:rStyle w:val="FootnoteReference"/>
        </w:rPr>
        <w:footnoteRef/>
      </w:r>
      <w:r>
        <w:t xml:space="preserve"> </w:t>
      </w:r>
      <w:r>
        <w:rPr>
          <w:lang w:val="en-US"/>
        </w:rPr>
        <w:tab/>
      </w:r>
      <w:r w:rsidR="00766352" w:rsidRPr="009F2DF5">
        <w:rPr>
          <w:lang w:val="en-US"/>
        </w:rPr>
        <w:t xml:space="preserve">As discussed in </w:t>
      </w:r>
      <w:r w:rsidR="009F2DF5" w:rsidRPr="009F2DF5">
        <w:rPr>
          <w:lang w:val="en-US"/>
        </w:rPr>
        <w:t xml:space="preserve">the previous </w:t>
      </w:r>
      <w:r w:rsidR="00766352" w:rsidRPr="009F2DF5">
        <w:rPr>
          <w:lang w:val="en-US"/>
        </w:rPr>
        <w:t>section</w:t>
      </w:r>
      <w:r w:rsidR="009F2DF5" w:rsidRPr="009F2DF5">
        <w:rPr>
          <w:lang w:val="en-US"/>
        </w:rPr>
        <w:t xml:space="preserve"> in relation to disability services, </w:t>
      </w:r>
      <w:r w:rsidR="009F2DF5" w:rsidRPr="00D55E0A">
        <w:t>p</w:t>
      </w:r>
      <w:r w:rsidRPr="009F2DF5">
        <w:t xml:space="preserve">aternalistic state or provider services </w:t>
      </w:r>
      <w:r w:rsidR="002B7A3A" w:rsidRPr="009F2DF5">
        <w:t xml:space="preserve">can </w:t>
      </w:r>
      <w:r w:rsidRPr="009F2DF5">
        <w:t>also lead to this</w:t>
      </w:r>
      <w:r w:rsidR="002B7A3A" w:rsidRPr="009F2DF5">
        <w:t xml:space="preserve"> result. </w:t>
      </w:r>
    </w:p>
  </w:footnote>
  <w:footnote w:id="76">
    <w:p w14:paraId="0E81A136" w14:textId="14AA63B5" w:rsidR="001E29AB" w:rsidRPr="00F0646E" w:rsidRDefault="001E29AB" w:rsidP="001E29AB">
      <w:pPr>
        <w:pStyle w:val="FootnoteText"/>
      </w:pPr>
      <w:r w:rsidRPr="009006D7">
        <w:rPr>
          <w:rStyle w:val="FootnoteReference"/>
        </w:rPr>
        <w:footnoteRef/>
      </w:r>
      <w:r w:rsidRPr="00F0646E">
        <w:t xml:space="preserve"> </w:t>
      </w:r>
      <w:r w:rsidRPr="00F0646E">
        <w:tab/>
        <w:t xml:space="preserve">Carolyne October, who has experienced serious violence and homelessness, described wanting to help other people find homes </w:t>
      </w:r>
      <w:r w:rsidRPr="00F0646E">
        <w:fldChar w:fldCharType="begin"/>
      </w:r>
      <w:r w:rsidR="009B0EC4">
        <w:instrText xml:space="preserve"> ADDIN ZOTERO_ITEM CSL_CITATION {"citationID":"a1imv28vcrq","properties":{"formattedCitation":"(AmbitionNZ 2019)","plainCitation":"(AmbitionNZ 2019)","noteIndex":75},"citationItems":[{"id":17119,"uris":["http://zotero.org/groups/4801058/items/4CEIHGKC"],"itemData":{"id":17119,"type":"motion_picture","abstract":"Creative Commons Attribution license (reuse allowed)","dimensions":"2:09","source":"YouTube","title":"Carolyne October","URL":"https://www.youtube.com/watch?v=4UoKfJKxF2w","director":[{"literal":"AmbitionNZ"}],"accessed":{"date-parts":[["2022",11,24]]},"issued":{"date-parts":[["2019",9,27]]}}}],"schema":"https://github.com/citation-style-language/schema/raw/master/csl-citation.json"} </w:instrText>
      </w:r>
      <w:r w:rsidRPr="00F0646E">
        <w:fldChar w:fldCharType="separate"/>
      </w:r>
      <w:r w:rsidRPr="00F0646E">
        <w:rPr>
          <w:rFonts w:cs="Calibri"/>
          <w:szCs w:val="24"/>
        </w:rPr>
        <w:t>(</w:t>
      </w:r>
      <w:proofErr w:type="spellStart"/>
      <w:r w:rsidRPr="00F0646E">
        <w:rPr>
          <w:rFonts w:cs="Calibri"/>
          <w:szCs w:val="24"/>
        </w:rPr>
        <w:t>AmbitionNZ</w:t>
      </w:r>
      <w:proofErr w:type="spellEnd"/>
      <w:r w:rsidRPr="00F0646E">
        <w:rPr>
          <w:rFonts w:cs="Calibri"/>
          <w:szCs w:val="24"/>
        </w:rPr>
        <w:t xml:space="preserve"> 2019)</w:t>
      </w:r>
      <w:r w:rsidRPr="00F0646E">
        <w:fldChar w:fldCharType="end"/>
      </w:r>
      <w:r w:rsidRPr="00F0646E">
        <w:t xml:space="preserve">. The founders of </w:t>
      </w:r>
      <w:proofErr w:type="spellStart"/>
      <w:r w:rsidRPr="00F0646E">
        <w:t>Mauria</w:t>
      </w:r>
      <w:proofErr w:type="spellEnd"/>
      <w:r w:rsidRPr="00F0646E">
        <w:t xml:space="preserve"> </w:t>
      </w:r>
      <w:proofErr w:type="spellStart"/>
      <w:r w:rsidRPr="00F0646E">
        <w:t>te</w:t>
      </w:r>
      <w:proofErr w:type="spellEnd"/>
      <w:r w:rsidRPr="00F0646E">
        <w:t xml:space="preserve"> Pono, who are included in a case study in the Commission’s interim report, developed their flax roots movement for whānau affected by drug and alcohol abuse after identifying gaps in the support they needed during their own recovery journey </w:t>
      </w:r>
      <w:r w:rsidRPr="00F0646E">
        <w:fldChar w:fldCharType="begin"/>
      </w:r>
      <w:r w:rsidR="009B0EC4">
        <w:instrText xml:space="preserve"> ADDIN ZOTERO_ITEM CSL_CITATION {"citationID":"X8rhgOu0","properties":{"formattedCitation":"(New Zealand Productivity Commission 2022a, 109)","plainCitation":"(New Zealand Productivity Commission 2022a, 109)","noteIndex":75},"citationItems":[{"id":16621,"uris":["http://zotero.org/groups/4801058/items/WYNPCXJD"],"itemData":{"id":16621,"type":"report","event-place":"Wellington","publisher":"New Zealand Productivity Commission","publisher-place":"Wellington","title":"Fair Chance for All Interim Report - Breaking the Cycle of Persistent Disadvantage","author":[{"family":"New Zealand Productivity Commission","given":""}],"issued":{"date-parts":[["2022"]]}},"locator":"109","label":"page"}],"schema":"https://github.com/citation-style-language/schema/raw/master/csl-citation.json"} </w:instrText>
      </w:r>
      <w:r w:rsidRPr="00F0646E">
        <w:fldChar w:fldCharType="separate"/>
      </w:r>
      <w:r w:rsidRPr="00F0646E">
        <w:rPr>
          <w:rFonts w:cs="Calibri"/>
        </w:rPr>
        <w:t>(New Zealand Productivity Commission 2022a, 109)</w:t>
      </w:r>
      <w:r w:rsidRPr="00F0646E">
        <w:fldChar w:fldCharType="end"/>
      </w:r>
      <w:r w:rsidRPr="00F0646E">
        <w:t>.</w:t>
      </w:r>
    </w:p>
  </w:footnote>
  <w:footnote w:id="77">
    <w:p w14:paraId="13AF9483" w14:textId="1343BA9F" w:rsidR="004B3958" w:rsidRDefault="004B3958">
      <w:pPr>
        <w:pStyle w:val="FootnoteText"/>
      </w:pPr>
      <w:r w:rsidRPr="009006D7">
        <w:rPr>
          <w:rStyle w:val="FootnoteReference"/>
        </w:rPr>
        <w:footnoteRef/>
      </w:r>
      <w:r>
        <w:t xml:space="preserve"> </w:t>
      </w:r>
      <w:r>
        <w:tab/>
      </w:r>
      <w:r w:rsidR="0007459B">
        <w:t xml:space="preserve">The </w:t>
      </w:r>
      <w:r w:rsidR="007A3525">
        <w:t>Treasury has defined social capital as</w:t>
      </w:r>
      <w:r w:rsidR="0007459B">
        <w:t xml:space="preserve"> referring to “</w:t>
      </w:r>
      <w:r w:rsidR="007A3525" w:rsidRPr="007A3525">
        <w:t>the social connections, attitudes and norms that contribute to societal wellbeing by promoting coordination and collaboration between people and groups in society</w:t>
      </w:r>
      <w:r w:rsidR="007A3525">
        <w:t>”</w:t>
      </w:r>
      <w:r w:rsidR="008C601D">
        <w:t xml:space="preserve"> </w:t>
      </w:r>
      <w:r w:rsidR="008C601D">
        <w:fldChar w:fldCharType="begin"/>
      </w:r>
      <w:r w:rsidR="009B0EC4">
        <w:instrText xml:space="preserve"> ADDIN ZOTERO_ITEM CSL_CITATION {"citationID":"lcsKAoMh","properties":{"formattedCitation":"(Frieling 2018)","plainCitation":"(Frieling 2018)","noteIndex":76},"citationItems":[{"id":18687,"uris":["http://zotero.org/groups/4801058/items/SAKZ82DC"],"itemData":{"id":18687,"type":"report","event-place":"Wellington","genre":"Living Standards Series:","number":"Discussion Paper 18/04","publisher":"The Treasury","publisher-place":"Wellington","title":"The Start of a Conversation on the Value of New Zealand’s Social Capital","author":[{"family":"Frieling","given":"Margaret"}],"issued":{"date-parts":[["2018"]]}}}],"schema":"https://github.com/citation-style-language/schema/raw/master/csl-citation.json"} </w:instrText>
      </w:r>
      <w:r w:rsidR="008C601D">
        <w:fldChar w:fldCharType="separate"/>
      </w:r>
      <w:r w:rsidR="008C601D" w:rsidRPr="008C601D">
        <w:rPr>
          <w:rFonts w:cs="Calibri"/>
        </w:rPr>
        <w:t>(</w:t>
      </w:r>
      <w:proofErr w:type="spellStart"/>
      <w:r w:rsidR="008C601D" w:rsidRPr="008C601D">
        <w:rPr>
          <w:rFonts w:cs="Calibri"/>
        </w:rPr>
        <w:t>Frieling</w:t>
      </w:r>
      <w:proofErr w:type="spellEnd"/>
      <w:r w:rsidR="008C601D" w:rsidRPr="008C601D">
        <w:rPr>
          <w:rFonts w:cs="Calibri"/>
        </w:rPr>
        <w:t xml:space="preserve"> 2018)</w:t>
      </w:r>
      <w:r w:rsidR="008C601D">
        <w:fldChar w:fldCharType="end"/>
      </w:r>
      <w:r w:rsidR="0007459B">
        <w:t>.</w:t>
      </w:r>
    </w:p>
  </w:footnote>
  <w:footnote w:id="78">
    <w:p w14:paraId="38185E89" w14:textId="1A81B83C" w:rsidR="00703324" w:rsidRPr="00EC1611" w:rsidRDefault="00703324" w:rsidP="00881F42">
      <w:pPr>
        <w:pStyle w:val="FootnoteText"/>
        <w:rPr>
          <w:lang w:val="en-US"/>
        </w:rPr>
      </w:pPr>
      <w:r w:rsidRPr="009006D7">
        <w:rPr>
          <w:rStyle w:val="FootnoteReference"/>
        </w:rPr>
        <w:footnoteRef/>
      </w:r>
      <w:r>
        <w:t xml:space="preserve"> </w:t>
      </w:r>
      <w:r>
        <w:rPr>
          <w:lang w:val="en-US"/>
        </w:rPr>
        <w:tab/>
      </w:r>
      <w:r w:rsidR="00881F42" w:rsidRPr="00881F42">
        <w:rPr>
          <w:lang w:val="en-US"/>
        </w:rPr>
        <w:t>Th</w:t>
      </w:r>
      <w:r w:rsidR="00881F42">
        <w:rPr>
          <w:lang w:val="en-US"/>
        </w:rPr>
        <w:t>e 2023</w:t>
      </w:r>
      <w:r w:rsidR="00881F42" w:rsidRPr="00881F42">
        <w:rPr>
          <w:lang w:val="en-US"/>
        </w:rPr>
        <w:t xml:space="preserve"> Budget Policy Statement </w:t>
      </w:r>
      <w:r w:rsidR="00881F42">
        <w:rPr>
          <w:lang w:val="en-US"/>
        </w:rPr>
        <w:t xml:space="preserve">was </w:t>
      </w:r>
      <w:r w:rsidR="00881F42" w:rsidRPr="00881F42">
        <w:rPr>
          <w:lang w:val="en-US"/>
        </w:rPr>
        <w:t xml:space="preserve">the first to use the Treasury’s updated </w:t>
      </w:r>
      <w:r w:rsidR="00A82694">
        <w:rPr>
          <w:lang w:val="en-US"/>
        </w:rPr>
        <w:t>LSF from 2021. The new fram</w:t>
      </w:r>
      <w:r w:rsidR="00160A72">
        <w:rPr>
          <w:lang w:val="en-US"/>
        </w:rPr>
        <w:t>e</w:t>
      </w:r>
      <w:r w:rsidR="00A82694">
        <w:rPr>
          <w:lang w:val="en-US"/>
        </w:rPr>
        <w:t>work</w:t>
      </w:r>
      <w:r w:rsidR="00881F42">
        <w:rPr>
          <w:lang w:val="en-US"/>
        </w:rPr>
        <w:t xml:space="preserve"> only </w:t>
      </w:r>
      <w:r w:rsidR="00881F42" w:rsidRPr="00881F42">
        <w:rPr>
          <w:lang w:val="en-US"/>
        </w:rPr>
        <w:t>refer</w:t>
      </w:r>
      <w:r w:rsidR="00160A72">
        <w:rPr>
          <w:lang w:val="en-US"/>
        </w:rPr>
        <w:t>s</w:t>
      </w:r>
      <w:r w:rsidR="00881F42" w:rsidRPr="00881F42">
        <w:rPr>
          <w:lang w:val="en-US"/>
        </w:rPr>
        <w:t xml:space="preserve"> to financial and physical</w:t>
      </w:r>
      <w:r w:rsidR="00160A72">
        <w:rPr>
          <w:lang w:val="en-US"/>
        </w:rPr>
        <w:t xml:space="preserve"> </w:t>
      </w:r>
      <w:r w:rsidR="00881F42" w:rsidRPr="00881F42">
        <w:rPr>
          <w:lang w:val="en-US"/>
        </w:rPr>
        <w:t xml:space="preserve">capital, </w:t>
      </w:r>
      <w:r w:rsidR="00160A72">
        <w:rPr>
          <w:lang w:val="en-US"/>
        </w:rPr>
        <w:t>“</w:t>
      </w:r>
      <w:r w:rsidR="00881F42" w:rsidRPr="00881F42">
        <w:rPr>
          <w:lang w:val="en-US"/>
        </w:rPr>
        <w:t>reflecting the fact that human capability, social cohesion, and the natural environment</w:t>
      </w:r>
      <w:r w:rsidR="00160A72">
        <w:rPr>
          <w:lang w:val="en-US"/>
        </w:rPr>
        <w:t xml:space="preserve"> </w:t>
      </w:r>
      <w:r w:rsidR="00881F42" w:rsidRPr="00881F42">
        <w:rPr>
          <w:lang w:val="en-US"/>
        </w:rPr>
        <w:t>contribute to the wealth of New Zealand beyond their roles as factors of production</w:t>
      </w:r>
      <w:r w:rsidR="00F36CA4">
        <w:rPr>
          <w:lang w:val="en-US"/>
        </w:rPr>
        <w:t xml:space="preserve">” </w:t>
      </w:r>
      <w:r w:rsidR="00DA459E">
        <w:rPr>
          <w:lang w:val="en-US"/>
        </w:rPr>
        <w:fldChar w:fldCharType="begin"/>
      </w:r>
      <w:r w:rsidR="009B0EC4">
        <w:rPr>
          <w:lang w:val="en-US"/>
        </w:rPr>
        <w:instrText xml:space="preserve"> ADDIN ZOTERO_ITEM CSL_CITATION {"citationID":"LlZFbdPs","properties":{"formattedCitation":"(Government of New Zealand 2022, 2)","plainCitation":"(Government of New Zealand 2022, 2)","noteIndex":77},"citationItems":[{"id":18562,"uris":["http://zotero.org/groups/4801058/items/WCTZ9AQR"],"itemData":{"id":18562,"type":"report","event-place":"Wellington","language":"en","publisher":"The Treasury","publisher-place":"Wellington","source":"Zotero","title":"Budget Policy Statement","author":[{"family":"Government of New Zealand","given":""}],"issued":{"date-parts":[["2022"]]}},"locator":"2","label":"page"}],"schema":"https://github.com/citation-style-language/schema/raw/master/csl-citation.json"} </w:instrText>
      </w:r>
      <w:r w:rsidR="00DA459E">
        <w:rPr>
          <w:lang w:val="en-US"/>
        </w:rPr>
        <w:fldChar w:fldCharType="separate"/>
      </w:r>
      <w:r w:rsidR="007D5E4A" w:rsidRPr="007D5E4A">
        <w:rPr>
          <w:rFonts w:cs="Calibri"/>
        </w:rPr>
        <w:t>(Government of New Zealand 2022, 2)</w:t>
      </w:r>
      <w:r w:rsidR="00DA459E">
        <w:rPr>
          <w:lang w:val="en-US"/>
        </w:rPr>
        <w:fldChar w:fldCharType="end"/>
      </w:r>
      <w:r w:rsidR="00C624AD">
        <w:rPr>
          <w:lang w:val="en-US"/>
        </w:rPr>
        <w:t>.</w:t>
      </w:r>
    </w:p>
  </w:footnote>
  <w:footnote w:id="79">
    <w:p w14:paraId="409B1B03" w14:textId="60A55238" w:rsidR="00677F06" w:rsidRPr="00753909" w:rsidRDefault="00677F06">
      <w:pPr>
        <w:pStyle w:val="FootnoteText"/>
        <w:rPr>
          <w:lang w:val="en-US"/>
        </w:rPr>
      </w:pPr>
      <w:r w:rsidRPr="009006D7">
        <w:rPr>
          <w:rStyle w:val="FootnoteReference"/>
        </w:rPr>
        <w:footnoteRef/>
      </w:r>
      <w:r>
        <w:t xml:space="preserve"> </w:t>
      </w:r>
      <w:r>
        <w:rPr>
          <w:lang w:val="en-US"/>
        </w:rPr>
        <w:tab/>
      </w:r>
      <w:r w:rsidR="00A173D8" w:rsidRPr="00A173D8">
        <w:rPr>
          <w:lang w:val="en-US"/>
        </w:rPr>
        <w:t>Given th</w:t>
      </w:r>
      <w:r w:rsidR="00A173D8">
        <w:rPr>
          <w:lang w:val="en-US"/>
        </w:rPr>
        <w:t>e</w:t>
      </w:r>
      <w:r w:rsidR="00A173D8" w:rsidRPr="00A173D8">
        <w:rPr>
          <w:lang w:val="en-US"/>
        </w:rPr>
        <w:t xml:space="preserve"> co-production approach</w:t>
      </w:r>
      <w:r w:rsidR="00A173D8">
        <w:rPr>
          <w:lang w:val="en-US"/>
        </w:rPr>
        <w:t xml:space="preserve"> described in this section</w:t>
      </w:r>
      <w:r w:rsidR="00A173D8" w:rsidRPr="00A173D8">
        <w:rPr>
          <w:lang w:val="en-US"/>
        </w:rPr>
        <w:t>, we prefer to use the more neutral term ‘assistance’ instead of the standard idea of ‘services’</w:t>
      </w:r>
      <w:r w:rsidR="000B005B">
        <w:rPr>
          <w:lang w:val="en-US"/>
        </w:rPr>
        <w:t xml:space="preserve"> when describing how the government provides support to people experiencing persistent disadvantage</w:t>
      </w:r>
      <w:r w:rsidR="00A173D8" w:rsidRPr="00A173D8">
        <w:rPr>
          <w:lang w:val="en-US"/>
        </w:rPr>
        <w:t>.</w:t>
      </w:r>
      <w:r w:rsidR="003D2316">
        <w:rPr>
          <w:lang w:val="en-US"/>
        </w:rPr>
        <w:t xml:space="preserve"> </w:t>
      </w:r>
    </w:p>
  </w:footnote>
  <w:footnote w:id="80">
    <w:p w14:paraId="45C32E75" w14:textId="7EBB169A" w:rsidR="00C21040" w:rsidRDefault="00C21040" w:rsidP="00C21040">
      <w:pPr>
        <w:pStyle w:val="FootnoteText"/>
      </w:pPr>
      <w:r w:rsidRPr="009006D7">
        <w:rPr>
          <w:rStyle w:val="FootnoteReference"/>
        </w:rPr>
        <w:footnoteRef/>
      </w:r>
      <w:r>
        <w:t xml:space="preserve"> </w:t>
      </w:r>
      <w:r>
        <w:tab/>
      </w:r>
      <w:r w:rsidRPr="00A750F8">
        <w:t xml:space="preserve">Julie Fry examined Manaaki </w:t>
      </w:r>
      <w:proofErr w:type="spellStart"/>
      <w:r w:rsidRPr="00A750F8">
        <w:t>Tairāwhiti</w:t>
      </w:r>
      <w:proofErr w:type="spellEnd"/>
      <w:r w:rsidRPr="00A750F8">
        <w:t xml:space="preserve"> and the (SASWB)</w:t>
      </w:r>
      <w:r w:rsidR="00120CDF">
        <w:t xml:space="preserve"> in a report for the Commission’s current inquiry</w:t>
      </w:r>
      <w:r w:rsidR="00B24AC8">
        <w:t xml:space="preserve"> </w:t>
      </w:r>
      <w:r w:rsidR="00660BDF">
        <w:fldChar w:fldCharType="begin"/>
      </w:r>
      <w:r w:rsidR="009B0EC4">
        <w:instrText xml:space="preserve"> ADDIN ZOTERO_ITEM CSL_CITATION {"citationID":"3f4UHCCK","properties":{"formattedCitation":"(Fry 2022)","plainCitation":"(Fry 2022)","noteIndex":79},"citationItems":[{"id":18461,"uris":["http://zotero.org/groups/4801058/items/Y4XY6L7J"],"itemData":{"id":18461,"type":"report","event-place":"Wellington","publisher":"Productivity Commission","publisher-place":"Wellington","title":"Together alone: A review of joined-up social services","URL":"https://www.productivity.govt.nz/assets/Documents/Together-alone_A-review-of-joined-up-social-services.pdf","author":[{"family":"Fry","given":"Julie"}],"accessed":{"date-parts":[["2023",1,15]]},"issued":{"date-parts":[["2022"]]}}}],"schema":"https://github.com/citation-style-language/schema/raw/master/csl-citation.json"} </w:instrText>
      </w:r>
      <w:r w:rsidR="00660BDF">
        <w:fldChar w:fldCharType="separate"/>
      </w:r>
      <w:r w:rsidR="00660BDF" w:rsidRPr="00660BDF">
        <w:rPr>
          <w:rFonts w:cs="Calibri"/>
        </w:rPr>
        <w:t>(Fry 2022)</w:t>
      </w:r>
      <w:r w:rsidR="00660BDF">
        <w:fldChar w:fldCharType="end"/>
      </w:r>
      <w:r w:rsidRPr="00A750F8">
        <w:t xml:space="preserve">). NZIER subsequently undertook a research project for Manaaki </w:t>
      </w:r>
      <w:proofErr w:type="spellStart"/>
      <w:r w:rsidRPr="00A750F8">
        <w:t>Tairāwhiti</w:t>
      </w:r>
      <w:proofErr w:type="spellEnd"/>
      <w:r w:rsidRPr="00A750F8">
        <w:t xml:space="preserve"> on developed social services (Fry and Wilson 2022a). In undertaking this project, we again reached out to both organisations to learn more about their operations.</w:t>
      </w:r>
    </w:p>
  </w:footnote>
  <w:footnote w:id="81">
    <w:p w14:paraId="67B8E864" w14:textId="7509FC76" w:rsidR="002D1250" w:rsidRPr="00E74C22" w:rsidRDefault="002D1250" w:rsidP="002D1250">
      <w:pPr>
        <w:pStyle w:val="FootnoteText"/>
      </w:pPr>
      <w:r w:rsidRPr="009006D7">
        <w:rPr>
          <w:rStyle w:val="FootnoteReference"/>
        </w:rPr>
        <w:footnoteRef/>
      </w:r>
      <w:r w:rsidRPr="00E74C22">
        <w:t xml:space="preserve"> </w:t>
      </w:r>
      <w:r w:rsidRPr="00E74C22">
        <w:tab/>
        <w:t xml:space="preserve">For more details, see </w:t>
      </w:r>
      <w:hyperlink r:id="rId1" w:history="1">
        <w:r w:rsidR="005763B2" w:rsidRPr="000739B3">
          <w:rPr>
            <w:rStyle w:val="Hyperlink"/>
          </w:rPr>
          <w:t>https://www.mt.org.nz/</w:t>
        </w:r>
      </w:hyperlink>
      <w:r w:rsidR="005763B2">
        <w:t xml:space="preserve"> </w:t>
      </w:r>
    </w:p>
  </w:footnote>
  <w:footnote w:id="82">
    <w:p w14:paraId="3BB82CA1" w14:textId="77777777" w:rsidR="002D1250" w:rsidRPr="00E74C22" w:rsidRDefault="002D1250" w:rsidP="00BD13C5">
      <w:pPr>
        <w:pStyle w:val="FootnoteText"/>
        <w:tabs>
          <w:tab w:val="clear" w:pos="425"/>
        </w:tabs>
        <w:ind w:left="426" w:hanging="426"/>
      </w:pPr>
      <w:r w:rsidRPr="009006D7">
        <w:rPr>
          <w:rStyle w:val="FootnoteReference"/>
        </w:rPr>
        <w:footnoteRef/>
      </w:r>
      <w:r w:rsidRPr="00E74C22">
        <w:t xml:space="preserve"> </w:t>
      </w:r>
      <w:r w:rsidRPr="00E74C22">
        <w:tab/>
        <w:t xml:space="preserve">The Ministry of Social Development, Ministry of Health, </w:t>
      </w:r>
      <w:proofErr w:type="spellStart"/>
      <w:r w:rsidRPr="00E74C22">
        <w:t>Te</w:t>
      </w:r>
      <w:proofErr w:type="spellEnd"/>
      <w:r w:rsidRPr="00E74C22">
        <w:t xml:space="preserve"> </w:t>
      </w:r>
      <w:proofErr w:type="spellStart"/>
      <w:r w:rsidRPr="00E74C22">
        <w:t>Puni</w:t>
      </w:r>
      <w:proofErr w:type="spellEnd"/>
      <w:r w:rsidRPr="00E74C22">
        <w:t xml:space="preserve"> </w:t>
      </w:r>
      <w:proofErr w:type="spellStart"/>
      <w:r w:rsidRPr="00E74C22">
        <w:t>Kōkiri</w:t>
      </w:r>
      <w:proofErr w:type="spellEnd"/>
      <w:r w:rsidRPr="00E74C22">
        <w:t xml:space="preserve">, Ministry of Education, NZ Police, Ministry of Pacific Peoples, Ministry of Justice, Department of Corrections, </w:t>
      </w:r>
      <w:proofErr w:type="spellStart"/>
      <w:r w:rsidRPr="00E74C22">
        <w:t>Oranga</w:t>
      </w:r>
      <w:proofErr w:type="spellEnd"/>
      <w:r w:rsidRPr="00E74C22">
        <w:t xml:space="preserve"> Tamariki, Housing New Zealand, Auckland Council, and the Accident Compensation Corporation comprise the SASWB Board. </w:t>
      </w:r>
      <w:proofErr w:type="spellStart"/>
      <w:r w:rsidRPr="00E74C22">
        <w:t>Te</w:t>
      </w:r>
      <w:proofErr w:type="spellEnd"/>
      <w:r w:rsidRPr="00E74C22">
        <w:t xml:space="preserve"> </w:t>
      </w:r>
      <w:proofErr w:type="spellStart"/>
      <w:r w:rsidRPr="00E74C22">
        <w:t>Whatu</w:t>
      </w:r>
      <w:proofErr w:type="spellEnd"/>
      <w:r w:rsidRPr="00E74C22">
        <w:t xml:space="preserve"> Ora – Health New Zealand Counties Manukau is the host agency.</w:t>
      </w:r>
    </w:p>
  </w:footnote>
  <w:footnote w:id="83">
    <w:p w14:paraId="2394F056" w14:textId="48F58B99" w:rsidR="002D1250" w:rsidRPr="00E74C22" w:rsidRDefault="002D1250" w:rsidP="002D1250">
      <w:pPr>
        <w:pStyle w:val="FootnoteText"/>
      </w:pPr>
      <w:r w:rsidRPr="009006D7">
        <w:rPr>
          <w:rStyle w:val="FootnoteReference"/>
        </w:rPr>
        <w:footnoteRef/>
      </w:r>
      <w:r w:rsidRPr="00E74C22">
        <w:t xml:space="preserve"> </w:t>
      </w:r>
      <w:r w:rsidRPr="00E74C22">
        <w:tab/>
        <w:t xml:space="preserve">For more details, see: </w:t>
      </w:r>
      <w:hyperlink r:id="rId2" w:history="1">
        <w:r w:rsidR="005763B2" w:rsidRPr="000739B3">
          <w:rPr>
            <w:rStyle w:val="Hyperlink"/>
          </w:rPr>
          <w:t>https://saswb.com/</w:t>
        </w:r>
      </w:hyperlink>
      <w:r w:rsidR="005763B2">
        <w:t xml:space="preserve"> </w:t>
      </w:r>
    </w:p>
  </w:footnote>
  <w:footnote w:id="84">
    <w:p w14:paraId="6BC4998C" w14:textId="704C78C6" w:rsidR="004615EA" w:rsidRDefault="004615EA">
      <w:pPr>
        <w:pStyle w:val="FootnoteText"/>
      </w:pPr>
      <w:r w:rsidRPr="009006D7">
        <w:rPr>
          <w:rStyle w:val="FootnoteReference"/>
        </w:rPr>
        <w:footnoteRef/>
      </w:r>
      <w:r>
        <w:t xml:space="preserve"> </w:t>
      </w:r>
      <w:r>
        <w:tab/>
        <w:t>Given the time and resources available to us, we have not carried out a</w:t>
      </w:r>
      <w:r w:rsidR="003C61CD">
        <w:t xml:space="preserve"> cost-benefit</w:t>
      </w:r>
      <w:r>
        <w:t xml:space="preserve"> assessment of this approach</w:t>
      </w:r>
      <w:r w:rsidR="003C61CD">
        <w:t>.</w:t>
      </w:r>
      <w:r w:rsidR="00FC3B27">
        <w:t xml:space="preserve"> </w:t>
      </w:r>
      <w:r w:rsidR="00A33AE9">
        <w:t xml:space="preserve">If this approach </w:t>
      </w:r>
      <w:r w:rsidR="0037038E">
        <w:t>i</w:t>
      </w:r>
      <w:r w:rsidR="00A33AE9">
        <w:t>s accepted at an in-</w:t>
      </w:r>
      <w:proofErr w:type="gramStart"/>
      <w:r w:rsidR="00A33AE9">
        <w:t>principle</w:t>
      </w:r>
      <w:proofErr w:type="gramEnd"/>
      <w:r w:rsidR="00A33AE9">
        <w:t xml:space="preserve"> level, then considerabl</w:t>
      </w:r>
      <w:r w:rsidR="006D3861">
        <w:t>y</w:t>
      </w:r>
      <w:r w:rsidR="00A33AE9">
        <w:t xml:space="preserve"> more work would be required to design cost-effective </w:t>
      </w:r>
      <w:r w:rsidR="00A01EDF">
        <w:t>individual components.</w:t>
      </w:r>
      <w:r w:rsidR="00584CEA">
        <w:t xml:space="preserve"> </w:t>
      </w:r>
    </w:p>
  </w:footnote>
  <w:footnote w:id="85">
    <w:p w14:paraId="1E125ECC" w14:textId="77777777" w:rsidR="001E29AB" w:rsidRPr="00F0646E" w:rsidRDefault="001E29AB" w:rsidP="001E29AB">
      <w:pPr>
        <w:pStyle w:val="FootnoteText"/>
      </w:pPr>
      <w:r w:rsidRPr="009006D7">
        <w:rPr>
          <w:rStyle w:val="FootnoteReference"/>
        </w:rPr>
        <w:footnoteRef/>
      </w:r>
      <w:r w:rsidRPr="00F0646E">
        <w:t xml:space="preserve"> </w:t>
      </w:r>
      <w:r w:rsidRPr="00F0646E">
        <w:tab/>
        <w:t xml:space="preserve">The term ‘principles of the Treaty’ were first legislated in the Treaty of Waitangi Act, where the Waitangi Tribunal was given jurisdiction to inquire into whether Crown actions and policies were “inconsistent with the principles of the Treaty” (Section 6). As Ani </w:t>
      </w:r>
      <w:proofErr w:type="spellStart"/>
      <w:r w:rsidRPr="00F0646E">
        <w:t>Mikaere</w:t>
      </w:r>
      <w:proofErr w:type="spellEnd"/>
      <w:r w:rsidRPr="00F0646E">
        <w:t xml:space="preserve"> notes:</w:t>
      </w:r>
    </w:p>
    <w:p w14:paraId="41CB8B34" w14:textId="45C579F5" w:rsidR="001E29AB" w:rsidRPr="00F0646E" w:rsidRDefault="001E29AB" w:rsidP="001E29AB">
      <w:pPr>
        <w:pStyle w:val="FootnoteText"/>
        <w:ind w:left="850"/>
      </w:pPr>
      <w:r w:rsidRPr="00F0646E">
        <w:tab/>
      </w:r>
      <w:r w:rsidRPr="00F0646E">
        <w:rPr>
          <w:i/>
          <w:iCs/>
        </w:rPr>
        <w:t xml:space="preserve">The current intellectual tangle that is euphemistically referred to as Treaty jurisprudence is the most recent reincarnation of a colonial myth that seeks to pacify Māori discontent while maintaining a firm grip on power. After over a century of minimising the significance of the Treaty and ignoring </w:t>
      </w:r>
      <w:proofErr w:type="spellStart"/>
      <w:r w:rsidRPr="00F0646E">
        <w:rPr>
          <w:i/>
          <w:iCs/>
        </w:rPr>
        <w:t>te</w:t>
      </w:r>
      <w:proofErr w:type="spellEnd"/>
      <w:r w:rsidRPr="00F0646E">
        <w:rPr>
          <w:i/>
          <w:iCs/>
        </w:rPr>
        <w:t xml:space="preserve"> </w:t>
      </w:r>
      <w:proofErr w:type="spellStart"/>
      <w:r w:rsidRPr="00F0646E">
        <w:rPr>
          <w:i/>
          <w:iCs/>
        </w:rPr>
        <w:t>Tiriti</w:t>
      </w:r>
      <w:proofErr w:type="spellEnd"/>
      <w:r w:rsidRPr="00F0646E">
        <w:rPr>
          <w:i/>
          <w:iCs/>
        </w:rPr>
        <w:t xml:space="preserve"> altogether, the Crown now embraces both. In doing so, however, it has taken care to ensure that its bottom line of absolute sovereignty remains undisturbed. As the most perfunctory perusal of </w:t>
      </w:r>
      <w:proofErr w:type="spellStart"/>
      <w:r w:rsidRPr="00F0646E">
        <w:rPr>
          <w:i/>
          <w:iCs/>
        </w:rPr>
        <w:t>te</w:t>
      </w:r>
      <w:proofErr w:type="spellEnd"/>
      <w:r w:rsidRPr="00F0646E">
        <w:rPr>
          <w:i/>
          <w:iCs/>
        </w:rPr>
        <w:t xml:space="preserve"> </w:t>
      </w:r>
      <w:proofErr w:type="spellStart"/>
      <w:r w:rsidRPr="00F0646E">
        <w:rPr>
          <w:i/>
          <w:iCs/>
        </w:rPr>
        <w:t>Tiriti</w:t>
      </w:r>
      <w:proofErr w:type="spellEnd"/>
      <w:r w:rsidRPr="00F0646E">
        <w:rPr>
          <w:i/>
          <w:iCs/>
        </w:rPr>
        <w:t xml:space="preserve"> reveals, its contents pose real problems for the fiction of Crown sovereignty </w:t>
      </w:r>
      <w:r w:rsidRPr="00F0646E">
        <w:rPr>
          <w:i/>
          <w:iCs/>
        </w:rPr>
        <w:fldChar w:fldCharType="begin"/>
      </w:r>
      <w:r w:rsidR="009B0EC4">
        <w:rPr>
          <w:i/>
          <w:iCs/>
        </w:rPr>
        <w:instrText xml:space="preserve"> ADDIN ZOTERO_ITEM CSL_CITATION {"citationID":"aqbqokisb9","properties":{"formattedCitation":"(Mikaere 2011a, 138)","plainCitation":"(Mikaere 2011a, 138)","noteIndex":84},"citationItems":[{"id":13131,"uris":["http://zotero.org/groups/4544915/items/ECPRL2CZ"],"itemData":{"id":13131,"type":"book","call-number":"KUQ449.3 .M55 2011","event-place":"Wellington, N.Z","ISBN":"978-1-86969-453-1","number-of-pages":"348","publisher":"Huia Publishers and Te Wānanga o Raukawa","publisher-place":"Wellington, N.Z","source":"Library of Congress ISBN","title":"Colonising myths--Māori realities: he rukuruku whakaaro","title-short":"Colonising myths--Māori realities","author":[{"family":"Mikaere","given":"Annabel"}],"contributor":[{"family":"Te Wānanga-o-Raukawa","given":""}],"issued":{"date-parts":[["2011"]]}},"locator":"138","label":"page"}],"schema":"https://github.com/citation-style-language/schema/raw/master/csl-citation.json"} </w:instrText>
      </w:r>
      <w:r w:rsidRPr="00F0646E">
        <w:rPr>
          <w:i/>
          <w:iCs/>
        </w:rPr>
        <w:fldChar w:fldCharType="separate"/>
      </w:r>
      <w:r w:rsidR="00D81D7C" w:rsidRPr="00D81D7C">
        <w:rPr>
          <w:rFonts w:cs="Calibri"/>
        </w:rPr>
        <w:t>(</w:t>
      </w:r>
      <w:proofErr w:type="spellStart"/>
      <w:r w:rsidR="00D81D7C" w:rsidRPr="00D81D7C">
        <w:rPr>
          <w:rFonts w:cs="Calibri"/>
        </w:rPr>
        <w:t>Mikaere</w:t>
      </w:r>
      <w:proofErr w:type="spellEnd"/>
      <w:r w:rsidR="00D81D7C" w:rsidRPr="00D81D7C">
        <w:rPr>
          <w:rFonts w:cs="Calibri"/>
        </w:rPr>
        <w:t xml:space="preserve"> 2011a, 138)</w:t>
      </w:r>
      <w:r w:rsidRPr="00F0646E">
        <w:rPr>
          <w:i/>
          <w:iCs/>
        </w:rPr>
        <w:fldChar w:fldCharType="end"/>
      </w:r>
      <w:r w:rsidRPr="00F0646E">
        <w:rPr>
          <w:i/>
          <w:iCs/>
        </w:rPr>
        <w:t>.</w:t>
      </w:r>
    </w:p>
  </w:footnote>
  <w:footnote w:id="86">
    <w:p w14:paraId="6128B367" w14:textId="51238187" w:rsidR="007A3FE4" w:rsidRPr="00F0646E" w:rsidRDefault="007A3FE4" w:rsidP="007A3FE4">
      <w:pPr>
        <w:pStyle w:val="FootnoteText"/>
      </w:pPr>
      <w:r w:rsidRPr="009006D7">
        <w:rPr>
          <w:rStyle w:val="FootnoteReference"/>
        </w:rPr>
        <w:footnoteRef/>
      </w:r>
      <w:r w:rsidRPr="00F0646E">
        <w:t xml:space="preserve"> </w:t>
      </w:r>
      <w:r w:rsidRPr="00F0646E">
        <w:tab/>
        <w:t xml:space="preserve">Section 7AA of the </w:t>
      </w:r>
      <w:proofErr w:type="spellStart"/>
      <w:r w:rsidRPr="00F0646E">
        <w:t>Oranga</w:t>
      </w:r>
      <w:proofErr w:type="spellEnd"/>
      <w:r w:rsidRPr="00F0646E">
        <w:t xml:space="preserve"> Tamariki Act provides: “The duties of the chief executive set out in subsection (2) are imposed in order to recognise and provide a practical commitment to the principles of the Treaty of Waitangi (</w:t>
      </w:r>
      <w:proofErr w:type="spellStart"/>
      <w:r w:rsidRPr="00F0646E">
        <w:t>te</w:t>
      </w:r>
      <w:proofErr w:type="spellEnd"/>
      <w:r w:rsidRPr="00F0646E">
        <w:t xml:space="preserve"> </w:t>
      </w:r>
      <w:proofErr w:type="spellStart"/>
      <w:r w:rsidRPr="00F0646E">
        <w:t>Tiriti</w:t>
      </w:r>
      <w:proofErr w:type="spellEnd"/>
      <w:r w:rsidRPr="00F0646E">
        <w:t xml:space="preserve"> o Waitangi)”. Section 8 of the Resource Management Act states: “In achieving the purpose of this Act, all persons exercising functions and powers under it, in relation to managing the use, development, and protection of natural and physical resources, shall take into account the principles of the Treaty of Waitangi (</w:t>
      </w:r>
      <w:proofErr w:type="spellStart"/>
      <w:r w:rsidRPr="00F0646E">
        <w:t>Te</w:t>
      </w:r>
      <w:proofErr w:type="spellEnd"/>
      <w:r w:rsidRPr="00F0646E">
        <w:t xml:space="preserve"> </w:t>
      </w:r>
      <w:proofErr w:type="spellStart"/>
      <w:r w:rsidRPr="00F0646E">
        <w:t>Tiriti</w:t>
      </w:r>
      <w:proofErr w:type="spellEnd"/>
      <w:r w:rsidRPr="00F0646E">
        <w:t xml:space="preserve"> o Waitangi).” The recently introduced Natural and Built Environment Bill changes the obligations on decision-makers but does not apply </w:t>
      </w:r>
      <w:proofErr w:type="spellStart"/>
      <w:r w:rsidRPr="00F0646E">
        <w:t>te</w:t>
      </w:r>
      <w:proofErr w:type="spellEnd"/>
      <w:r w:rsidRPr="00F0646E">
        <w:t xml:space="preserve"> </w:t>
      </w:r>
      <w:proofErr w:type="spellStart"/>
      <w:r w:rsidRPr="00F0646E">
        <w:t>Tiriti</w:t>
      </w:r>
      <w:proofErr w:type="spellEnd"/>
      <w:r w:rsidRPr="00F0646E">
        <w:t xml:space="preserve"> itself: “All persons exercising powers and performing functions and duties under this Act must give effect to the principles of </w:t>
      </w:r>
      <w:proofErr w:type="spellStart"/>
      <w:r w:rsidRPr="00F0646E">
        <w:t>te</w:t>
      </w:r>
      <w:proofErr w:type="spellEnd"/>
      <w:r w:rsidRPr="00F0646E">
        <w:t xml:space="preserve"> </w:t>
      </w:r>
      <w:proofErr w:type="spellStart"/>
      <w:r w:rsidRPr="00F0646E">
        <w:t>Tiriti</w:t>
      </w:r>
      <w:proofErr w:type="spellEnd"/>
      <w:r w:rsidRPr="00F0646E">
        <w:t xml:space="preserve"> o Waitangi”. </w:t>
      </w:r>
      <w:r w:rsidR="00F32385" w:rsidRPr="00F0646E">
        <w:t>All</w:t>
      </w:r>
      <w:r w:rsidRPr="00F0646E">
        <w:t xml:space="preserve"> these provisions are about how officials perform their duties. They do not actually require the Crown to meet its obligations to Māori. </w:t>
      </w:r>
    </w:p>
  </w:footnote>
  <w:footnote w:id="87">
    <w:p w14:paraId="391BE3AD" w14:textId="783D0C03" w:rsidR="0033557C" w:rsidRDefault="0033557C">
      <w:pPr>
        <w:pStyle w:val="FootnoteText"/>
      </w:pPr>
      <w:r w:rsidRPr="009006D7">
        <w:rPr>
          <w:rStyle w:val="FootnoteReference"/>
        </w:rPr>
        <w:footnoteRef/>
      </w:r>
      <w:r>
        <w:t xml:space="preserve"> </w:t>
      </w:r>
      <w:r>
        <w:tab/>
        <w:t xml:space="preserve">We discuss </w:t>
      </w:r>
      <w:proofErr w:type="spellStart"/>
      <w:r>
        <w:t>Te</w:t>
      </w:r>
      <w:proofErr w:type="spellEnd"/>
      <w:r>
        <w:t xml:space="preserve"> </w:t>
      </w:r>
      <w:proofErr w:type="spellStart"/>
      <w:r>
        <w:t>Tiriti</w:t>
      </w:r>
      <w:proofErr w:type="spellEnd"/>
      <w:r>
        <w:t xml:space="preserve"> </w:t>
      </w:r>
      <w:r w:rsidR="001D60AD">
        <w:t xml:space="preserve">o Waitangi </w:t>
      </w:r>
      <w:r>
        <w:t xml:space="preserve">in more detail in </w:t>
      </w:r>
      <w:r w:rsidR="001D60AD">
        <w:t>s</w:t>
      </w:r>
      <w:r>
        <w:t xml:space="preserve">ection </w:t>
      </w:r>
      <w:r>
        <w:fldChar w:fldCharType="begin"/>
      </w:r>
      <w:r>
        <w:instrText xml:space="preserve"> REF _Ref124948561 \r \h </w:instrText>
      </w:r>
      <w:r>
        <w:fldChar w:fldCharType="separate"/>
      </w:r>
      <w:r w:rsidR="00E06351">
        <w:t>3.8.4</w:t>
      </w:r>
      <w:r>
        <w:fldChar w:fldCharType="end"/>
      </w:r>
      <w:r w:rsidR="001D60AD">
        <w:t>.</w:t>
      </w:r>
    </w:p>
  </w:footnote>
  <w:footnote w:id="88">
    <w:p w14:paraId="27F65182" w14:textId="35AE6D32" w:rsidR="001E29AB" w:rsidRPr="00F0646E" w:rsidRDefault="001E29AB" w:rsidP="001E29AB">
      <w:pPr>
        <w:pStyle w:val="FootnoteText"/>
      </w:pPr>
      <w:r w:rsidRPr="009006D7">
        <w:rPr>
          <w:rStyle w:val="FootnoteReference"/>
        </w:rPr>
        <w:footnoteRef/>
      </w:r>
      <w:r w:rsidRPr="00F0646E">
        <w:t xml:space="preserve"> </w:t>
      </w:r>
      <w:r w:rsidRPr="00F0646E">
        <w:tab/>
        <w:t xml:space="preserve">The </w:t>
      </w:r>
      <w:r w:rsidR="00BB31D1">
        <w:t>concept</w:t>
      </w:r>
      <w:r w:rsidR="00BB31D1" w:rsidRPr="00F0646E">
        <w:t xml:space="preserve"> </w:t>
      </w:r>
      <w:r w:rsidRPr="00F0646E">
        <w:t>of the median voter comes from public choice economics, which is the economic study o</w:t>
      </w:r>
      <w:r w:rsidR="0035759A">
        <w:t>f</w:t>
      </w:r>
      <w:r w:rsidRPr="00F0646E">
        <w:t xml:space="preserve"> nonmarket decision making. The idea is that on any issue, voters can be ranked according to their attitude, from support to oppose. In political systems with majority voting, parties will promote policies that will attract the votes of a majority by focussing on the views of those voters close to the middle of the spectrum, without giving attention to the effects of policies on </w:t>
      </w:r>
      <w:r w:rsidR="00B54799">
        <w:t>those at either end</w:t>
      </w:r>
      <w:r w:rsidRPr="00F0646E">
        <w:t>.</w:t>
      </w:r>
      <w:r w:rsidR="002050F2">
        <w:t xml:space="preserve"> </w:t>
      </w:r>
    </w:p>
  </w:footnote>
  <w:footnote w:id="89">
    <w:p w14:paraId="2480B661" w14:textId="0ABD81EB" w:rsidR="00CA6EDB" w:rsidRDefault="00CA6EDB">
      <w:pPr>
        <w:pStyle w:val="FootnoteText"/>
      </w:pPr>
      <w:r w:rsidRPr="009006D7">
        <w:rPr>
          <w:rStyle w:val="FootnoteReference"/>
        </w:rPr>
        <w:footnoteRef/>
      </w:r>
      <w:r>
        <w:t xml:space="preserve"> </w:t>
      </w:r>
      <w:r w:rsidR="001C49EB">
        <w:tab/>
      </w:r>
      <w:r w:rsidR="0004068E">
        <w:t xml:space="preserve">British </w:t>
      </w:r>
      <w:r w:rsidR="00E34F1D">
        <w:t>practice in the 200 years before the signing of</w:t>
      </w:r>
      <w:r w:rsidR="004462E1">
        <w:t xml:space="preserve"> </w:t>
      </w:r>
      <w:proofErr w:type="spellStart"/>
      <w:r w:rsidR="004462E1">
        <w:t>Te</w:t>
      </w:r>
      <w:proofErr w:type="spellEnd"/>
      <w:r w:rsidR="004462E1">
        <w:t xml:space="preserve"> </w:t>
      </w:r>
      <w:proofErr w:type="spellStart"/>
      <w:r w:rsidR="004462E1">
        <w:t>Tiriti</w:t>
      </w:r>
      <w:proofErr w:type="spellEnd"/>
      <w:r w:rsidR="004462E1">
        <w:t xml:space="preserve"> o</w:t>
      </w:r>
      <w:r w:rsidR="00E34F1D">
        <w:t xml:space="preserve"> Waitangi in 1840 was </w:t>
      </w:r>
      <w:r w:rsidR="0039287A">
        <w:t xml:space="preserve">that new </w:t>
      </w:r>
      <w:r w:rsidR="002A549D">
        <w:t xml:space="preserve">colonial </w:t>
      </w:r>
      <w:r w:rsidR="0039287A">
        <w:t xml:space="preserve">territories were </w:t>
      </w:r>
      <w:r w:rsidR="00481887">
        <w:t>acquired</w:t>
      </w:r>
      <w:r w:rsidR="0039287A">
        <w:t xml:space="preserve"> by treaty, either with the local inhabitants or </w:t>
      </w:r>
      <w:r w:rsidR="00481887">
        <w:t xml:space="preserve">from a former, defeated, European power following a war </w:t>
      </w:r>
      <w:r w:rsidR="00493964">
        <w:fldChar w:fldCharType="begin"/>
      </w:r>
      <w:r w:rsidR="009B0EC4">
        <w:instrText xml:space="preserve"> ADDIN ZOTERO_ITEM CSL_CITATION {"citationID":"4ekmQvSr","properties":{"formattedCitation":"(Fletcher 2022, 24)","plainCitation":"(Fletcher 2022, 24)","noteIndex":88},"citationItems":[{"id":17028,"uris":["http://zotero.org/groups/4801058/items/IID98VF3"],"itemData":{"id":17028,"type":"book","abstract":"How was the English text of the Treaty of Waitangi understood by the British in 1840? That is the question addressed by historian and lawyer Ned Fletcher, in this extensive work.  With one exception, the Treaty sheets signed by rangatira and British officials were in te reo Māori. The Māori text, Te Tiriti o Waitangi, was a translation by the missionary Henry Williams of a draft in English provided by William Hobson, the Consul sent by the British government to negotiate with Māori.  Despite considerable scholarly attention to the Treaty, the English text has been little studied. In part, this is because the original English draft exists only in fragments in the archive; it has long been regarded as lost or ‘unknowable’, and in any event superseded by the authoritative Māori text. Now, through careful archival research, Fletcher has been able to set out the continuing relevance of the English text.  The English Text of the Treaty of Waitangi emphasises that the original drafting of the Treaty by British officials in 1840 cannot be separated from the wider circumstances of that time. This context encompasses the history of British dealings with indigenous peoples throughout the Empire and the currents of thought in the mid-nineteenth century, a period of rapid change in society and knowledge. It also includes the backgrounds and motivations of those primarily responsible for framing the Treaty: British Resident James Busby, Consul and future Lieutenant-Governor William Hobson, and Colonial Office official James Stephen.  Through groundbreaking scholarship, Fletcher concludes that the Māori and English texts of the Treaty reconcile, and that those who framed the English text intended Māori to have continuing rights to self-government (rangatiratanga) and ownership of their lands. This original understanding of the Treaty, however, was then lost in the face of powerful forces in the British Empire post-1840, as hostility towards indigenous peoples grew alongside increased intolerance of plural systems of government.  The English Text of the Treaty of Waitangi enriches our understanding of the original purpose and vision of Te Titiri o Waitangi / The Treaty of Waitangi and its foundational role in Aotearoa New Zealand.","ISBN":"978-1-990046-53-7","note":"DOI: 10.7810/9781990046537","publisher":"Bridget Williams Books","source":"DOI.org (Crossref)","title":"The English Text of the Treaty of Waitangi","URL":"https://www.bwb.co.nz/books/the-english-text-of-the-treaty-of-waitangi/","author":[{"family":"Fletcher","given":"Ned"}],"accessed":{"date-parts":[["2022",11,14]]},"issued":{"date-parts":[["2022"]]}},"locator":"24","label":"page"}],"schema":"https://github.com/citation-style-language/schema/raw/master/csl-citation.json"} </w:instrText>
      </w:r>
      <w:r w:rsidR="00493964">
        <w:fldChar w:fldCharType="separate"/>
      </w:r>
      <w:r w:rsidR="00493964" w:rsidRPr="00493964">
        <w:rPr>
          <w:rFonts w:cs="Calibri"/>
        </w:rPr>
        <w:t>(Fletcher 2022, 24)</w:t>
      </w:r>
      <w:r w:rsidR="00493964">
        <w:fldChar w:fldCharType="end"/>
      </w:r>
      <w:r w:rsidR="00FF7DB1">
        <w:t xml:space="preserve">. </w:t>
      </w:r>
      <w:r w:rsidR="00711542">
        <w:t xml:space="preserve">The major exception is Australia, which was </w:t>
      </w:r>
      <w:r w:rsidR="000938FA">
        <w:t>acquired</w:t>
      </w:r>
      <w:r w:rsidR="00711542">
        <w:t xml:space="preserve"> by </w:t>
      </w:r>
      <w:r w:rsidR="000938FA">
        <w:t>occupation (</w:t>
      </w:r>
      <w:r w:rsidR="00070CBD">
        <w:t>ibid</w:t>
      </w:r>
      <w:r w:rsidR="00912B8D">
        <w:t>.</w:t>
      </w:r>
      <w:r w:rsidR="000938FA">
        <w:t>, 25),</w:t>
      </w:r>
      <w:r w:rsidR="0039287A">
        <w:t xml:space="preserve"> </w:t>
      </w:r>
      <w:r w:rsidR="000938FA">
        <w:t>Of</w:t>
      </w:r>
      <w:r w:rsidR="001C49EB">
        <w:t xml:space="preserve"> the </w:t>
      </w:r>
      <w:r w:rsidR="00D52138">
        <w:t>three</w:t>
      </w:r>
      <w:r w:rsidR="001C49EB">
        <w:t xml:space="preserve"> major British settler colonies</w:t>
      </w:r>
      <w:r w:rsidR="00F408A9">
        <w:t xml:space="preserve"> acquired by treaty</w:t>
      </w:r>
      <w:r w:rsidR="001C49EB">
        <w:t xml:space="preserve"> (Canada, New Zealand and the </w:t>
      </w:r>
      <w:r w:rsidR="002708C4">
        <w:t xml:space="preserve">original thirteen colonies of what would become the </w:t>
      </w:r>
      <w:r w:rsidR="001C49EB">
        <w:t>United States)</w:t>
      </w:r>
      <w:r w:rsidR="00C82587">
        <w:t>, only in New Zealand</w:t>
      </w:r>
      <w:r w:rsidR="00694C71">
        <w:t xml:space="preserve"> did the British Crown treat with the entire indigenous population in a single </w:t>
      </w:r>
      <w:r w:rsidR="00763E7F">
        <w:t>document. For</w:t>
      </w:r>
      <w:r w:rsidR="006A203D">
        <w:t xml:space="preserve"> a detailed </w:t>
      </w:r>
      <w:r w:rsidR="00763E7F">
        <w:t>discussion</w:t>
      </w:r>
      <w:r w:rsidR="006A203D">
        <w:t xml:space="preserve"> of the process of </w:t>
      </w:r>
      <w:r w:rsidR="00763E7F">
        <w:t>colonisation</w:t>
      </w:r>
      <w:r w:rsidR="006A203D">
        <w:t xml:space="preserve"> by treaty in the British empire, see Part 1 of Fletcher </w:t>
      </w:r>
      <w:r w:rsidR="006A203D">
        <w:fldChar w:fldCharType="begin"/>
      </w:r>
      <w:r w:rsidR="009B0EC4">
        <w:instrText xml:space="preserve"> ADDIN ZOTERO_ITEM CSL_CITATION {"citationID":"FjIbqmJ2","properties":{"formattedCitation":"(2022)","plainCitation":"(2022)","noteIndex":88},"citationItems":[{"id":17028,"uris":["http://zotero.org/groups/4801058/items/IID98VF3"],"itemData":{"id":17028,"type":"book","abstract":"How was the English text of the Treaty of Waitangi understood by the British in 1840? That is the question addressed by historian and lawyer Ned Fletcher, in this extensive work.  With one exception, the Treaty sheets signed by rangatira and British officials were in te reo Māori. The Māori text, Te Tiriti o Waitangi, was a translation by the missionary Henry Williams of a draft in English provided by William Hobson, the Consul sent by the British government to negotiate with Māori.  Despite considerable scholarly attention to the Treaty, the English text has been little studied. In part, this is because the original English draft exists only in fragments in the archive; it has long been regarded as lost or ‘unknowable’, and in any event superseded by the authoritative Māori text. Now, through careful archival research, Fletcher has been able to set out the continuing relevance of the English text.  The English Text of the Treaty of Waitangi emphasises that the original drafting of the Treaty by British officials in 1840 cannot be separated from the wider circumstances of that time. This context encompasses the history of British dealings with indigenous peoples throughout the Empire and the currents of thought in the mid-nineteenth century, a period of rapid change in society and knowledge. It also includes the backgrounds and motivations of those primarily responsible for framing the Treaty: British Resident James Busby, Consul and future Lieutenant-Governor William Hobson, and Colonial Office official James Stephen.  Through groundbreaking scholarship, Fletcher concludes that the Māori and English texts of the Treaty reconcile, and that those who framed the English text intended Māori to have continuing rights to self-government (rangatiratanga) and ownership of their lands. This original understanding of the Treaty, however, was then lost in the face of powerful forces in the British Empire post-1840, as hostility towards indigenous peoples grew alongside increased intolerance of plural systems of government.  The English Text of the Treaty of Waitangi enriches our understanding of the original purpose and vision of Te Titiri o Waitangi / The Treaty of Waitangi and its foundational role in Aotearoa New Zealand.","ISBN":"978-1-990046-53-7","note":"DOI: 10.7810/9781990046537","publisher":"Bridget Williams Books","source":"DOI.org (Crossref)","title":"The English Text of the Treaty of Waitangi","URL":"https://www.bwb.co.nz/books/the-english-text-of-the-treaty-of-waitangi/","author":[{"family":"Fletcher","given":"Ned"}],"accessed":{"date-parts":[["2022",11,14]]},"issued":{"date-parts":[["2022"]]}},"label":"page","suppress-author":true}],"schema":"https://github.com/citation-style-language/schema/raw/master/csl-citation.json"} </w:instrText>
      </w:r>
      <w:r w:rsidR="006A203D">
        <w:fldChar w:fldCharType="separate"/>
      </w:r>
      <w:r w:rsidR="006A203D" w:rsidRPr="006A203D">
        <w:rPr>
          <w:rFonts w:cs="Calibri"/>
        </w:rPr>
        <w:t>(2022)</w:t>
      </w:r>
      <w:r w:rsidR="006A203D">
        <w:fldChar w:fldCharType="end"/>
      </w:r>
      <w:r w:rsidR="00763E7F">
        <w:t>.</w:t>
      </w:r>
      <w:r w:rsidR="007B72D8">
        <w:t xml:space="preserve"> The processes of </w:t>
      </w:r>
      <w:r w:rsidR="00C93108">
        <w:t xml:space="preserve">recognising indigenous rights in Australia, Canada, New </w:t>
      </w:r>
      <w:proofErr w:type="gramStart"/>
      <w:r w:rsidR="00C93108">
        <w:t>Zealand</w:t>
      </w:r>
      <w:proofErr w:type="gramEnd"/>
      <w:r w:rsidR="00C93108">
        <w:t xml:space="preserve"> and the US are very different, given the different </w:t>
      </w:r>
      <w:r w:rsidR="00E54F5D">
        <w:t xml:space="preserve">processes of settlement, treaties and </w:t>
      </w:r>
      <w:r w:rsidR="00314050">
        <w:t>history</w:t>
      </w:r>
      <w:r w:rsidR="00657D2B">
        <w:t xml:space="preserve"> and the size, geographical location and languages of indigenous people.</w:t>
      </w:r>
      <w:r w:rsidR="00765E51">
        <w:t xml:space="preserve"> For example, the </w:t>
      </w:r>
      <w:r w:rsidR="00B05C15">
        <w:t>Aboriginal</w:t>
      </w:r>
      <w:r w:rsidR="008105B8">
        <w:t xml:space="preserve"> population of Australia is currently about</w:t>
      </w:r>
      <w:r w:rsidR="00E57615">
        <w:t xml:space="preserve"> </w:t>
      </w:r>
      <w:r w:rsidR="00B05C15" w:rsidRPr="00B05C15">
        <w:t>3.2</w:t>
      </w:r>
      <w:r w:rsidR="00B05C15">
        <w:t xml:space="preserve"> percent </w:t>
      </w:r>
      <w:r w:rsidR="00B05C15" w:rsidRPr="00B05C15">
        <w:t>of the total population</w:t>
      </w:r>
      <w:r w:rsidR="00B05C15">
        <w:t xml:space="preserve"> </w:t>
      </w:r>
      <w:r w:rsidR="00B05C15">
        <w:fldChar w:fldCharType="begin"/>
      </w:r>
      <w:r w:rsidR="009B0EC4">
        <w:instrText xml:space="preserve"> ADDIN ZOTERO_ITEM CSL_CITATION {"citationID":"y9Q376g0","properties":{"formattedCitation":"(Australian Bureau of Statistics 2022)","plainCitation":"(Australian Bureau of Statistics 2022)","noteIndex":88},"citationItems":[{"id":18584,"uris":["http://zotero.org/groups/4801058/items/GDUWA5DJ"],"itemData":{"id":18584,"type":"webpage","abstract":"2021, 2016 and 2011 Aboriginal and Torres Strait Islander Census counts and age distributions for selected geographies and national counts to 1971.","language":"en","title":"Census of Population and Housing - Counts of Aboriginal and Torres Strait Islander Australians, 2021 |","URL":"https://www.abs.gov.au/statistics/people/aboriginal-and-torres-strait-islander-peoples/census-population-and-housing-counts-aboriginal-and-torres-strait-islander-australians/latest-release","author":[{"family":"Australian Bureau of Statistics","given":""}],"accessed":{"date-parts":[["2023",1,23]]},"issued":{"date-parts":[["2022"]]}}}],"schema":"https://github.com/citation-style-language/schema/raw/master/csl-citation.json"} </w:instrText>
      </w:r>
      <w:r w:rsidR="00B05C15">
        <w:fldChar w:fldCharType="separate"/>
      </w:r>
      <w:r w:rsidR="00B05C15" w:rsidRPr="00B05C15">
        <w:rPr>
          <w:rFonts w:cs="Calibri"/>
        </w:rPr>
        <w:t>(Australian Bureau of Statistics 2022)</w:t>
      </w:r>
      <w:r w:rsidR="00B05C15">
        <w:fldChar w:fldCharType="end"/>
      </w:r>
      <w:r w:rsidR="009573C9">
        <w:t xml:space="preserve">; </w:t>
      </w:r>
      <w:r w:rsidR="00363C14">
        <w:t>in the United States the</w:t>
      </w:r>
      <w:r w:rsidR="00E86A16">
        <w:t xml:space="preserve"> indigenous population</w:t>
      </w:r>
      <w:r w:rsidR="00C1295F">
        <w:t xml:space="preserve"> is about 2.9 percent </w:t>
      </w:r>
      <w:r w:rsidR="00C1295F">
        <w:fldChar w:fldCharType="begin"/>
      </w:r>
      <w:r w:rsidR="009B0EC4">
        <w:instrText xml:space="preserve"> ADDIN ZOTERO_ITEM CSL_CITATION {"citationID":"LqovfKU3","properties":{"formattedCitation":"(US Census Bureau 2022)","plainCitation":"(US Census Bureau 2022)","noteIndex":88},"citationItems":[{"id":18585,"uris":["http://zotero.org/groups/4801058/items/XDYX2NQE"],"itemData":{"id":18585,"type":"webpage","abstract":"Today’s release of 2020 Census data provides a new snapshot of the racial and ethnic composition of the country.","container-title":"Census.gov","note":"section: Government","title":"2020 Census Illuminates Racial and Ethnic Composition of the Country","URL":"https://www.census.gov/library/stories/2021/08/improved-race-ethnicity-measures-reveal-united-states-population-much-more-multiracial.html","author":[{"family":"US Census Bureau","given":""}],"accessed":{"date-parts":[["2023",1,23]]},"issued":{"date-parts":[["2022"]]}}}],"schema":"https://github.com/citation-style-language/schema/raw/master/csl-citation.json"} </w:instrText>
      </w:r>
      <w:r w:rsidR="00C1295F">
        <w:fldChar w:fldCharType="separate"/>
      </w:r>
      <w:r w:rsidR="00C1295F" w:rsidRPr="00C1295F">
        <w:rPr>
          <w:rFonts w:cs="Calibri"/>
        </w:rPr>
        <w:t>(US Census Bureau 2022)</w:t>
      </w:r>
      <w:r w:rsidR="00C1295F">
        <w:fldChar w:fldCharType="end"/>
      </w:r>
      <w:r w:rsidR="00C1295F">
        <w:t xml:space="preserve"> and in Canada, the comparable </w:t>
      </w:r>
      <w:r w:rsidR="00A051F7">
        <w:t xml:space="preserve">figure is </w:t>
      </w:r>
      <w:r w:rsidR="00A051F7" w:rsidRPr="00A051F7">
        <w:t>5.0</w:t>
      </w:r>
      <w:r w:rsidR="00C93547">
        <w:t xml:space="preserve"> percent.</w:t>
      </w:r>
      <w:r w:rsidR="00A051F7">
        <w:t xml:space="preserve"> </w:t>
      </w:r>
      <w:r w:rsidR="00BC4F87">
        <w:fldChar w:fldCharType="begin"/>
      </w:r>
      <w:r w:rsidR="009B0EC4">
        <w:instrText xml:space="preserve"> ADDIN ZOTERO_ITEM CSL_CITATION {"citationID":"xXCLZRtZ","properties":{"formattedCitation":"(Government of Canada 2022)","plainCitation":"(Government of Canada 2022)","noteIndex":88},"citationItems":[{"id":18586,"uris":["http://zotero.org/groups/4801058/items/VNRMN7WA"],"itemData":{"id":18586,"type":"webpage","abstract":"Over multiple decades, census data have revealed that the Indigenous population has grown quickly—at a pace far surpassing that of the non-Indigenous population. The 2021 Census counted more than 1.8 million Indigenous people, accounting for 5.0% of the total population in Canada, up from 4.9% in 2016.","language":"eng","note":"Last Modified: 2022-09-21","title":"The Daily — Indigenous population continues to grow and is much younger than the non-Indigenous population, although the pace of growth has slowed","URL":"https://www150.statcan.gc.ca/n1/daily-quotidien/220921/dq220921a-eng.htm","author":[{"family":"Government of Canada","given":"Statistics Canada"}],"accessed":{"date-parts":[["2023",1,23]]},"issued":{"date-parts":[["2022",9,21]]}}}],"schema":"https://github.com/citation-style-language/schema/raw/master/csl-citation.json"} </w:instrText>
      </w:r>
      <w:r w:rsidR="00BC4F87">
        <w:fldChar w:fldCharType="separate"/>
      </w:r>
      <w:r w:rsidR="00BC4F87" w:rsidRPr="00BC4F87">
        <w:rPr>
          <w:rFonts w:cs="Calibri"/>
        </w:rPr>
        <w:t>(Government of Canada 2022)</w:t>
      </w:r>
      <w:r w:rsidR="00BC4F87">
        <w:fldChar w:fldCharType="end"/>
      </w:r>
      <w:r w:rsidR="00F15F19">
        <w:t xml:space="preserve">. </w:t>
      </w:r>
      <w:r w:rsidR="00A051F7">
        <w:t>In New Zealand</w:t>
      </w:r>
      <w:r w:rsidR="00F15F19">
        <w:t xml:space="preserve">, the Māori population is </w:t>
      </w:r>
      <w:r w:rsidR="00AF31DB">
        <w:t>approximately</w:t>
      </w:r>
      <w:r w:rsidR="00F15F19">
        <w:t xml:space="preserve"> </w:t>
      </w:r>
      <w:r w:rsidR="00054DC5">
        <w:t xml:space="preserve">17.4 percent </w:t>
      </w:r>
      <w:r w:rsidR="00054DC5">
        <w:fldChar w:fldCharType="begin"/>
      </w:r>
      <w:r w:rsidR="009B0EC4">
        <w:instrText xml:space="preserve"> ADDIN ZOTERO_ITEM CSL_CITATION {"citationID":"V2SZRiM5","properties":{"formattedCitation":"(Stats NZ 2022a)","plainCitation":"(Stats NZ 2022a)","noteIndex":88},"citationItems":[{"id":18583,"uris":["http://zotero.org/groups/4801058/items/UBIQABAL"],"itemData":{"id":18583,"type":"report","abstract":"Have any questions? Talk with us directly using LiveChat.","language":"en","title":"Māori population estimates: At 30 June 2022","URL":"https://secure.livechatinc.com/","author":[{"family":"Stats NZ","given":""}],"accessed":{"date-parts":[["2023",1,23]]},"issued":{"date-parts":[["2022"]]}}}],"schema":"https://github.com/citation-style-language/schema/raw/master/csl-citation.json"} </w:instrText>
      </w:r>
      <w:r w:rsidR="00054DC5">
        <w:fldChar w:fldCharType="separate"/>
      </w:r>
      <w:r w:rsidR="00054DC5" w:rsidRPr="00054DC5">
        <w:rPr>
          <w:rFonts w:cs="Calibri"/>
        </w:rPr>
        <w:t>(Stats NZ 2022a)</w:t>
      </w:r>
      <w:r w:rsidR="00054DC5">
        <w:fldChar w:fldCharType="end"/>
      </w:r>
      <w:r w:rsidR="00E54F5D">
        <w:t xml:space="preserve">. For a comparison of the </w:t>
      </w:r>
      <w:r w:rsidR="00314050">
        <w:t>approaches</w:t>
      </w:r>
      <w:r w:rsidR="00E54F5D">
        <w:t xml:space="preserve"> in Canada and New Zealand, see </w:t>
      </w:r>
      <w:proofErr w:type="spellStart"/>
      <w:r w:rsidR="00E54F5D">
        <w:t>Maaka</w:t>
      </w:r>
      <w:proofErr w:type="spellEnd"/>
      <w:r w:rsidR="00E54F5D">
        <w:t xml:space="preserve"> and Fleras </w:t>
      </w:r>
      <w:r w:rsidR="00E54F5D">
        <w:fldChar w:fldCharType="begin"/>
      </w:r>
      <w:r w:rsidR="009B0EC4">
        <w:instrText xml:space="preserve"> ADDIN ZOTERO_ITEM CSL_CITATION {"citationID":"PkULDChZ","properties":{"formattedCitation":"(2005)","plainCitation":"(2005)","noteIndex":88},"citationItems":[{"id":18587,"uris":["http://zotero.org/groups/4801058/items/ZXE6RB82"],"itemData":{"id":18587,"type":"book","call-number":"E92 .M23 2005","event-place":"Dunedin, New Zealand","ISBN":"978-1-877276-53-8","note":"OCLC: ocm61455474","number-of-pages":"350","publisher":"University of Otago Press","publisher-place":"Dunedin, New Zealand","source":"Library of Congress ISBN","title":"The politics of indigeneity: challenging the state in Canada and Aotearoa New Zealand","title-short":"The politics of indigeneity","author":[{"family":"Maaka","given":"Roger"},{"family":"Fleras","given":"Augie"}],"issued":{"date-parts":[["2005"]]}},"label":"page","suppress-author":true}],"schema":"https://github.com/citation-style-language/schema/raw/master/csl-citation.json"} </w:instrText>
      </w:r>
      <w:r w:rsidR="00E54F5D">
        <w:fldChar w:fldCharType="separate"/>
      </w:r>
      <w:r w:rsidR="00E54F5D" w:rsidRPr="00E54F5D">
        <w:rPr>
          <w:rFonts w:cs="Calibri"/>
        </w:rPr>
        <w:t>(2005)</w:t>
      </w:r>
      <w:r w:rsidR="00E54F5D">
        <w:fldChar w:fldCharType="end"/>
      </w:r>
      <w:r w:rsidR="00314050">
        <w:t>.</w:t>
      </w:r>
    </w:p>
  </w:footnote>
  <w:footnote w:id="90">
    <w:p w14:paraId="251F4BCE" w14:textId="23D9F34A" w:rsidR="00AB472A" w:rsidRPr="00F0646E" w:rsidRDefault="00AB472A" w:rsidP="00AB472A">
      <w:pPr>
        <w:pStyle w:val="FootnoteText"/>
      </w:pPr>
      <w:r w:rsidRPr="009006D7">
        <w:rPr>
          <w:rStyle w:val="FootnoteReference"/>
        </w:rPr>
        <w:footnoteRef/>
      </w:r>
      <w:r w:rsidRPr="00F0646E">
        <w:t xml:space="preserve"> </w:t>
      </w:r>
      <w:r w:rsidRPr="00F0646E">
        <w:tab/>
        <w:t xml:space="preserve">See Scobie et al. </w:t>
      </w:r>
      <w:r w:rsidRPr="00F0646E">
        <w:fldChar w:fldCharType="begin"/>
      </w:r>
      <w:r w:rsidR="009B0EC4">
        <w:instrText xml:space="preserve"> ADDIN ZOTERO_ITEM CSL_CITATION {"citationID":"a2e37g14t6c","properties":{"formattedCitation":"(2020)","plainCitation":"(2020)","noteIndex":89},"citationItems":[{"id":16802,"uris":["http://zotero.org/groups/4801058/items/SLA3Z6VV"],"itemData":{"id":16802,"type":"article-journal","abstract":"This article develops the concept of grounded accountability, which locates practices of operational non-governmental organizations (NGOs) within the culture of the communities they serve. Grounded accountability is presented to extend the concept of felt accountability that is understood as an ethical affinity between an employee and the goals of operational NGOs that employ them to benefit third parties. Grounded accountability involves devolving responsibility for defining goals to the third parties who can then realise their own self-determination. Grounded accountability is developed with a Māori community indigenous to Aotearoa/New Zealand through their shared whakapapa that views a structured genealogical relationship between all things. Whakapapa suggests that accountability is grounded in kinship, place and intergenerational relationships. An empirical exploration of grounded accountability takes place through an ethnography-informed case study conducted at two levels of investigation. The first is within Ngāi Tahu, a broad kinship grouping, who are pursuing self-determination in the settler-colonial context of Aotearoa/New Zealand. The second is within Te Rūnanga Group, an operational NGO charged with managing and distributing the collective assets resulting from the settlement of grievances against the Crown fought for by Ngāi Tahu in their struggle for self-determination. Evidence of grounded accountability was found within Ngāi Tahu and although this has been transmitted to some practices within Te Rūnanga Group, other practices constrain grounded relationships. To the extent that grounded accountability exists, through the design of an organization based on the values of primary stakeholders and continuous engagement with those stakeholders over time, it overcomes some potential limitations of perpetuating beneficiary dependency inherent in felt accountability.","container-title":"Critical Perspectives on Accounting","DOI":"10.1016/j.cpa.2020.102198","ISSN":"1045-2354","journalAbbreviation":"Critical Perspectives on Accounting","language":"en","page":"102198","source":"ScienceDirect","title":"Grounded accountability and Indigenous self-determination","author":[{"family":"Scobie","given":"Matthew"},{"family":"Lee","given":"Bill"},{"family":"Smyth","given":"Stewart"}],"issued":{"date-parts":[["2020",6,20]]}},"label":"page","suppress-author":true}],"schema":"https://github.com/citation-style-language/schema/raw/master/csl-citation.json"} </w:instrText>
      </w:r>
      <w:r w:rsidRPr="00F0646E">
        <w:fldChar w:fldCharType="separate"/>
      </w:r>
      <w:r w:rsidRPr="00F0646E">
        <w:rPr>
          <w:rFonts w:cs="Calibri"/>
          <w:szCs w:val="24"/>
        </w:rPr>
        <w:t>(2020)</w:t>
      </w:r>
      <w:r w:rsidRPr="00F0646E">
        <w:fldChar w:fldCharType="end"/>
      </w:r>
      <w:r w:rsidRPr="00F0646E">
        <w:t xml:space="preserve">, </w:t>
      </w:r>
      <w:proofErr w:type="spellStart"/>
      <w:r w:rsidRPr="00F0646E">
        <w:t>Finau</w:t>
      </w:r>
      <w:proofErr w:type="spellEnd"/>
      <w:r w:rsidRPr="00F0646E">
        <w:t xml:space="preserve"> and Scobie </w:t>
      </w:r>
      <w:r w:rsidRPr="00F0646E">
        <w:fldChar w:fldCharType="begin"/>
      </w:r>
      <w:r w:rsidR="009B0EC4">
        <w:instrText xml:space="preserve"> ADDIN ZOTERO_ITEM CSL_CITATION {"citationID":"adufdoun1n","properties":{"formattedCitation":"(2021)","plainCitation":"(2021)","noteIndex":89},"citationItems":[{"id":16833,"uris":["http://zotero.org/groups/4801058/items/YQLE5ZTL"],"itemData":{"id":16833,"type":"article-journal","abstract":"Purpose The study uses the case of an online-mediated barter economy that proliferated during the COVID-19 crisis to highlight Indigenous notions of barter, trade and exchange. Design/methodology/approach A netnographic approach was employed which involved collecting online posts and comments which were stored and analysed in NVivo. This was supplemented with field notes and reflections from authors with an intimate knowledge of the context. These were analysed thematically. The overall methodology is inspired by decolonising methodologies that seek to restore the agency of Indigenous Peoples in research towards self-determination. Findings Findings suggest that during and beyond the crisis, social media (a new means) is being used to facilitate barter and determinations of/accounting for value within. This is being done through constant appeals to, and adaptation of, tradition (old ways). Indigenous accounting is therefore best understood as so through Indigenous accountability values and practices. Originality/value This paper propose a re-orientation of accounting for barter research that incorporates recent debates between the disciplines of economics and anthropology on the nature of barter, debt and exchange. The authors also propose a re-imagining of accounting and accountability relations based on Indigenous values within an emerging online barter system in Fiji during COVID-19 as “old ways and new means” to privilege Indigenous agency and overcome excessive essentialism.","container-title":"Accounting, Auditing &amp; Accountability Journal","DOI":"10.1108/AAAJ-08-2020-4753","ISSN":"0951-3574","issue":"1","note":"publisher: Emerald Publishing Limited","page":"74-84","source":"Emerald Insight","title":"Old ways and new means: Indigenous accountings during and beyond the pandemic","title-short":"Old ways and new means","volume":"35","author":[{"family":"Finau","given":"Glenn"},{"family":"Scobie","given":"Matthew"}],"issued":{"date-parts":[["2021",1,1]]}},"label":"page","suppress-author":true}],"schema":"https://github.com/citation-style-language/schema/raw/master/csl-citation.json"} </w:instrText>
      </w:r>
      <w:r w:rsidRPr="00F0646E">
        <w:fldChar w:fldCharType="separate"/>
      </w:r>
      <w:r w:rsidRPr="00F0646E">
        <w:rPr>
          <w:rFonts w:cs="Calibri"/>
          <w:szCs w:val="24"/>
        </w:rPr>
        <w:t>(2021)</w:t>
      </w:r>
      <w:r w:rsidRPr="00F0646E">
        <w:fldChar w:fldCharType="end"/>
      </w:r>
      <w:r w:rsidRPr="00F0646E">
        <w:t xml:space="preserve"> and </w:t>
      </w:r>
      <w:proofErr w:type="spellStart"/>
      <w:r w:rsidRPr="00F0646E">
        <w:t>Fukofuka</w:t>
      </w:r>
      <w:proofErr w:type="spellEnd"/>
      <w:r w:rsidRPr="00F0646E">
        <w:t xml:space="preserve"> et al. </w:t>
      </w:r>
      <w:r w:rsidRPr="00F0646E">
        <w:fldChar w:fldCharType="begin"/>
      </w:r>
      <w:r w:rsidR="009B0EC4">
        <w:instrText xml:space="preserve"> ADDIN ZOTERO_ITEM CSL_CITATION {"citationID":"a18hnld6sn3","properties":{"formattedCitation":"(2022)","plainCitation":"(2022)","noteIndex":89},"citationItems":[{"id":16830,"uris":["http://zotero.org/groups/4801058/items/GXQ2YMC9"],"itemData":{"id":16830,"type":"article-journal","abstract":"Purpose This study explores accounting practice in an Indigenous organization. This organization is embedded within a rural Aboriginal community in the country currently known as Australia. In doing so, this study illustrates the intertwining of accounting practice, practitioners, organizations and social/cultural context, while recognizing that the cultural embeddedness of accounting is not uniform. Design/methodology/approach Empirical materials were collected as part of a qualitative field study with an Indigenous organization. Specific methods include interviews, informal conversations, documentary reviews and participant observations. These materials were analysed through a Bourdieusian perspective. Findings By working with Indigenous Peoples on the ground, rather than relying on secondary materials, this study highlights how the values of a community challenge and reorient accounting practice towards community aspirations. This study illustrates how fields beyond the organization influence accounting practice, including in budgeting and assurance. Originality/value Exploring Indigenous practices of accounting maintains Indigenous agency and opens up space for alternative understandings and practices of accounting. By illustrating how a community can influence the accounting practice of an organization, this study has implications for wider understandings of the cultural embeddedness of mainstream accounting and possible alternatives.","container-title":"Accounting, Auditing &amp; Accountability Journal","DOI":"10.1108/AAAJ-11-2021-5529","ISSN":"0951-3574","issue":"ahead-of-print","source":"Emerald Insight","title":"Indigenous practices of accounting on the ground: a Bourdieusian perspective","title-short":"Indigenous practices of accounting on the ground","URL":"https://doi.org/10.1108/AAAJ-11-2021-5529","volume":"ahead-of-print","author":[{"family":"Fukofuka","given":"Peni"},{"family":"Scobie","given":"Matthew"},{"family":"Finau","given":"Glenn"}],"accessed":{"date-parts":[["2022",10,26]]},"issued":{"date-parts":[["2022",1,1]]}},"label":"page","suppress-author":true}],"schema":"https://github.com/citation-style-language/schema/raw/master/csl-citation.json"} </w:instrText>
      </w:r>
      <w:r w:rsidRPr="00F0646E">
        <w:fldChar w:fldCharType="separate"/>
      </w:r>
      <w:r w:rsidRPr="00F0646E">
        <w:rPr>
          <w:rFonts w:cs="Calibri"/>
          <w:szCs w:val="24"/>
        </w:rPr>
        <w:t>(2022)</w:t>
      </w:r>
      <w:r w:rsidRPr="00F0646E">
        <w:fldChar w:fldCharType="end"/>
      </w:r>
      <w:r w:rsidRPr="00F0646E">
        <w:t xml:space="preserve">. </w:t>
      </w:r>
      <w:proofErr w:type="spellStart"/>
      <w:r w:rsidRPr="00F0646E">
        <w:t>Haemata</w:t>
      </w:r>
      <w:proofErr w:type="spellEnd"/>
      <w:r w:rsidRPr="00F0646E">
        <w:t xml:space="preserve"> </w:t>
      </w:r>
      <w:r w:rsidRPr="00F0646E">
        <w:fldChar w:fldCharType="begin"/>
      </w:r>
      <w:r w:rsidR="009B0EC4">
        <w:instrText xml:space="preserve"> ADDIN ZOTERO_ITEM CSL_CITATION {"citationID":"a1qdhl18d8","properties":{"formattedCitation":"(2022b)","plainCitation":"(2022b)","noteIndex":89},"citationItems":[{"id":16275,"uris":["http://zotero.org/groups/4801058/items/W3WC23CJ"],"itemData":{"id":16275,"type":"report","event-place":"Wellington","language":"en","publisher":"Office of the Controller and Auditor-General","publisher-place":"Wellington","title":"Māori perspectives on public accountability","title-short":"Commissioned report","URL":"https://oag.parliament.nz/2022/maori-perspectives","author":[{"literal":"Haemata Limited"}],"accessed":{"date-parts":[["2022",9,28]]},"issued":{"date-parts":[["2022"]]}},"label":"page","suppress-author":true}],"schema":"https://github.com/citation-style-language/schema/raw/master/csl-citation.json"} </w:instrText>
      </w:r>
      <w:r w:rsidRPr="00F0646E">
        <w:fldChar w:fldCharType="separate"/>
      </w:r>
      <w:r w:rsidR="008C479E" w:rsidRPr="008C479E">
        <w:rPr>
          <w:rFonts w:cs="Calibri"/>
        </w:rPr>
        <w:t>(2022b)</w:t>
      </w:r>
      <w:r w:rsidRPr="00F0646E">
        <w:fldChar w:fldCharType="end"/>
      </w:r>
      <w:r w:rsidR="00E24F74">
        <w:t>, which</w:t>
      </w:r>
      <w:r w:rsidRPr="00F0646E">
        <w:t xml:space="preserve"> </w:t>
      </w:r>
      <w:r w:rsidR="00E24F74">
        <w:t xml:space="preserve">focuses on </w:t>
      </w:r>
      <w:r w:rsidR="00F32385">
        <w:t>Māori</w:t>
      </w:r>
      <w:r w:rsidR="00E24F74">
        <w:t xml:space="preserve"> views of accountability,</w:t>
      </w:r>
      <w:r w:rsidR="00E24F74" w:rsidRPr="00F0646E">
        <w:t xml:space="preserve"> </w:t>
      </w:r>
      <w:r w:rsidRPr="00F0646E">
        <w:t>is an important recent contribution to the New Zealand literature.</w:t>
      </w:r>
    </w:p>
  </w:footnote>
  <w:footnote w:id="91">
    <w:p w14:paraId="3CEC5A39" w14:textId="031DD377" w:rsidR="0064131F" w:rsidRDefault="0064131F" w:rsidP="0064131F">
      <w:pPr>
        <w:pStyle w:val="FootnoteText"/>
      </w:pPr>
      <w:r w:rsidRPr="009006D7">
        <w:rPr>
          <w:rStyle w:val="FootnoteReference"/>
        </w:rPr>
        <w:footnoteRef/>
      </w:r>
      <w:r>
        <w:t xml:space="preserve"> </w:t>
      </w:r>
      <w:r>
        <w:tab/>
        <w:t xml:space="preserve">As the authors note, the literature they review started with attempts to define the ‘true’ meaning of power and discussed issues like the legitimacy of power. Later developments have seen the three expressions become different, free-standing notions of power </w:t>
      </w:r>
      <w:r w:rsidRPr="00107BC9">
        <w:fldChar w:fldCharType="begin"/>
      </w:r>
      <w:r w:rsidR="009B0EC4">
        <w:instrText xml:space="preserve"> ADDIN ZOTERO_ITEM CSL_CITATION {"citationID":"W3Gy7ex2","properties":{"formattedCitation":"(Pansardi and Bindi 2021, 5)","plainCitation":"(Pansardi and Bindi 2021, 5)","noteIndex":90},"citationItems":[{"id":18130,"uris":["http://zotero.org/groups/4801058/items/2264WGWZ"],"itemData":{"id":18130,"type":"article-journal","container-title":"Journal of Political Power","DOI":"10.1080/2158379X.2021.1877001.","page":"51-71","title":"The new concepts of power? Power-over, power-to and power-with.","volume":"14","author":[{"family":"Pansardi","given":"Pamela"},{"family":"Bindi","given":"Marianna"}],"issued":{"date-parts":[["2021"]]}},"locator":"5","label":"page"}],"schema":"https://github.com/citation-style-language/schema/raw/master/csl-citation.json"} </w:instrText>
      </w:r>
      <w:r w:rsidRPr="00107BC9">
        <w:fldChar w:fldCharType="separate"/>
      </w:r>
      <w:r w:rsidRPr="00107BC9">
        <w:t>(</w:t>
      </w:r>
      <w:proofErr w:type="spellStart"/>
      <w:r w:rsidRPr="00107BC9">
        <w:t>Pansardi</w:t>
      </w:r>
      <w:proofErr w:type="spellEnd"/>
      <w:r w:rsidRPr="00107BC9">
        <w:t xml:space="preserve"> and Bindi 2021, 5)</w:t>
      </w:r>
      <w:r w:rsidRPr="00107BC9">
        <w:fldChar w:fldCharType="end"/>
      </w:r>
      <w:r>
        <w:t>.</w:t>
      </w:r>
    </w:p>
  </w:footnote>
  <w:footnote w:id="92">
    <w:p w14:paraId="76C46F97" w14:textId="4C081806" w:rsidR="00432089" w:rsidRDefault="00432089">
      <w:pPr>
        <w:pStyle w:val="FootnoteText"/>
      </w:pPr>
      <w:r w:rsidRPr="009006D7">
        <w:rPr>
          <w:rStyle w:val="FootnoteReference"/>
        </w:rPr>
        <w:footnoteRef/>
      </w:r>
      <w:r>
        <w:t xml:space="preserve"> </w:t>
      </w:r>
      <w:r>
        <w:tab/>
        <w:t xml:space="preserve">What sets governments apart from almost every other institution is the powers that they have, which are sometimes referred to as the </w:t>
      </w:r>
      <w:r w:rsidR="00F54466">
        <w:t xml:space="preserve">state having a monopoly on </w:t>
      </w:r>
      <w:r>
        <w:t>‘</w:t>
      </w:r>
      <w:r w:rsidR="00F54466">
        <w:t>cohesive</w:t>
      </w:r>
      <w:r>
        <w:t xml:space="preserve"> powers</w:t>
      </w:r>
      <w:r w:rsidR="00F54466">
        <w:t xml:space="preserve">’ </w:t>
      </w:r>
      <w:r w:rsidR="009C75CF">
        <w:fldChar w:fldCharType="begin"/>
      </w:r>
      <w:r w:rsidR="009B0EC4">
        <w:instrText xml:space="preserve"> ADDIN ZOTERO_ITEM CSL_CITATION {"citationID":"QVppIAhS","properties":{"formattedCitation":"(Palmer and Knight 2022, 8)","plainCitation":"(Palmer and Knight 2022, 8)","noteIndex":91},"citationItems":[{"id":18446,"uris":["http://zotero.org/groups/4801058/items/VJID95CY"],"itemData":{"id":18446,"type":"book","abstract":"\"This book examines New Zealand's constitution, through the lens of constitutional realism. It looks at the practices, habits, conventions and norms of constitutional life. It focuses on the structures, processes and culture that govern the exercise of public power - a perspective that is necessary to explore and account for a lived, rather than textual, constitution. New Zealand's constitution is unique. One of three remaining unwritten democratic constitutions in the world, it is characterised by a charming set of anachronistic contrasts. \"Unwritten\", but much found in various written sources. Built on a network of Westminster constitutional conventions but generously tailored to local conditions. Proudly independent, yet perhaps a purer Westminster model than its British parent. Flexible and vulnerable, while oddly enduring. It looks to the centralised authority that comes with a strong executive, strict parliamentary sovereignty, and a unitary state. However, its populace insists on egalitarian values and representative democracy, with elections fiercely conducted nowadays under a system of proportional representation. The interests of indigenous Maori are protected largely through democratic majority rule. A reputation for upholding the rule of law, yet few institutional safeguards to ensure compliance\"--","call-number":"KUQ1750","collection-title":"Constitutional systems of the world","event-place":"Oxford, UK ; New York, NY","ISBN":"978-1-84946-904-3","number-of-pages":"1","publisher":"Hart Publishing, an imprint of Bloomsbury Publishing","publisher-place":"Oxford, UK ; New York, NY","source":"Library of Congress ISBN","title":"The Constitution of New Zealand: a contextual analysis","title-short":"The Constitution of New Zealand","author":[{"family":"Palmer","given":"Matthew"},{"family":"Knight","given":"Dean R."}],"issued":{"date-parts":[["2022"]]}},"locator":"8","label":"page"}],"schema":"https://github.com/citation-style-language/schema/raw/master/csl-citation.json"} </w:instrText>
      </w:r>
      <w:r w:rsidR="009C75CF">
        <w:fldChar w:fldCharType="separate"/>
      </w:r>
      <w:r w:rsidR="009C75CF" w:rsidRPr="009C75CF">
        <w:rPr>
          <w:rFonts w:cs="Calibri"/>
        </w:rPr>
        <w:t>(Palmer and Knight 2022, 8)</w:t>
      </w:r>
      <w:r w:rsidR="009C75CF">
        <w:fldChar w:fldCharType="end"/>
      </w:r>
      <w:r w:rsidR="000043AE">
        <w:t xml:space="preserve">. </w:t>
      </w:r>
      <w:r w:rsidR="00CE098C">
        <w:t xml:space="preserve">Through enacting and enforcing laws, government can require their citizens to do, or not do, any number of things that </w:t>
      </w:r>
      <w:r w:rsidR="00917F89">
        <w:t>other institutions cannot</w:t>
      </w:r>
      <w:r w:rsidR="00371C44">
        <w:t>. Imprisonment</w:t>
      </w:r>
      <w:r w:rsidR="00917F89">
        <w:t xml:space="preserve"> and deportation</w:t>
      </w:r>
      <w:r w:rsidR="00371C44">
        <w:t>, for example, are things, at least in democracies only government can do.</w:t>
      </w:r>
      <w:r w:rsidR="00FC3B27">
        <w:t xml:space="preserve"> </w:t>
      </w:r>
    </w:p>
  </w:footnote>
  <w:footnote w:id="93">
    <w:p w14:paraId="59AFBFE2" w14:textId="5E7E0481" w:rsidR="00411322" w:rsidRDefault="00411322" w:rsidP="00411322">
      <w:pPr>
        <w:pStyle w:val="FootnoteText"/>
      </w:pPr>
      <w:r w:rsidRPr="009006D7">
        <w:rPr>
          <w:rStyle w:val="FootnoteReference"/>
        </w:rPr>
        <w:footnoteRef/>
      </w:r>
      <w:r>
        <w:t xml:space="preserve"> </w:t>
      </w:r>
      <w:r>
        <w:tab/>
        <w:t xml:space="preserve">Our national Parliament has full power to make laws on any subject. The scope of the national government is therefore effectively unlimited. Local government in New Zealand is a creation of the national Parliament and thus operates within limits imposed by statute. Over time, the scope of what local governments can do has varied in line with the policies of successive Governments. Currently, Section 11 of the Local Government Act empower all local government bodies to ‘undertake any activity or </w:t>
      </w:r>
      <w:proofErr w:type="gramStart"/>
      <w:r>
        <w:t>business’</w:t>
      </w:r>
      <w:proofErr w:type="gramEnd"/>
      <w:r>
        <w:t xml:space="preserve"> to perform its purpose of promoting the social, economic, environmental, and cultural well-being of communities in the present and for the future. This is a broad devolution of powers. Although there is no legal barrier to councils undertaking many of the activities currently undertaken by central government, in practice, however, many do not.</w:t>
      </w:r>
      <w:r w:rsidR="0040695C">
        <w:t xml:space="preserve"> </w:t>
      </w:r>
      <w:r>
        <w:t>At the same time, there has also been significant delegation of the implementation of detailed polices to local government in New Zealand. The Resource Management Act and the Building Act are major examples. Shop trading hours on public holidays and the locations where liquor sales are permitted are others. New Zealand</w:t>
      </w:r>
    </w:p>
  </w:footnote>
  <w:footnote w:id="94">
    <w:p w14:paraId="3334BB84" w14:textId="1EE405FA" w:rsidR="00CF7765" w:rsidRPr="00F0646E" w:rsidRDefault="00CF7765" w:rsidP="00CF7765">
      <w:pPr>
        <w:pStyle w:val="FootnoteText"/>
      </w:pPr>
      <w:r w:rsidRPr="009006D7">
        <w:rPr>
          <w:rStyle w:val="FootnoteReference"/>
        </w:rPr>
        <w:footnoteRef/>
      </w:r>
      <w:r w:rsidRPr="00F0646E">
        <w:t xml:space="preserve"> </w:t>
      </w:r>
      <w:r w:rsidRPr="00F0646E">
        <w:tab/>
      </w:r>
      <w:r>
        <w:t>Matthew Palmer and Dean Knight</w:t>
      </w:r>
      <w:r w:rsidRPr="00F0646E">
        <w:t xml:space="preserve"> trace the original of the word accountability to England in the century following the 1066 Norman conquest, and </w:t>
      </w:r>
      <w:proofErr w:type="gramStart"/>
      <w:r w:rsidRPr="00F0646E">
        <w:t>in particular to</w:t>
      </w:r>
      <w:proofErr w:type="gramEnd"/>
      <w:r w:rsidRPr="00F0646E">
        <w:t xml:space="preserve"> the enumeration of the wealth of the realm that was recorded in the Domesday Books. The word is a translation from the French ‘</w:t>
      </w:r>
      <w:proofErr w:type="spellStart"/>
      <w:r w:rsidRPr="00F0646E">
        <w:t>comptes</w:t>
      </w:r>
      <w:proofErr w:type="spellEnd"/>
      <w:r w:rsidRPr="00F0646E">
        <w:t xml:space="preserve"> a </w:t>
      </w:r>
      <w:proofErr w:type="spellStart"/>
      <w:r w:rsidRPr="00F0646E">
        <w:t>rendre</w:t>
      </w:r>
      <w:proofErr w:type="spellEnd"/>
      <w:r w:rsidRPr="00F0646E">
        <w:t>’ which literally means ‘accounts to render’. In this instance, however, it was the subjects of the King who were required to account to their master for what wealth they possessed</w:t>
      </w:r>
      <w:r w:rsidR="00DA7D72">
        <w:t xml:space="preserve"> </w:t>
      </w:r>
      <w:r>
        <w:fldChar w:fldCharType="begin"/>
      </w:r>
      <w:r w:rsidR="009B0EC4">
        <w:instrText xml:space="preserve"> ADDIN ZOTERO_ITEM CSL_CITATION {"citationID":"v07wfYX3","properties":{"formattedCitation":"(Palmer and Knight 2022, 166)","plainCitation":"(Palmer and Knight 2022, 166)","noteIndex":93},"citationItems":[{"id":18446,"uris":["http://zotero.org/groups/4801058/items/VJID95CY"],"itemData":{"id":18446,"type":"book","abstract":"\"This book examines New Zealand's constitution, through the lens of constitutional realism. It looks at the practices, habits, conventions and norms of constitutional life. It focuses on the structures, processes and culture that govern the exercise of public power - a perspective that is necessary to explore and account for a lived, rather than textual, constitution. New Zealand's constitution is unique. One of three remaining unwritten democratic constitutions in the world, it is characterised by a charming set of anachronistic contrasts. \"Unwritten\", but much found in various written sources. Built on a network of Westminster constitutional conventions but generously tailored to local conditions. Proudly independent, yet perhaps a purer Westminster model than its British parent. Flexible and vulnerable, while oddly enduring. It looks to the centralised authority that comes with a strong executive, strict parliamentary sovereignty, and a unitary state. However, its populace insists on egalitarian values and representative democracy, with elections fiercely conducted nowadays under a system of proportional representation. The interests of indigenous Maori are protected largely through democratic majority rule. A reputation for upholding the rule of law, yet few institutional safeguards to ensure compliance\"--","call-number":"KUQ1750","collection-title":"Constitutional systems of the world","event-place":"Oxford, UK ; New York, NY","ISBN":"978-1-84946-904-3","number-of-pages":"1","publisher":"Hart Publishing, an imprint of Bloomsbury Publishing","publisher-place":"Oxford, UK ; New York, NY","source":"Library of Congress ISBN","title":"The Constitution of New Zealand: a contextual analysis","title-short":"The Constitution of New Zealand","author":[{"family":"Palmer","given":"Matthew"},{"family":"Knight","given":"Dean R."}],"issued":{"date-parts":[["2022"]]}},"locator":"166","label":"page"}],"schema":"https://github.com/citation-style-language/schema/raw/master/csl-citation.json"} </w:instrText>
      </w:r>
      <w:r>
        <w:fldChar w:fldCharType="separate"/>
      </w:r>
      <w:r w:rsidRPr="006E3DA7">
        <w:rPr>
          <w:rFonts w:cs="Calibri"/>
        </w:rPr>
        <w:t>(Palmer and Knight 2022, 166)</w:t>
      </w:r>
      <w:r>
        <w:fldChar w:fldCharType="end"/>
      </w:r>
      <w:r w:rsidRPr="00F0646E">
        <w:t>.</w:t>
      </w:r>
    </w:p>
  </w:footnote>
  <w:footnote w:id="95">
    <w:p w14:paraId="090A8C3A" w14:textId="5F37D26A" w:rsidR="00CF7765" w:rsidRDefault="00CF7765" w:rsidP="00CF7765">
      <w:pPr>
        <w:pStyle w:val="FootnoteText"/>
      </w:pPr>
      <w:r w:rsidRPr="009006D7">
        <w:rPr>
          <w:rStyle w:val="FootnoteReference"/>
        </w:rPr>
        <w:footnoteRef/>
      </w:r>
      <w:r>
        <w:t xml:space="preserve"> </w:t>
      </w:r>
      <w:r>
        <w:tab/>
        <w:t xml:space="preserve">Elsewhere, </w:t>
      </w:r>
      <w:proofErr w:type="spellStart"/>
      <w:r>
        <w:t>Mulgan</w:t>
      </w:r>
      <w:proofErr w:type="spellEnd"/>
      <w:r>
        <w:t xml:space="preserve"> states that:</w:t>
      </w:r>
    </w:p>
    <w:p w14:paraId="74B2354E" w14:textId="2E9D5942" w:rsidR="00CF7765" w:rsidRDefault="00CF7765" w:rsidP="00CF7765">
      <w:pPr>
        <w:pStyle w:val="FootnoteText"/>
        <w:tabs>
          <w:tab w:val="clear" w:pos="425"/>
        </w:tabs>
        <w:ind w:left="630" w:firstLine="0"/>
      </w:pPr>
      <w:r w:rsidRPr="001F352D">
        <w:rPr>
          <w:i/>
          <w:iCs/>
        </w:rPr>
        <w:t>‘</w:t>
      </w:r>
      <w:r w:rsidR="00F67ED1" w:rsidRPr="001F352D">
        <w:rPr>
          <w:i/>
          <w:iCs/>
        </w:rPr>
        <w:t>[A</w:t>
      </w:r>
      <w:r w:rsidRPr="00F67ED1">
        <w:rPr>
          <w:i/>
          <w:iCs/>
        </w:rPr>
        <w:t>ccountability</w:t>
      </w:r>
      <w:r w:rsidR="00F67ED1">
        <w:rPr>
          <w:i/>
          <w:iCs/>
        </w:rPr>
        <w:t>]</w:t>
      </w:r>
      <w:r w:rsidRPr="001C2C58">
        <w:rPr>
          <w:i/>
          <w:iCs/>
        </w:rPr>
        <w:t>’ is not the same as ‘responsibility’. ‘Responsibility’ may include accountability but can also refer to the capacity for individual choice and action (‘acting responsibly’) exercised without reference to another person. Accountability is always other-directed, whereas responsibility is</w:t>
      </w:r>
      <w:r>
        <w:rPr>
          <w:i/>
          <w:iCs/>
        </w:rPr>
        <w:t xml:space="preserve"> not. </w:t>
      </w:r>
      <w:r>
        <w:rPr>
          <w:i/>
          <w:iCs/>
        </w:rPr>
        <w:fldChar w:fldCharType="begin"/>
      </w:r>
      <w:r w:rsidR="009B0EC4">
        <w:rPr>
          <w:i/>
          <w:iCs/>
        </w:rPr>
        <w:instrText xml:space="preserve"> ADDIN ZOTERO_ITEM CSL_CITATION {"citationID":"Z3nO59oY","properties":{"formattedCitation":"(Mulgan 2002, 3)","plainCitation":"(Mulgan 2002, 3)","noteIndex":94},"citationItems":[{"id":18448,"uris":["http://zotero.org/groups/4801058/items/JLMFRIPP"],"itemData":{"id":18448,"type":"report","abstract":"This paper looks at the new approach to the provision of public services in which the functions of planning and funding public services are separated from the provision of such services. This approach is part of the world-wide movement of public sector reform inspired by the neo-liberal critique of the size of the public sector and the quality of government services. While governments and their agencies remain the main funders or purchasers of certain essential services (as they must if the services are to count as ‘public’ services), they do not have to deliver the services themselves. Instead, they increasingly rely on private sector providers, whether from the for-profit, commercial sector or from the nonprofit or ‘community’ sector. A large number of activities are now outsourced, ranging from cleaning and rubbish collection to the provision of policy advice and personnel services.","event-place":"Canberra","language":"en_AU","license":"http://legaloffice.weblogs.anu.edu.au/content/copyright/","note":"Accepted: 2003-05-06\nLast Modified: 2022-11-17\npublisher: The Australian National University","publisher":"Australian National University","publisher-place":"Canberra","source":"openresearch-repository.anu.edu.au","title":"Accountability issues in the new model of governance","URL":"https://openresearch-repository.anu.edu.au/handle/1885/41701","author":[{"family":"Mulgan","given":"Richard"}],"accessed":{"date-parts":[["2023",1,13]]},"issued":{"date-parts":[["2002"]]}},"locator":"3","label":"page"}],"schema":"https://github.com/citation-style-language/schema/raw/master/csl-citation.json"} </w:instrText>
      </w:r>
      <w:r>
        <w:rPr>
          <w:i/>
          <w:iCs/>
        </w:rPr>
        <w:fldChar w:fldCharType="separate"/>
      </w:r>
      <w:r w:rsidRPr="0071035C">
        <w:rPr>
          <w:rFonts w:cs="Calibri"/>
        </w:rPr>
        <w:t>(</w:t>
      </w:r>
      <w:proofErr w:type="spellStart"/>
      <w:r w:rsidRPr="0071035C">
        <w:rPr>
          <w:rFonts w:cs="Calibri"/>
        </w:rPr>
        <w:t>Mulgan</w:t>
      </w:r>
      <w:proofErr w:type="spellEnd"/>
      <w:r w:rsidRPr="0071035C">
        <w:rPr>
          <w:rFonts w:cs="Calibri"/>
        </w:rPr>
        <w:t xml:space="preserve"> 2002, 3)</w:t>
      </w:r>
      <w:r>
        <w:rPr>
          <w:i/>
          <w:iCs/>
        </w:rPr>
        <w:fldChar w:fldCharType="end"/>
      </w:r>
    </w:p>
  </w:footnote>
  <w:footnote w:id="96">
    <w:p w14:paraId="73B3DFED" w14:textId="043BB45D" w:rsidR="00CF7765" w:rsidRPr="00F0646E" w:rsidRDefault="00CF7765" w:rsidP="00CF7765">
      <w:pPr>
        <w:pStyle w:val="FootnoteText"/>
      </w:pPr>
      <w:r w:rsidRPr="009006D7">
        <w:rPr>
          <w:rStyle w:val="FootnoteReference"/>
        </w:rPr>
        <w:footnoteRef/>
      </w:r>
      <w:r w:rsidRPr="00F0646E">
        <w:t xml:space="preserve"> </w:t>
      </w:r>
      <w:r w:rsidRPr="00F0646E">
        <w:tab/>
        <w:t xml:space="preserve">This is common in countries </w:t>
      </w:r>
      <w:r w:rsidR="00F3701C">
        <w:t xml:space="preserve">where constitutions involve dividing power between different arms or levels of Government. In the United States federal Constitution, for example, there is a </w:t>
      </w:r>
      <w:r w:rsidR="00F3701C" w:rsidRPr="00AD67B1">
        <w:t>strict ‘</w:t>
      </w:r>
      <w:r w:rsidRPr="00AD67B1">
        <w:t>separation of powers</w:t>
      </w:r>
      <w:r w:rsidR="00F3701C" w:rsidRPr="00AD67B1">
        <w:t>’ between the President (who heads the Executive branch which administers laws), the Congress (which makes laws and enquires into the actions of the Executive Branch) and the courts, (whose duty is to say what the law is and can</w:t>
      </w:r>
      <w:r w:rsidRPr="00AD67B1">
        <w:t xml:space="preserve"> strike down laws that are inconsistent with rights guaranteed by the Constitution</w:t>
      </w:r>
      <w:r w:rsidR="00F3701C" w:rsidRPr="00AD67B1">
        <w:t>)</w:t>
      </w:r>
      <w:r w:rsidRPr="00AD67B1">
        <w:t>. In Australia, the federal government can impose</w:t>
      </w:r>
      <w:r w:rsidRPr="00F0646E">
        <w:t xml:space="preserve"> conditions on the granting of financial assistance</w:t>
      </w:r>
      <w:r w:rsidR="00F3701C">
        <w:t xml:space="preserve"> to the States</w:t>
      </w:r>
      <w:r w:rsidRPr="00F0646E">
        <w:t xml:space="preserve">. It is under such conditions that much of the </w:t>
      </w:r>
      <w:r w:rsidR="00F3701C">
        <w:t>countr</w:t>
      </w:r>
      <w:r w:rsidR="00AD67B1">
        <w:t>y’s</w:t>
      </w:r>
      <w:r w:rsidR="00F3701C">
        <w:t xml:space="preserve"> </w:t>
      </w:r>
      <w:r w:rsidRPr="00F0646E">
        <w:t xml:space="preserve">health and education systems are operated. </w:t>
      </w:r>
    </w:p>
  </w:footnote>
  <w:footnote w:id="97">
    <w:p w14:paraId="592922D5" w14:textId="57FD4E47" w:rsidR="005379A7" w:rsidRDefault="005379A7">
      <w:pPr>
        <w:pStyle w:val="FootnoteText"/>
      </w:pPr>
      <w:r w:rsidRPr="009006D7">
        <w:rPr>
          <w:rStyle w:val="FootnoteReference"/>
        </w:rPr>
        <w:footnoteRef/>
      </w:r>
      <w:r>
        <w:t xml:space="preserve"> </w:t>
      </w:r>
      <w:r>
        <w:tab/>
        <w:t xml:space="preserve">However, as we discuss further in </w:t>
      </w:r>
      <w:r w:rsidR="001F7768">
        <w:t>s</w:t>
      </w:r>
      <w:r>
        <w:t xml:space="preserve">ection </w:t>
      </w:r>
      <w:r>
        <w:fldChar w:fldCharType="begin"/>
      </w:r>
      <w:r>
        <w:instrText xml:space="preserve"> REF _Ref124868159 \r \h </w:instrText>
      </w:r>
      <w:r>
        <w:fldChar w:fldCharType="separate"/>
      </w:r>
      <w:r w:rsidR="00E06351">
        <w:t>3.4</w:t>
      </w:r>
      <w:r>
        <w:fldChar w:fldCharType="end"/>
      </w:r>
      <w:r>
        <w:t xml:space="preserve">, one important purpose of accountability is to use the past as a guide to the future. </w:t>
      </w:r>
      <w:r w:rsidR="006B7E69">
        <w:t>This is part of a ‘learning’ dimension of accountability.</w:t>
      </w:r>
    </w:p>
  </w:footnote>
  <w:footnote w:id="98">
    <w:p w14:paraId="3FD0D80C" w14:textId="38BF6A84" w:rsidR="00853225" w:rsidRDefault="00853225" w:rsidP="00853225">
      <w:pPr>
        <w:pStyle w:val="FootnoteText"/>
      </w:pPr>
      <w:r w:rsidRPr="009006D7">
        <w:rPr>
          <w:rStyle w:val="FootnoteReference"/>
        </w:rPr>
        <w:footnoteRef/>
      </w:r>
      <w:r>
        <w:t xml:space="preserve"> </w:t>
      </w:r>
      <w:r>
        <w:tab/>
        <w:t xml:space="preserve">While many scholars talk about ‘accountability as punishment’, </w:t>
      </w:r>
      <w:r w:rsidR="00C41220">
        <w:t xml:space="preserve">as we discuss </w:t>
      </w:r>
      <w:r>
        <w:t xml:space="preserve">in </w:t>
      </w:r>
      <w:r w:rsidR="00C41220">
        <w:t xml:space="preserve">section </w:t>
      </w:r>
      <w:r w:rsidR="00C41220">
        <w:fldChar w:fldCharType="begin"/>
      </w:r>
      <w:r w:rsidR="00C41220">
        <w:instrText xml:space="preserve"> REF _Ref124868159 \r \h </w:instrText>
      </w:r>
      <w:r w:rsidR="00C41220">
        <w:fldChar w:fldCharType="separate"/>
      </w:r>
      <w:r w:rsidR="00E06351">
        <w:t>3.4</w:t>
      </w:r>
      <w:r w:rsidR="00C41220">
        <w:fldChar w:fldCharType="end"/>
      </w:r>
      <w:r w:rsidR="00C41220">
        <w:t xml:space="preserve"> below</w:t>
      </w:r>
      <w:r w:rsidR="004F6721">
        <w:t>, accountability has several dimensions and in some of those</w:t>
      </w:r>
      <w:r w:rsidR="004F6721" w:rsidDel="004F6721">
        <w:t xml:space="preserve"> </w:t>
      </w:r>
      <w:r>
        <w:t xml:space="preserve">consequences can be positive. The consequences of learning from the past can be improved performance in the future. The consequence of strong systems of democratic accountability can be that governments keep their promises. </w:t>
      </w:r>
    </w:p>
  </w:footnote>
  <w:footnote w:id="99">
    <w:p w14:paraId="2F0FC138" w14:textId="5CB0578A" w:rsidR="001C5370" w:rsidRPr="00F0646E" w:rsidRDefault="001C5370" w:rsidP="00852078">
      <w:pPr>
        <w:pStyle w:val="FootnoteText"/>
        <w:tabs>
          <w:tab w:val="clear" w:pos="425"/>
        </w:tabs>
        <w:ind w:left="426" w:hanging="567"/>
      </w:pPr>
      <w:r w:rsidRPr="009006D7">
        <w:rPr>
          <w:rStyle w:val="FootnoteReference"/>
        </w:rPr>
        <w:footnoteRef/>
      </w:r>
      <w:r w:rsidRPr="00F0646E">
        <w:t xml:space="preserve"> </w:t>
      </w:r>
      <w:r w:rsidRPr="00F0646E">
        <w:tab/>
      </w:r>
      <w:r w:rsidRPr="005276B3">
        <w:t xml:space="preserve">Recent examples include </w:t>
      </w:r>
      <w:proofErr w:type="spellStart"/>
      <w:r w:rsidRPr="005276B3">
        <w:t>Weale</w:t>
      </w:r>
      <w:proofErr w:type="spellEnd"/>
      <w:r w:rsidRPr="005276B3">
        <w:t xml:space="preserve"> </w:t>
      </w:r>
      <w:r w:rsidRPr="005276B3">
        <w:fldChar w:fldCharType="begin"/>
      </w:r>
      <w:r w:rsidR="009B0EC4">
        <w:instrText xml:space="preserve"> ADDIN ZOTERO_ITEM CSL_CITATION {"citationID":"a1s9papohn1","properties":{"formattedCitation":"(2011)","plainCitation":"(2011)","noteIndex":98},"citationItems":[{"id":17219,"uris":["http://zotero.org/groups/4801058/items/LABI5FGT"],"itemData":{"id":17219,"type":"article-journal","abstract":"New modes of governance are said to create problems of political accountability. To understand this claim, we need a theory of accountability. Electoral accountability provides authorization and sanction, but it neglects the problems entailed in the requirement to provide explanation and justification. Political accountability in this discursive sense can be understood through the idea of public reason, where this is defined in terms of substantive rationality and an orientation to the public interest. This conceptualization leads in turn to the requirement of replicability and openness in public reasoning. The problem of accountability is one of securing the conditions under which the institutions within which policy deliberation takes place can merit the confidence of citizens in these terms, and the Commission White Paper on European governance is used to illustrate the application of these tests.","container-title":"Government and Opposition","DOI":"10.1111/j.1477-7053.2010.01330.x","ISSN":"1477-7053, 0017-257X","issue":"1","language":"en","note":"publisher: Cambridge University Press","page":"58-80","source":"Cambridge University Press","title":"New Modes of Governance, Political Accountability and Public Reason","volume":"46","author":[{"family":"Weale","given":"Albert"}],"issued":{"date-parts":[["2011"]],"season":"ed"}},"suppress-author":true}],"schema":"https://github.com/citation-style-language/schema/raw/master/csl-citation.json"} </w:instrText>
      </w:r>
      <w:r w:rsidRPr="005276B3">
        <w:fldChar w:fldCharType="separate"/>
      </w:r>
      <w:r w:rsidRPr="005276B3">
        <w:t>(2011)</w:t>
      </w:r>
      <w:r w:rsidRPr="005276B3">
        <w:fldChar w:fldCharType="end"/>
      </w:r>
      <w:r w:rsidRPr="005276B3">
        <w:t xml:space="preserve">, Lourenço et al. </w:t>
      </w:r>
      <w:r w:rsidRPr="005276B3">
        <w:fldChar w:fldCharType="begin"/>
      </w:r>
      <w:r w:rsidR="009B0EC4">
        <w:instrText xml:space="preserve"> ADDIN ZOTERO_ITEM CSL_CITATION {"citationID":"alrrev441m","properties":{"formattedCitation":"(2015)","plainCitation":"(2015)","noteIndex":98},"citationItems":[{"id":17217,"uris":["http://zotero.org/groups/4801058/items/U2JNHU2J"],"itemData":{"id":17217,"type":"paper-conference","abstract":"A key objective of open government programs is to promote public accountability by using Information and Communication Technologies (ICT) to release data on the internal working of public agencies. However, it is not clear how actual accountability (such as sanctions or rewards) may be achieved from the data disclosed. Nor it is clear how ICT in general should support it. To better understand how ICT can support open data initiated accountability processes in achieving their goal, this paper considers the three phases (information, discussion, and consequences) usually used to describe such processes. Defining ICT support for these major phases is a difficult effort, since each phase encompasses different tasks and support requirements. This paper aims to address this problem by providing a detailed account of the tasks associated with the whole public accountability process. This may be used by those responsible for open government programs to design and deploy comprehensive ICT support platforms using a task-technology fit perspective.","collection-title":"Lecture Notes in Computer Science","container-title":"Electronic Government","DOI":"10.1007/978-3-319-22479-4_8","event-place":"Cham","ISBN":"978-3-319-22479-4","language":"en","page":"105-117","publisher":"Springer International Publishing","publisher-place":"Cham","source":"Springer Link","title":"Public Accountability ICT Support: A Detailed Account of Public Accountability Process and Tasks","title-short":"Public Accountability ICT Support","author":[{"family":"Lourenço","given":"Rui Pedro"},{"family":"Piotrowski","given":"Suzanne"},{"family":"Ingrams","given":"Alex"}],"editor":[{"family":"Tambouris","given":"Efthimios"},{"family":"Janssen","given":"Marijn"},{"family":"Scholl","given":"Hans Jochen"},{"family":"Wimmer","given":"Maria A."},{"family":"Tarabanis","given":"Konstantinos"},{"family":"Gascó","given":"Mila"},{"family":"Klievink","given":"Bram"},{"family":"Lindgren","given":"Ida"},{"family":"Parycek","given":"Peter"}],"issued":{"date-parts":[["2015"]]}},"suppress-author":true}],"schema":"https://github.com/citation-style-language/schema/raw/master/csl-citation.json"} </w:instrText>
      </w:r>
      <w:r w:rsidRPr="005276B3">
        <w:fldChar w:fldCharType="separate"/>
      </w:r>
      <w:r w:rsidRPr="005276B3">
        <w:t>(2015)</w:t>
      </w:r>
      <w:r w:rsidRPr="005276B3">
        <w:fldChar w:fldCharType="end"/>
      </w:r>
      <w:r w:rsidRPr="005276B3">
        <w:t xml:space="preserve">, Dormer </w:t>
      </w:r>
      <w:r w:rsidRPr="005276B3">
        <w:fldChar w:fldCharType="begin"/>
      </w:r>
      <w:r w:rsidR="009B0EC4">
        <w:instrText xml:space="preserve"> ADDIN ZOTERO_ITEM CSL_CITATION {"citationID":"a4cf929sqd","properties":{"formattedCitation":"(2018)","plainCitation":"(2018)","noteIndex":98},"citationItems":[{"id":17213,"uris":["http://zotero.org/groups/4801058/items/3ELS2YIC"],"itemData":{"id":17213,"type":"article-journal","abstract":"This paper explores the complex web of accountability relationships between New Zealand’s tertiary education institutions (TEIs) and the different forums with which they interact. A brief review of the extensive literature on accountability suggests that previous approaches to this topic have largely adopted the perspective of those forums to which accountability is provided. However, the alternative perspectives of those giving an account provide a more insightful understanding of accountability practices.","container-title":"Public Money &amp; Management","DOI":"10.1080/09540962.2018.1407138","ISSN":"0954-0962","issue":"2","note":"publisher: Routledge\n_eprint: https://doi.org/10.1080/09540962.2018.1407138","page":"111-120","source":"Taylor and Francis+NEJM","title":"Accountability and worth: a study of New Zealand's tertiary education institutions","title-short":"Accountability and worth","volume":"38","author":[{"family":"Dormer","given":"Rodney"}],"issued":{"date-parts":[["2018",2,23]]}},"suppress-author":true}],"schema":"https://github.com/citation-style-language/schema/raw/master/csl-citation.json"} </w:instrText>
      </w:r>
      <w:r w:rsidRPr="005276B3">
        <w:fldChar w:fldCharType="separate"/>
      </w:r>
      <w:r w:rsidRPr="005276B3">
        <w:t>(2018)</w:t>
      </w:r>
      <w:r w:rsidRPr="005276B3">
        <w:fldChar w:fldCharType="end"/>
      </w:r>
      <w:r w:rsidRPr="005276B3">
        <w:t xml:space="preserve">, </w:t>
      </w:r>
      <w:proofErr w:type="spellStart"/>
      <w:r w:rsidRPr="005276B3">
        <w:t>Addink</w:t>
      </w:r>
      <w:proofErr w:type="spellEnd"/>
      <w:r w:rsidRPr="005276B3">
        <w:t xml:space="preserve"> </w:t>
      </w:r>
      <w:r w:rsidRPr="005276B3">
        <w:fldChar w:fldCharType="begin"/>
      </w:r>
      <w:r w:rsidR="009B0EC4">
        <w:instrText xml:space="preserve"> ADDIN ZOTERO_ITEM CSL_CITATION {"citationID":"a29cj5ra4ng","properties":{"formattedCitation":"(2019)","plainCitation":"(2019)","noteIndex":98},"citationItems":[{"id":17209,"uris":["http://zotero.org/groups/4801058/items/5FSRIF4S"],"itemData":{"id":17209,"type":"chapter","abstract":"This chapter explains the principle of accountability as part of the principles of good governance. The principle of accountability is already far beyond financial accounting, and it comes closer to the accountability of the minister in their relationship with the parliament and with the civil and criminal responsibility of persons and institutions in general.","container-title":"Good Governance","ISBN":"978-0-19-884115-9","language":"en","note":"DOI: 10.1093/oso/9780198841159.003.0011","page":"157-170","publisher":"Oxford University Press","source":"DOI.org (Crossref)","title":"The Principle of Accountability","URL":"https://academic.oup.com/book/35056/chapter/298982321","container-author":[{"family":"Addink","given":"Henk"}],"author":[{"family":"Addink","given":"Henk"}],"accessed":{"date-parts":[["2022",12,14]]},"issued":{"date-parts":[["2019",4,18]]}},"suppress-author":true}],"schema":"https://github.com/citation-style-language/schema/raw/master/csl-citation.json"} </w:instrText>
      </w:r>
      <w:r w:rsidRPr="005276B3">
        <w:fldChar w:fldCharType="separate"/>
      </w:r>
      <w:r w:rsidRPr="005276B3">
        <w:t>(2019)</w:t>
      </w:r>
      <w:r w:rsidRPr="005276B3">
        <w:fldChar w:fldCharType="end"/>
      </w:r>
      <w:r w:rsidRPr="005276B3">
        <w:t xml:space="preserve">, Mees and Driessen </w:t>
      </w:r>
      <w:r w:rsidRPr="005276B3">
        <w:fldChar w:fldCharType="begin"/>
      </w:r>
      <w:r w:rsidR="009B0EC4">
        <w:instrText xml:space="preserve"> ADDIN ZOTERO_ITEM CSL_CITATION {"citationID":"a1p59ulnd0f","properties":{"formattedCitation":"(2019)","plainCitation":"(2019)","noteIndex":98},"citationItems":[{"id":17205,"uris":["http://zotero.org/groups/4801058/items/N2RG3I2D"],"itemData":{"id":17205,"type":"article-journal","abstract":"Accountability has hardly been studied in the governance of climate change adaptation. This paper develops a framework for assessing the accountability of interactive governance arrangements for local adaptation. This framework is based on five important accountability mechanisms: Clear responsibilities and mandates, Transparency, Political oversight, Citizen control and Checks and sanctions. For illustration purposes, the proposed framework is applied to the case of a Dutch local adaptation governance arrangement. The application shows that the five proposed mechanisms and their operationalizations offer a valid assessment of the accountability of such arrangements. It also raises some challenges, such as the tensions between accountability and flexibility, legitimacy and effectiveness; the potentially important roles of trust and of the political skills of central actor(s) in the arrangement in raising accountability, and the potential need to distinguish between arrangements for policy planning and for service delivery.","container-title":"Journal of Environmental Planning and Management","DOI":"10.1080/09640568.2018.1428184","ISSN":"0964-0568","issue":"4","note":"publisher: Routledge\n_eprint: https://doi.org/10.1080/09640568.2018.1428184","page":"671-691","source":"Taylor and Francis+NEJM","title":"A framework for assessing the accountability of local governance arrangements for adaptation to climate change","volume":"62","author":[{"family":"Mees","given":"Heleen"},{"family":"Driessen","given":"Peter"}],"issued":{"date-parts":[["2019",3,21]]}},"suppress-author":true}],"schema":"https://github.com/citation-style-language/schema/raw/master/csl-citation.json"} </w:instrText>
      </w:r>
      <w:r w:rsidRPr="005276B3">
        <w:fldChar w:fldCharType="separate"/>
      </w:r>
      <w:r w:rsidRPr="005276B3">
        <w:t>(2019)</w:t>
      </w:r>
      <w:r w:rsidRPr="005276B3">
        <w:fldChar w:fldCharType="end"/>
      </w:r>
      <w:r w:rsidRPr="005276B3">
        <w:t xml:space="preserve">, </w:t>
      </w:r>
      <w:proofErr w:type="spellStart"/>
      <w:r w:rsidRPr="005276B3">
        <w:t>Hennchen</w:t>
      </w:r>
      <w:proofErr w:type="spellEnd"/>
      <w:r w:rsidRPr="005276B3">
        <w:t xml:space="preserve"> and Schrempf-Stirling </w:t>
      </w:r>
      <w:r w:rsidRPr="005276B3">
        <w:fldChar w:fldCharType="begin"/>
      </w:r>
      <w:r w:rsidR="009B0EC4">
        <w:instrText xml:space="preserve"> ADDIN ZOTERO_ITEM CSL_CITATION {"citationID":"a1m4pe900vq","properties":{"formattedCitation":"(2021)","plainCitation":"(2021)","noteIndex":98},"citationItems":[{"id":17214,"uris":["http://zotero.org/groups/4801058/items/ELSZ2JBP"],"itemData":{"id":17214,"type":"article-journal","abstract":"Business is expected to contribute to grand challenges (GC) such as poverty within their corporate social responsibilities. Multi-stakeholder initiatives (MSIs) have developed to a popular governance model to address GC. While existing scholarship has discussed the positive and negative aspects of MSIs, we know relatively little about how corporations within MSIs are held accountable. The objective of the study is to analyze the dynamics of accountability relationships between the corporate actor and the accountability forum to conceive a process model for effective accountability relationships in developing countries. We conducted an inductive study which explored the tensions the accountability forum perceives in MSI accountability relationships and the criteria to meet the forum's accountability claims. Our study identified four accountability criteria: transparency, inclusion, procedural fairness, and efficacy. Our main theoretical claim is that considering the four accountability criteria in the process of facilitating, dialoguing, and evaluating allows affected stakeholders to validate and match legitimacy claims with their own expectations, and thus, manage MSIs more effectively. Our contribution to existing scholarship on MSIs in developing countries is that we offer a novel perspective on analyzing the effectiveness of MSIs to address GC through our focus on one element of MSIs––specifically accountability. Beyond academic theorizing, this perspective may well hold value for nongovernmental organizations, policymakers, and business managers as it advances a concept of responsibility based on a set of accountability criteria which have the potential to become a cornerstone for how MSI members can organize to effectively address GC in developing countries.","container-title":"Business Ethics, the Environment &amp; Responsibility","DOI":"10.1111/beer.12325","ISSN":"2694-6424","issue":"S1","language":"en","note":"_eprint: https://onlinelibrary.wiley.com/doi/pdf/10.1111/beer.12325","page":"5-24","source":"Wiley Online Library","title":"Fit for addressing grand challenges? A process model for effective accountability relationships within multi-stakeholder initiatives in developing countries","title-short":"Fit for addressing grand challenges?","volume":"30","author":[{"family":"Hennchen","given":"Esther"},{"family":"Schrempf-Stirling","given":"Judith"}],"issued":{"date-parts":[["2021"]]}},"suppress-author":true}],"schema":"https://github.com/citation-style-language/schema/raw/master/csl-citation.json"} </w:instrText>
      </w:r>
      <w:r w:rsidRPr="005276B3">
        <w:fldChar w:fldCharType="separate"/>
      </w:r>
      <w:r w:rsidRPr="005276B3">
        <w:t>(2021)</w:t>
      </w:r>
      <w:r w:rsidRPr="005276B3">
        <w:fldChar w:fldCharType="end"/>
      </w:r>
      <w:r w:rsidR="006B083F" w:rsidRPr="005276B3">
        <w:t xml:space="preserve">, the Office of the Auditor-General </w:t>
      </w:r>
      <w:r w:rsidR="00957307" w:rsidRPr="005276B3">
        <w:fldChar w:fldCharType="begin"/>
      </w:r>
      <w:r w:rsidR="009B0EC4">
        <w:instrText xml:space="preserve"> ADDIN ZOTERO_ITEM CSL_CITATION {"citationID":"hlc2YGh7","properties":{"formattedCitation":"(2021)","plainCitation":"(2021)","noteIndex":98},"citationItems":[{"id":16274,"uris":["http://zotero.org/groups/4801058/items/FX52RNMT"],"itemData":{"id":16274,"type":"report","event-place":"Wellington","language":"en","publisher":"Office of the Controller and Auditor-General","publisher-place":"Wellington","title":"Building a stronger public accountability system for New Zealanders","URL":"https://oag.parliament.nz/2021/public-accountability","author":[{"literal":"Office of the Controller and Auditor-General"}],"accessed":{"date-parts":[["2022",9,28]]},"issued":{"date-parts":[["2021"]]}},"suppress-author":true}],"schema":"https://github.com/citation-style-language/schema/raw/master/csl-citation.json"} </w:instrText>
      </w:r>
      <w:r w:rsidR="00957307" w:rsidRPr="005276B3">
        <w:fldChar w:fldCharType="separate"/>
      </w:r>
      <w:r w:rsidR="00957307" w:rsidRPr="005276B3">
        <w:t>(2021)</w:t>
      </w:r>
      <w:r w:rsidR="00957307" w:rsidRPr="005276B3">
        <w:fldChar w:fldCharType="end"/>
      </w:r>
      <w:r w:rsidR="00C74B70" w:rsidRPr="005276B3">
        <w:t xml:space="preserve">, </w:t>
      </w:r>
      <w:r w:rsidRPr="005276B3">
        <w:t xml:space="preserve">van </w:t>
      </w:r>
      <w:proofErr w:type="spellStart"/>
      <w:r w:rsidRPr="005276B3">
        <w:t>Osch</w:t>
      </w:r>
      <w:proofErr w:type="spellEnd"/>
      <w:r w:rsidRPr="005276B3">
        <w:t xml:space="preserve"> et al. </w:t>
      </w:r>
      <w:r w:rsidRPr="005276B3">
        <w:fldChar w:fldCharType="begin"/>
      </w:r>
      <w:r w:rsidR="009B0EC4">
        <w:instrText xml:space="preserve"> ADDIN ZOTERO_ITEM CSL_CITATION {"citationID":"a2nea9piqge","properties":{"formattedCitation":"(2021)","plainCitation":"(2021)","noteIndex":98},"citationItems":[{"id":17207,"uris":["http://zotero.org/groups/4801058/items/VWAYWQNZ"],"itemData":{"id":17207,"type":"article-journal","abstract":"International cooperation in networks between national civil servants is often judged necessary to address global policy challenges. The civil servants cooperating with each other in these transgovernmental networks (TGNs), are often employed by national agencies that are not part of a ministry. It is therefore assumed in the literature that participating in a TGN renders account giving to a political forum difficult. We offer in this paper a state-centered perspective on the functioning of TGNs to assess whether a trade-off exists between accountability and the creation of technocratic driven networks. We develop a typology of TGNs and accountability, based on the function and the governance style of networks. In three out of four cases studied, variation in the institutional set-up influences which type of accountability is dominant. In one case we expected to find political accountability but observed that elected politicians did not hold civil servants in TGNs to account.","container-title":"Journal of European Public Policy","DOI":"10.1080/13501763.2021.1998193","ISSN":"1350-1763","issue":"0","note":"publisher: Routledge\n_eprint: https://doi.org/10.1080/13501763.2021.1998193","page":"1-19","source":"Taylor and Francis+NEJM","title":"An accountability deficit? Holding transgovernmental networks to account","title-short":"An accountability deficit?","volume":"0","author":[{"family":"Osch","given":"Daniëlle","non-dropping-particle":"van"},{"family":"Ruiter","given":"Rik","non-dropping-particle":"de"},{"family":"Yesilkagit","given":"Kutsal"}],"issued":{"date-parts":[["2021",11,7]]}},"suppress-author":true}],"schema":"https://github.com/citation-style-language/schema/raw/master/csl-citation.json"} </w:instrText>
      </w:r>
      <w:r w:rsidRPr="005276B3">
        <w:fldChar w:fldCharType="separate"/>
      </w:r>
      <w:r w:rsidRPr="005276B3">
        <w:t>(2021)</w:t>
      </w:r>
      <w:r w:rsidRPr="005276B3">
        <w:fldChar w:fldCharType="end"/>
      </w:r>
      <w:r w:rsidR="006B083F" w:rsidRPr="005276B3">
        <w:t xml:space="preserve"> and Palmer and Knight </w:t>
      </w:r>
      <w:r w:rsidR="006B083F" w:rsidRPr="005276B3">
        <w:fldChar w:fldCharType="begin"/>
      </w:r>
      <w:r w:rsidR="009B0EC4">
        <w:instrText xml:space="preserve"> ADDIN ZOTERO_ITEM CSL_CITATION {"citationID":"i7puFWF9","properties":{"formattedCitation":"(2022)","plainCitation":"(2022)","noteIndex":98},"citationItems":[{"id":18446,"uris":["http://zotero.org/groups/4801058/items/VJID95CY"],"itemData":{"id":18446,"type":"book","abstract":"\"This book examines New Zealand's constitution, through the lens of constitutional realism. It looks at the practices, habits, conventions and norms of constitutional life. It focuses on the structures, processes and culture that govern the exercise of public power - a perspective that is necessary to explore and account for a lived, rather than textual, constitution. New Zealand's constitution is unique. One of three remaining unwritten democratic constitutions in the world, it is characterised by a charming set of anachronistic contrasts. \"Unwritten\", but much found in various written sources. Built on a network of Westminster constitutional conventions but generously tailored to local conditions. Proudly independent, yet perhaps a purer Westminster model than its British parent. Flexible and vulnerable, while oddly enduring. It looks to the centralised authority that comes with a strong executive, strict parliamentary sovereignty, and a unitary state. However, its populace insists on egalitarian values and representative democracy, with elections fiercely conducted nowadays under a system of proportional representation. The interests of indigenous Maori are protected largely through democratic majority rule. A reputation for upholding the rule of law, yet few institutional safeguards to ensure compliance\"--","call-number":"KUQ1750","collection-title":"Constitutional systems of the world","event-place":"Oxford, UK ; New York, NY","ISBN":"978-1-84946-904-3","number-of-pages":"1","publisher":"Hart Publishing, an imprint of Bloomsbury Publishing","publisher-place":"Oxford, UK ; New York, NY","source":"Library of Congress ISBN","title":"The Constitution of New Zealand: a contextual analysis","title-short":"The Constitution of New Zealand","author":[{"family":"Palmer","given":"Matthew"},{"family":"Knight","given":"Dean R."}],"issued":{"date-parts":[["2022"]]}},"label":"page","suppress-author":true}],"schema":"https://github.com/citation-style-language/schema/raw/master/csl-citation.json"} </w:instrText>
      </w:r>
      <w:r w:rsidR="006B083F" w:rsidRPr="005276B3">
        <w:fldChar w:fldCharType="separate"/>
      </w:r>
      <w:r w:rsidR="006B083F" w:rsidRPr="005276B3">
        <w:t>(2022)</w:t>
      </w:r>
      <w:r w:rsidR="006B083F" w:rsidRPr="005276B3">
        <w:fldChar w:fldCharType="end"/>
      </w:r>
      <w:r w:rsidRPr="005276B3">
        <w:t>.</w:t>
      </w:r>
    </w:p>
  </w:footnote>
  <w:footnote w:id="100">
    <w:p w14:paraId="1690FA86" w14:textId="0CB006B6" w:rsidR="00060AF9" w:rsidRPr="00F0646E" w:rsidRDefault="00060AF9" w:rsidP="00060AF9">
      <w:pPr>
        <w:pStyle w:val="FootnoteText"/>
      </w:pPr>
      <w:r w:rsidRPr="009006D7">
        <w:rPr>
          <w:rStyle w:val="FootnoteReference"/>
        </w:rPr>
        <w:footnoteRef/>
      </w:r>
      <w:r w:rsidRPr="00F0646E">
        <w:t xml:space="preserve"> </w:t>
      </w:r>
      <w:r w:rsidRPr="00F0646E">
        <w:tab/>
        <w:t>The economic literature on principal</w:t>
      </w:r>
      <w:r w:rsidR="00BD4863">
        <w:t>-</w:t>
      </w:r>
      <w:r w:rsidRPr="00F0646E">
        <w:t xml:space="preserve">agent theory started with studies of car insurance markets, where it was not possible for insurance companies to monitor the behaviour of the drivers they insured </w:t>
      </w:r>
      <w:r w:rsidRPr="00F0646E">
        <w:fldChar w:fldCharType="begin"/>
      </w:r>
      <w:r w:rsidR="009B0EC4">
        <w:instrText xml:space="preserve"> ADDIN ZOTERO_ITEM CSL_CITATION {"citationID":"a1ij5r1o484","properties":{"formattedCitation":"(Spence and Zeckhauser 1971)","plainCitation":"(Spence and Zeckhauser 1971)","noteIndex":99},"citationItems":[{"id":17246,"uris":["http://zotero.org/groups/4801058/items/A9P4SP73"],"itemData":{"id":17246,"type":"article-journal","container-title":"The American Economic Review","ISSN":"0002-8282","issue":"2","note":"publisher: American Economic Association","page":"380-387","source":"JSTOR","title":"Insurance, Information, and Individual Action","volume":"61","author":[{"family":"Spence","given":"Michael"},{"family":"Zeckhauser","given":"Richard"}],"issued":{"date-parts":[["1971"]]}}}],"schema":"https://github.com/citation-style-language/schema/raw/master/csl-citation.json"} </w:instrText>
      </w:r>
      <w:r w:rsidRPr="00F0646E">
        <w:fldChar w:fldCharType="separate"/>
      </w:r>
      <w:r w:rsidRPr="00F0646E">
        <w:rPr>
          <w:rFonts w:cs="Calibri"/>
          <w:szCs w:val="24"/>
        </w:rPr>
        <w:t xml:space="preserve">(Spence and </w:t>
      </w:r>
      <w:proofErr w:type="spellStart"/>
      <w:r w:rsidRPr="00F0646E">
        <w:rPr>
          <w:rFonts w:cs="Calibri"/>
          <w:szCs w:val="24"/>
        </w:rPr>
        <w:t>Zeckhauser</w:t>
      </w:r>
      <w:proofErr w:type="spellEnd"/>
      <w:r w:rsidRPr="00F0646E">
        <w:rPr>
          <w:rFonts w:cs="Calibri"/>
          <w:szCs w:val="24"/>
        </w:rPr>
        <w:t xml:space="preserve"> 1971)</w:t>
      </w:r>
      <w:r w:rsidRPr="00F0646E">
        <w:fldChar w:fldCharType="end"/>
      </w:r>
      <w:r w:rsidRPr="00F0646E">
        <w:t xml:space="preserve">. Michael Spence received the 2001 Nobel Prize In economics in part for this work. This idea of the economic importance of asymmetric </w:t>
      </w:r>
      <w:r w:rsidRPr="005B382A">
        <w:t>relationship was initially generalised</w:t>
      </w:r>
      <w:r w:rsidRPr="00F0646E">
        <w:t xml:space="preserve"> </w:t>
      </w:r>
      <w:r w:rsidR="004608B1">
        <w:t>into the canonical principal</w:t>
      </w:r>
      <w:r w:rsidR="00E24131">
        <w:t>-</w:t>
      </w:r>
      <w:r w:rsidR="004608B1">
        <w:t xml:space="preserve">agent model in two articles published in the same edition of the </w:t>
      </w:r>
      <w:r w:rsidR="004608B1" w:rsidRPr="005B382A">
        <w:rPr>
          <w:i/>
          <w:iCs/>
        </w:rPr>
        <w:t>Bell Journal of Economics</w:t>
      </w:r>
      <w:r w:rsidR="004608B1">
        <w:t xml:space="preserve"> in 1979: Shavell </w:t>
      </w:r>
      <w:r w:rsidR="004608B1">
        <w:fldChar w:fldCharType="begin"/>
      </w:r>
      <w:r w:rsidR="009B0EC4">
        <w:instrText xml:space="preserve"> ADDIN ZOTERO_ITEM CSL_CITATION {"citationID":"Gkabcaca","properties":{"formattedCitation":"(1979)","plainCitation":"(1979)","noteIndex":99},"citationItems":[{"id":17239,"uris":["http://zotero.org/groups/4801058/items/6R6Q3S8S"],"itemData":{"id":17239,"type":"article-journal","abstract":"This article studies arrangements concerning the payment of a fee by a principal to his agent. For such an arrangement, or fee schedule, to be Pareto optimal, it must implicitly serve to allocate the risk attaching to the outcome of the agent's activity in a satisfactory way and to create appropriate incentives for the agent in his activity. Pareto-optimal fee schedules are described in two cases: when the principal has knowledge only of the outcome of the agent's activity and when he has as well (possibly imperfect) information about the agent's activity. In each case, characteristics of Pareto-optimal fee schedules are related to the attitudes toward risk of the principal and of the agent.","container-title":"The Bell Journal of Economics","DOI":"10.2307/3003319","ISSN":"0361-915X","issue":"1","note":"publisher: [RAND Corporation, Wiley]","page":"55-73","source":"JSTOR","title":"Risk Sharing and Incentives in the Principal and Agent Relationship","volume":"10","author":[{"family":"Shavell","given":"Steven"}],"issued":{"date-parts":[["1979"]]}},"label":"page","suppress-author":true}],"schema":"https://github.com/citation-style-language/schema/raw/master/csl-citation.json"} </w:instrText>
      </w:r>
      <w:r w:rsidR="004608B1">
        <w:fldChar w:fldCharType="separate"/>
      </w:r>
      <w:r w:rsidR="004608B1" w:rsidRPr="004608B1">
        <w:rPr>
          <w:rFonts w:cs="Calibri"/>
        </w:rPr>
        <w:t>(1979)</w:t>
      </w:r>
      <w:r w:rsidR="004608B1">
        <w:fldChar w:fldCharType="end"/>
      </w:r>
      <w:r w:rsidR="004608B1">
        <w:t xml:space="preserve"> and </w:t>
      </w:r>
      <w:proofErr w:type="spellStart"/>
      <w:r w:rsidR="004608B1" w:rsidRPr="004608B1">
        <w:rPr>
          <w:rFonts w:cs="Calibri"/>
        </w:rPr>
        <w:t>Holmstr</w:t>
      </w:r>
      <w:r w:rsidR="004608B1" w:rsidRPr="004608B1">
        <w:rPr>
          <w:rFonts w:cs="Calibri"/>
          <w:color w:val="676765"/>
          <w:spacing w:val="-5"/>
        </w:rPr>
        <w:t>ö</w:t>
      </w:r>
      <w:r w:rsidR="004608B1" w:rsidRPr="004608B1">
        <w:rPr>
          <w:rFonts w:cs="Calibri"/>
        </w:rPr>
        <w:t>m</w:t>
      </w:r>
      <w:proofErr w:type="spellEnd"/>
      <w:r w:rsidR="004608B1">
        <w:t xml:space="preserve"> </w:t>
      </w:r>
      <w:r w:rsidR="004608B1">
        <w:fldChar w:fldCharType="begin"/>
      </w:r>
      <w:r w:rsidR="009B0EC4">
        <w:instrText xml:space="preserve"> ADDIN ZOTERO_ITEM CSL_CITATION {"citationID":"GRBhM3fp","properties":{"formattedCitation":"(1979)","plainCitation":"(1979)","noteIndex":99},"citationItems":[{"id":17238,"uris":["http://zotero.org/groups/4801058/items/C5PAHENH"],"itemData":{"id":17238,"type":"article-journal","abstract":"The role of imperfect information in a principal-agent relationship subject to moral hazard is considered. A necessary and sufficient condition for imperfect information to improve on contracts based on the payoff alone is derived, and a characterization of the optimal use of such information is given.","container-title":"The Bell Journal of Economics","DOI":"10.2307/3003320","ISSN":"0361-915X","issue":"1","note":"publisher: [RAND Corporation, Wiley]","page":"74-91","source":"JSTOR","title":"Moral Hazard and Observability","volume":"10","author":[{"family":"Holmström","given":"Bengt"}],"issued":{"date-parts":[["1979"]]}},"label":"page","suppress-author":true}],"schema":"https://github.com/citation-style-language/schema/raw/master/csl-citation.json"} </w:instrText>
      </w:r>
      <w:r w:rsidR="004608B1">
        <w:fldChar w:fldCharType="separate"/>
      </w:r>
      <w:r w:rsidR="004608B1" w:rsidRPr="004608B1">
        <w:rPr>
          <w:rFonts w:cs="Calibri"/>
        </w:rPr>
        <w:t>(1979)</w:t>
      </w:r>
      <w:r w:rsidR="004608B1">
        <w:fldChar w:fldCharType="end"/>
      </w:r>
      <w:r w:rsidR="004608B1">
        <w:t>.</w:t>
      </w:r>
      <w:r w:rsidR="008A29E9">
        <w:t xml:space="preserve"> For a discussion of the history of the theory, see Miller </w:t>
      </w:r>
      <w:r w:rsidR="008A29E9">
        <w:fldChar w:fldCharType="begin"/>
      </w:r>
      <w:r w:rsidR="009B0EC4">
        <w:instrText xml:space="preserve"> ADDIN ZOTERO_ITEM CSL_CITATION {"citationID":"reP6qVjz","properties":{"formattedCitation":"(2005)","plainCitation":"(2005)","noteIndex":99},"citationItems":[{"id":17236,"uris":["http://zotero.org/groups/4801058/items/2V5T2QY7"],"itemData":{"id":17236,"type":"article-journal","abstract":"With tools borrowed from the economic analysis of insurance, principal-agency theory has allowed political scientists new insights into the role of information asymmetry and incentives in political relationships. It has given us a way to think formally about power as the modification of incentives to induce actions in the interests of the principal. Principal-agency theory has evolved significantly as political scientists have sought to make it more applicable to peculiarly political institutions. In congressional oversight of the bureaucracy, increasing emphasis has been placed on negotiation of administrative procedures, rather than the imposition of outcome-based incentives, as originally conceived. Awareness of the problem of credible commitment has impelled more dramatic reformulations, in which agents perform their function only when their interests conflict with those of the principal, and they are guaranteed some degree of autonomy. The ‘political master’ finds himself in the position of the ‘dilettante’ who stands opposite the ‘expert,’ facing the trained official who stands within the management of administration. (Weber 1958)","container-title":"Annual Review of Political Science","DOI":"10.1146/annurev.polisci.8.082103.104840","issue":"1","note":"_eprint: https://doi.org/10.1146/annurev.polisci.8.082103.104840","page":"203-225","source":"Annual Reviews","title":"The Political Evolution of Principal-Agent Models","volume":"8","author":[{"family":"Miller","given":"Gary J."}],"issued":{"date-parts":[["2005"]]}},"label":"page","suppress-author":true}],"schema":"https://github.com/citation-style-language/schema/raw/master/csl-citation.json"} </w:instrText>
      </w:r>
      <w:r w:rsidR="008A29E9">
        <w:fldChar w:fldCharType="separate"/>
      </w:r>
      <w:r w:rsidR="008A29E9" w:rsidRPr="008A29E9">
        <w:rPr>
          <w:rFonts w:cs="Calibri"/>
        </w:rPr>
        <w:t>(2005)</w:t>
      </w:r>
      <w:r w:rsidR="008A29E9">
        <w:fldChar w:fldCharType="end"/>
      </w:r>
      <w:r w:rsidR="00B7279E">
        <w:t>.</w:t>
      </w:r>
    </w:p>
  </w:footnote>
  <w:footnote w:id="101">
    <w:p w14:paraId="42AAE569" w14:textId="527857D5" w:rsidR="00302D2C" w:rsidRDefault="00302D2C">
      <w:pPr>
        <w:pStyle w:val="FootnoteText"/>
      </w:pPr>
      <w:r w:rsidRPr="009006D7">
        <w:rPr>
          <w:rStyle w:val="FootnoteReference"/>
        </w:rPr>
        <w:footnoteRef/>
      </w:r>
      <w:r>
        <w:t xml:space="preserve"> </w:t>
      </w:r>
      <w:r>
        <w:tab/>
        <w:t xml:space="preserve">Under the </w:t>
      </w:r>
      <w:r w:rsidR="009A4FE8">
        <w:t xml:space="preserve">New Zealand </w:t>
      </w:r>
      <w:r>
        <w:t>Public Service and Public Finance Acts, for example, there</w:t>
      </w:r>
      <w:r w:rsidR="00CB7BDF">
        <w:t xml:space="preserve"> is a</w:t>
      </w:r>
      <w:r>
        <w:t xml:space="preserve"> </w:t>
      </w:r>
      <w:r w:rsidR="009A4FE8">
        <w:t xml:space="preserve">direct line of accountability from public servants to chief executives to ministers and then to parliament. </w:t>
      </w:r>
      <w:r w:rsidR="0039568F">
        <w:t>Each party in this chain of accountability has legal power over those below them.</w:t>
      </w:r>
      <w:r w:rsidR="00FC3B27">
        <w:t xml:space="preserve"> </w:t>
      </w:r>
    </w:p>
  </w:footnote>
  <w:footnote w:id="102">
    <w:p w14:paraId="34C2DFFF" w14:textId="77777777" w:rsidR="00CF7765" w:rsidRDefault="00CF7765" w:rsidP="00CF7765">
      <w:pPr>
        <w:pStyle w:val="FootnoteText"/>
      </w:pPr>
      <w:r w:rsidRPr="009006D7">
        <w:rPr>
          <w:rStyle w:val="FootnoteReference"/>
        </w:rPr>
        <w:footnoteRef/>
      </w:r>
      <w:r>
        <w:t xml:space="preserve"> </w:t>
      </w:r>
      <w:r>
        <w:tab/>
        <w:t xml:space="preserve">This use of the word ‘constitutional’ may seem odd to New Zealand readers. It comes mainly from authors from the United States, who are used to strict </w:t>
      </w:r>
      <w:r w:rsidRPr="00C73BBD">
        <w:t>constitutional separation of powers,</w:t>
      </w:r>
      <w:r>
        <w:t xml:space="preserve"> where legislatures have independent power of oversight over the executive. The term has, however, become ubiquitous in the literature and thus we will continue to use it in this report.</w:t>
      </w:r>
    </w:p>
  </w:footnote>
  <w:footnote w:id="103">
    <w:p w14:paraId="25D9C0F9" w14:textId="44274C87" w:rsidR="0064131F" w:rsidRDefault="0064131F">
      <w:pPr>
        <w:pStyle w:val="FootnoteText"/>
      </w:pPr>
      <w:r w:rsidRPr="009006D7">
        <w:rPr>
          <w:rStyle w:val="FootnoteReference"/>
        </w:rPr>
        <w:footnoteRef/>
      </w:r>
      <w:r>
        <w:t xml:space="preserve"> </w:t>
      </w:r>
      <w:r>
        <w:tab/>
        <w:t xml:space="preserve">We discuss the New Zealand version of this chain of delegation in </w:t>
      </w:r>
      <w:r w:rsidR="001C5370">
        <w:t>s</w:t>
      </w:r>
      <w:r>
        <w:t xml:space="preserve">ection </w:t>
      </w:r>
      <w:r>
        <w:fldChar w:fldCharType="begin"/>
      </w:r>
      <w:r>
        <w:instrText xml:space="preserve"> REF _Ref124691898 \r \h </w:instrText>
      </w:r>
      <w:r>
        <w:fldChar w:fldCharType="separate"/>
      </w:r>
      <w:r w:rsidR="00E06351">
        <w:t>3.9.1</w:t>
      </w:r>
      <w:r>
        <w:fldChar w:fldCharType="end"/>
      </w:r>
      <w:r>
        <w:t xml:space="preserve"> on page </w:t>
      </w:r>
      <w:r>
        <w:fldChar w:fldCharType="begin"/>
      </w:r>
      <w:r>
        <w:instrText xml:space="preserve"> PAGEREF _Ref124691898 \h </w:instrText>
      </w:r>
      <w:r>
        <w:fldChar w:fldCharType="separate"/>
      </w:r>
      <w:r w:rsidR="00B64FC6">
        <w:rPr>
          <w:noProof/>
        </w:rPr>
        <w:t>67</w:t>
      </w:r>
      <w:r>
        <w:fldChar w:fldCharType="end"/>
      </w:r>
      <w:r>
        <w:t>.</w:t>
      </w:r>
    </w:p>
  </w:footnote>
  <w:footnote w:id="104">
    <w:p w14:paraId="4A2EAB38" w14:textId="77777777" w:rsidR="005542BB" w:rsidRDefault="005542BB" w:rsidP="005542BB">
      <w:pPr>
        <w:pStyle w:val="FootnoteText"/>
      </w:pPr>
      <w:r w:rsidRPr="009006D7">
        <w:rPr>
          <w:rStyle w:val="FootnoteReference"/>
        </w:rPr>
        <w:footnoteRef/>
      </w:r>
      <w:r>
        <w:t xml:space="preserve"> </w:t>
      </w:r>
      <w:r>
        <w:tab/>
        <w:t xml:space="preserve">Louis Brandeis was an American lawyer and social reformer. He was a justice of the US Supreme Court from </w:t>
      </w:r>
      <w:r w:rsidRPr="004F1A16">
        <w:t>1916 to 1939</w:t>
      </w:r>
      <w:r>
        <w:t>.</w:t>
      </w:r>
    </w:p>
  </w:footnote>
  <w:footnote w:id="105">
    <w:p w14:paraId="6EFB5A34" w14:textId="6A466B49" w:rsidR="00997437" w:rsidRPr="004E01F7" w:rsidRDefault="00997437" w:rsidP="00997437">
      <w:pPr>
        <w:pStyle w:val="FootnoteText"/>
      </w:pPr>
      <w:r w:rsidRPr="009006D7">
        <w:rPr>
          <w:rStyle w:val="FootnoteReference"/>
        </w:rPr>
        <w:footnoteRef/>
      </w:r>
      <w:r w:rsidRPr="004E01F7">
        <w:t xml:space="preserve"> </w:t>
      </w:r>
      <w:r w:rsidRPr="004E01F7">
        <w:tab/>
        <w:t xml:space="preserve">The idea of ‘evidence-based’ social policy grew out of the use of randomised controlled trials in medicine and pharmacology to demonstrate the effectiveness of new interventions </w:t>
      </w:r>
      <w:r w:rsidRPr="004E01F7">
        <w:fldChar w:fldCharType="begin"/>
      </w:r>
      <w:r w:rsidR="009B0EC4">
        <w:instrText xml:space="preserve"> ADDIN ZOTERO_ITEM CSL_CITATION {"citationID":"MCW7UyV1","properties":{"formattedCitation":"(Baron 2018)","plainCitation":"(Baron 2018)","noteIndex":104},"citationItems":[{"id":15012,"uris":["http://zotero.org/groups/4623831/items/TGRHKF6P"],"itemData":{"id":15012,"type":"article-journal","abstract":"This article provides a brief history of evidence-based policy, which it defines as encompassing (1) the application of rigorous research methods, particularly randomized controlled trials (RCTs), to build credible evidence about “what works” to improve the human condition; and (2) the use of such evidence to focus public and private resources on effective interventions. Evidence-based policy emerged first in medicine after World War II, and has made tremendous contributions to human health. In social policy, a few RCTs were conducted before 1980, but the number grew rapidly in U.S. welfare and employment programs during the 1980s and 1990s and had an important impact on government policy. Since 2000, evidence-based policy has seen a major expansion in other social policy areas, including education and international development assistance. A recent milestone is the U.S. enactment of “tiered evidence” social programs in which rigorous evidence is the defining principle in awarding government funding for interventions.","container-title":"The ANNALS of the American Academy of Political and Social Science","DOI":"10.1177/0002716218763128","ISSN":"0002-7162","issue":"1","journalAbbreviation":"The ANNALS of the American Academy of Political and Social Science","language":"en","note":"publisher: SAGE Publications Inc","page":"40-50","source":"SAGE Journals","title":"A Brief History of Evidence-Based Policy","volume":"678","author":[{"family":"Baron","given":"Jon"}],"issued":{"date-parts":[["2018",7,1]]}}}],"schema":"https://github.com/citation-style-language/schema/raw/master/csl-citation.json"} </w:instrText>
      </w:r>
      <w:r w:rsidRPr="004E01F7">
        <w:fldChar w:fldCharType="separate"/>
      </w:r>
      <w:r w:rsidRPr="004E01F7">
        <w:rPr>
          <w:rFonts w:cs="Calibri"/>
        </w:rPr>
        <w:t>(Baron 2018)</w:t>
      </w:r>
      <w:r w:rsidRPr="004E01F7">
        <w:fldChar w:fldCharType="end"/>
      </w:r>
      <w:r w:rsidRPr="004E01F7">
        <w:t xml:space="preserve">. The UK Government have been particularly active users of evidence-based policy approaches. In 2013, the UK Cabinet Office established the What Works Network to share experience and expertise </w:t>
      </w:r>
      <w:r w:rsidRPr="004E01F7">
        <w:fldChar w:fldCharType="begin"/>
      </w:r>
      <w:r w:rsidR="009B0EC4">
        <w:instrText xml:space="preserve"> ADDIN ZOTERO_ITEM CSL_CITATION {"citationID":"5nIvpHD7","properties":{"formattedCitation":"(UK Cabinet Office 2022; What Works Network n.d.)","plainCitation":"(UK Cabinet Office 2022; What Works Network n.d.)","noteIndex":104},"citationItems":[{"id":15015,"uris":["http://zotero.org/groups/4623831/items/LQERB8UA"],"itemData":{"id":15015,"type":"webpage","abstract":"The What Works Network uses evidence to improve the design and delivery of public services.","container-title":"GOV.UK","language":"en","title":"What Works Network","URL":"https://www.gov.uk/guidance/what-works-network","author":[{"family":"UK Cabinet Office","given":""}],"accessed":{"date-parts":[["2022",6,15]]},"issued":{"date-parts":[["2022"]]}},"label":"page"},{"id":15017,"uris":["http://zotero.org/groups/4623831/items/V4RKCRUC"],"itemData":{"id":15017,"type":"post-weblog","abstract":"The What Works Network was launched by the UK Government in 2013 to ensure that the best available evidence on ‘what works’ is available to the people who make decisions about public services. It brings together a network of independent What Works Centres that assess the existing evidence base in specific policy areas and offer…","container-title":"What Works Network","language":"en-US","title":"About WWN","URL":"https://www.whatworksnetwork.org.uk/about-wwn/","author":[{"family":"What Works Network","given":""}],"accessed":{"date-parts":[["2022",6,15]]}},"label":"page"}],"schema":"https://github.com/citation-style-language/schema/raw/master/csl-citation.json"} </w:instrText>
      </w:r>
      <w:r w:rsidRPr="004E01F7">
        <w:fldChar w:fldCharType="separate"/>
      </w:r>
      <w:r w:rsidRPr="004E01F7">
        <w:rPr>
          <w:rFonts w:cs="Calibri"/>
        </w:rPr>
        <w:t>(UK Cabinet Office 2022; What Works Network n.d.)</w:t>
      </w:r>
      <w:r w:rsidRPr="004E01F7">
        <w:fldChar w:fldCharType="end"/>
      </w:r>
      <w:r w:rsidRPr="004E01F7">
        <w:t xml:space="preserve">. For a local network, see </w:t>
      </w:r>
      <w:hyperlink r:id="rId3" w:history="1">
        <w:r w:rsidRPr="004E01F7">
          <w:rPr>
            <w:rStyle w:val="Hyperlink"/>
          </w:rPr>
          <w:t>www.whatworks.org.nz</w:t>
        </w:r>
      </w:hyperlink>
      <w:r w:rsidRPr="004E01F7">
        <w:t>.</w:t>
      </w:r>
    </w:p>
  </w:footnote>
  <w:footnote w:id="106">
    <w:p w14:paraId="5127C90B" w14:textId="38B0234F" w:rsidR="00F35E30" w:rsidRDefault="00F35E30" w:rsidP="00F35E30">
      <w:pPr>
        <w:pStyle w:val="FootnoteText"/>
      </w:pPr>
      <w:r w:rsidRPr="009006D7">
        <w:rPr>
          <w:rStyle w:val="FootnoteReference"/>
        </w:rPr>
        <w:footnoteRef/>
      </w:r>
      <w:r>
        <w:t xml:space="preserve"> </w:t>
      </w:r>
      <w:r>
        <w:tab/>
        <w:t>Much of this literature, which is also at times discussing a ‘democratic deficit’, emanates from discussion</w:t>
      </w:r>
      <w:r w:rsidR="0033074D">
        <w:t>s</w:t>
      </w:r>
      <w:r>
        <w:t xml:space="preserve"> around transnational organisations, especially the European Union. See, for example, Nye </w:t>
      </w:r>
      <w:r>
        <w:fldChar w:fldCharType="begin"/>
      </w:r>
      <w:r w:rsidR="009B0EC4">
        <w:instrText xml:space="preserve"> ADDIN ZOTERO_ITEM CSL_CITATION {"citationID":"U8d3IcDv","properties":{"formattedCitation":"(2001)","plainCitation":"(2001)","noteIndex":105},"citationItems":[{"id":18496,"uris":["http://zotero.org/groups/4801058/items/EVR9GBR5"],"itemData":{"id":18496,"type":"article-journal","abstract":"From Seattle to Québec City, antiglobalization protesters have complained that international institutions are illegitimate because they are undemocratic. To fight this perception, global organizations need to increase transparency, improve accountability, and think harder about norms for global governance.","container-title":"Foreign Affairs","DOI":"10.2307/20050221","ISSN":"0015-7120","issue":"4","note":"publisher: Council on Foreign Relations","page":"2-6","source":"JSTOR","title":"Globalization's Democratic Deficit: How to Make International Institutions More Accountable","title-short":"Globalization's Democratic Deficit","volume":"80","author":[{"family":"Nye","given":"Joseph S."}],"issued":{"date-parts":[["2001"]]}},"label":"page","suppress-author":true}],"schema":"https://github.com/citation-style-language/schema/raw/master/csl-citation.json"} </w:instrText>
      </w:r>
      <w:r>
        <w:fldChar w:fldCharType="separate"/>
      </w:r>
      <w:r w:rsidRPr="00A1368B">
        <w:rPr>
          <w:rFonts w:cs="Calibri"/>
        </w:rPr>
        <w:t>(2001)</w:t>
      </w:r>
      <w:r>
        <w:fldChar w:fldCharType="end"/>
      </w:r>
      <w:r w:rsidR="0033074D">
        <w:t xml:space="preserve"> and</w:t>
      </w:r>
      <w:r>
        <w:t xml:space="preserve"> </w:t>
      </w:r>
      <w:r w:rsidRPr="006722A4">
        <w:t>Erman</w:t>
      </w:r>
      <w:r>
        <w:t xml:space="preserve"> </w:t>
      </w:r>
      <w:r>
        <w:fldChar w:fldCharType="begin"/>
      </w:r>
      <w:r w:rsidR="009B0EC4">
        <w:instrText xml:space="preserve"> ADDIN ZOTERO_ITEM CSL_CITATION {"citationID":"efqnKbSr","properties":{"formattedCitation":"(2013)","plainCitation":"(2013)","noteIndex":105},"citationItems":[{"id":18500,"uris":["http://zotero.org/groups/4801058/items/72EYRB3W"],"itemData":{"id":18500,"type":"article-journal","abstract":"In recent years, we have witnessed deliberative democracy take a ?civil society turn? to address the democratic deficit of global governance. In light of the present circumstances of world politics, it is argued that civil society offers a rich soil for reformulating democracy globally. This article engages in this debate with particular focus on democratic agency. It investigates the notion of democratic agency built into this deliberative civil society view with regard to its democratic qualities. This is done by problematizing a common feature underlying this view, here called the ?separability premise?, which presumes that it is possible to define democracy as two or more separate core democratic qualities or mechanisms ? most importantly, inclusive participation, accountability, authorization and deliberation ? and that democracy increases the more one or more of these are strengthened. The article defends the thesis that the proposed political subject is not equipped to be a democratic agent insofar as the deliberative civil society view does not fulfil two basic requirements for an arrangement to qualify as minimally democratic, namely, political equality and political bindingness. The article concludes that insofar as we wish to hold on to a deliberative conception of democracy, something along the lines of Habermas?s two-track view is still our best bet for accommodating these two conditions, even in a transnational context, since it is able to avoid the problems connected with the separability premise.","container-title":"European Journal of International Relations","DOI":"10.1177/1354066111426622","ISSN":"1354-0661","issue":"4","language":"en","note":"publisher: SAGE Publications Ltd","page":"847-868","source":"SAGE Journals","title":"In search of democratic agency in deliberative governance","volume":"19","author":[{"family":"Erman","given":"Eva"}],"issued":{"date-parts":[["2013",12,1]]}},"label":"page","suppress-author":true}],"schema":"https://github.com/citation-style-language/schema/raw/master/csl-citation.json"} </w:instrText>
      </w:r>
      <w:r>
        <w:fldChar w:fldCharType="separate"/>
      </w:r>
      <w:r w:rsidRPr="006722A4">
        <w:rPr>
          <w:rFonts w:cs="Calibri"/>
        </w:rPr>
        <w:t>(2013)</w:t>
      </w:r>
      <w:r>
        <w:fldChar w:fldCharType="end"/>
      </w:r>
      <w:r w:rsidR="004E0D0E">
        <w:t>, and</w:t>
      </w:r>
      <w:r w:rsidRPr="00652A0C">
        <w:t xml:space="preserve"> </w:t>
      </w:r>
      <w:r w:rsidR="006C06BB">
        <w:t xml:space="preserve">Nam-Kook </w:t>
      </w:r>
      <w:r>
        <w:t xml:space="preserve">Kim and </w:t>
      </w:r>
      <w:r w:rsidR="006C06BB">
        <w:t>Sa</w:t>
      </w:r>
      <w:r w:rsidR="001B3DB6">
        <w:t>-</w:t>
      </w:r>
      <w:r w:rsidR="006C06BB">
        <w:t xml:space="preserve">Rang </w:t>
      </w:r>
      <w:r>
        <w:t xml:space="preserve">Jung, </w:t>
      </w:r>
      <w:r w:rsidR="004E0D0E">
        <w:t>who</w:t>
      </w:r>
      <w:r>
        <w:t xml:space="preserve"> discuss </w:t>
      </w:r>
      <w:r w:rsidR="007E6076">
        <w:t>“</w:t>
      </w:r>
      <w:r w:rsidRPr="00652A0C">
        <w:t>a lack of vertical accountability between European political elites and</w:t>
      </w:r>
      <w:r>
        <w:t xml:space="preserve"> voluntarily participating European citizens</w:t>
      </w:r>
      <w:r w:rsidR="007E6076">
        <w:t>”</w:t>
      </w:r>
      <w:r>
        <w:t xml:space="preserve"> </w:t>
      </w:r>
      <w:r>
        <w:fldChar w:fldCharType="begin"/>
      </w:r>
      <w:r w:rsidR="009B0EC4">
        <w:instrText xml:space="preserve"> ADDIN ZOTERO_ITEM CSL_CITATION {"citationID":"OujlhNza","properties":{"formattedCitation":"(Kim and Jung 2010, 53)","plainCitation":"(Kim and Jung 2010, 53)","noteIndex":105},"citationItems":[{"id":18498,"uris":["http://zotero.org/groups/4801058/items/C85FELG2"],"itemData":{"id":18498,"type":"article-journal","abstract":"With the implementation of the Lisbon Treaty in December 2009, it has become more feasible to envisage a federal Europe through the establishment of an 'ever closer union' as a political entity. Although the recent EU appears more like confederal or intergovernmental than federal, the Lisbon Treaty makes it possible to postulate that the future integration process of the EU would be its advance toward a federal state. On the verge of ramification toward either a federal Europe or a durable confederation, the EU faces a critical agenda of democratic deficit, i. e., a lack of vertical accountability between European political elites and voluntarily participating European citizens. The current status of the EU is obviously unique in its structure of multi level governance. Sometimes this structure is evaluated positively, but the study of former confederations also indicates that a confederate system is not durable, and rather unstable and impermanent. If the EU wants to move in a federal direction beyond confederation, it should answer the question of democratic deficit, that is, how to find European citizens who are loyal enough to sustain an independent political community. This paper discusses a possible route for the EU after the Lisbon Treaty, especially with respect to issues related to the democratic deficit and to the necessity of devising a European constitution.","container-title":"Journal of International and Area Studies","ISSN":"1226-8550","issue":"2","note":"publisher: Institute of International Affairs, Graduate School of International Studies, Seoul National University","page":"53-70","source":"JSTOR","title":"Democratic Deficit, European Constitution, and a Vision of the Federal Europe: The EU's Path after the Lisbon Treaty","title-short":"Democratic Deficit, European Constitution, and a Vision of the Federal Europe","volume":"17","author":[{"family":"Kim","given":"Nam-Kook"},{"family":"Jung","given":"Sa-Rang"}],"issued":{"date-parts":[["2010"]]}},"locator":"53","label":"page"}],"schema":"https://github.com/citation-style-language/schema/raw/master/csl-citation.json"} </w:instrText>
      </w:r>
      <w:r>
        <w:fldChar w:fldCharType="separate"/>
      </w:r>
      <w:r w:rsidRPr="00FD0005">
        <w:rPr>
          <w:rFonts w:cs="Calibri"/>
        </w:rPr>
        <w:t>(Kim and Jung 2010, 53)</w:t>
      </w:r>
      <w:r>
        <w:fldChar w:fldCharType="end"/>
      </w:r>
      <w:r w:rsidR="007E6076">
        <w:t>.</w:t>
      </w:r>
    </w:p>
  </w:footnote>
  <w:footnote w:id="107">
    <w:p w14:paraId="62E53007" w14:textId="20CCBBD6" w:rsidR="00407660" w:rsidRDefault="00407660" w:rsidP="00407660">
      <w:pPr>
        <w:pStyle w:val="FootnoteText"/>
      </w:pPr>
      <w:r w:rsidRPr="009006D7">
        <w:rPr>
          <w:rStyle w:val="FootnoteReference"/>
        </w:rPr>
        <w:footnoteRef/>
      </w:r>
      <w:r>
        <w:t xml:space="preserve"> </w:t>
      </w:r>
      <w:r>
        <w:tab/>
        <w:t>For example, a focus on reducing numbers of children admitted to hospital can have perverse consequences. While well intentioned (hospital care can be traumatic for young children and expensive to provide), treating medical conditions at the patient’s home can lead to worse outcomes, especially if the home environment (e.g., dampness and overcrowding) is what led to the condition being treated in the first place. We thank Dr Ann Sears of the SASWB for this example.</w:t>
      </w:r>
      <w:r w:rsidR="00FC3B27">
        <w:t xml:space="preserve"> </w:t>
      </w:r>
    </w:p>
  </w:footnote>
  <w:footnote w:id="108">
    <w:p w14:paraId="414BB189" w14:textId="273EFE77" w:rsidR="00F60891" w:rsidRDefault="00F60891">
      <w:pPr>
        <w:pStyle w:val="FootnoteText"/>
      </w:pPr>
      <w:r w:rsidRPr="009006D7">
        <w:rPr>
          <w:rStyle w:val="FootnoteReference"/>
        </w:rPr>
        <w:footnoteRef/>
      </w:r>
      <w:r>
        <w:t xml:space="preserve"> </w:t>
      </w:r>
      <w:r>
        <w:tab/>
      </w:r>
      <w:r w:rsidR="00D85749">
        <w:t>‘</w:t>
      </w:r>
      <w:r>
        <w:t xml:space="preserve">Too much’ learning accountability </w:t>
      </w:r>
      <w:r w:rsidR="00423F1E">
        <w:t xml:space="preserve">can result, for example, in </w:t>
      </w:r>
      <w:r w:rsidR="00F4457A">
        <w:t>‘</w:t>
      </w:r>
      <w:r w:rsidR="00423F1E">
        <w:t>paralysis by analysis</w:t>
      </w:r>
      <w:r w:rsidR="00F4457A">
        <w:t>’</w:t>
      </w:r>
      <w:r w:rsidR="00D85749">
        <w:t xml:space="preserve"> where excessive resources are applied to </w:t>
      </w:r>
      <w:r w:rsidR="00845EF6">
        <w:t xml:space="preserve">minute, frequent </w:t>
      </w:r>
      <w:r w:rsidR="00D85749">
        <w:t>review</w:t>
      </w:r>
      <w:r w:rsidR="00845EF6">
        <w:t>s</w:t>
      </w:r>
      <w:r w:rsidR="00D85749">
        <w:t xml:space="preserve"> past performance</w:t>
      </w:r>
      <w:r w:rsidR="00845EF6">
        <w:t>, rather than distilling policy-relevant conclusions quickly and efficiently.</w:t>
      </w:r>
    </w:p>
  </w:footnote>
  <w:footnote w:id="109">
    <w:p w14:paraId="13E3EB10" w14:textId="35504A04" w:rsidR="005D5905" w:rsidRDefault="005D5905">
      <w:pPr>
        <w:pStyle w:val="FootnoteText"/>
      </w:pPr>
      <w:r w:rsidRPr="009006D7">
        <w:rPr>
          <w:rStyle w:val="FootnoteReference"/>
        </w:rPr>
        <w:footnoteRef/>
      </w:r>
      <w:r>
        <w:t xml:space="preserve"> </w:t>
      </w:r>
      <w:r>
        <w:tab/>
      </w:r>
      <w:proofErr w:type="spellStart"/>
      <w:r>
        <w:t>Bovens</w:t>
      </w:r>
      <w:proofErr w:type="spellEnd"/>
      <w:r>
        <w:t xml:space="preserve"> quotes Mark </w:t>
      </w:r>
      <w:proofErr w:type="spellStart"/>
      <w:r>
        <w:t>Z</w:t>
      </w:r>
      <w:r w:rsidR="00A2615E">
        <w:t>e</w:t>
      </w:r>
      <w:r>
        <w:t>gans</w:t>
      </w:r>
      <w:proofErr w:type="spellEnd"/>
      <w:r w:rsidR="00A2615E">
        <w:t>’</w:t>
      </w:r>
      <w:r>
        <w:t xml:space="preserve"> observation that “rule-obsessed organisations turn</w:t>
      </w:r>
      <w:r w:rsidR="00A2615E">
        <w:t xml:space="preserve"> the timid into cowards and the bold into outlaws” </w:t>
      </w:r>
      <w:r w:rsidR="00A2615E">
        <w:fldChar w:fldCharType="begin"/>
      </w:r>
      <w:r w:rsidR="009B0EC4">
        <w:instrText xml:space="preserve"> ADDIN ZOTERO_ITEM CSL_CITATION {"citationID":"XqjwSFJo","properties":{"formattedCitation":"(Bovens 2007b, 194)","plainCitation":"(Bovens 2007b, 194)","noteIndex":108},"citationItems":[{"id":16002,"uris":["http://zotero.org/groups/4623831/items/YWYIR55T"],"itemData":{"id":16002,"type":"chapter","abstract":"Public accountability is the hallmark of modern democratic governance. Democracy remains a paper procedure if those in power cannot be held accountable in public for their acts and omissions, for their decisions, their policies, and their expenditures. Public accountability, as an institution, therefore, is the complement of public management. As a concept, however, “public accountability” is rather elusive. It is one of those evocative political words that can be used to patch up a rambling argument, to evoke an image of trustworthiness, fidelity, and justice, or to hold critics at bay. Historically, the concept of accountability is closely related to accounting. In fact, it literally comes from bookkeeping. Nowadays, accountability has moved far beyond its bookkeeping origins and has become a symbol for good governance, both in the public and in the private sector.","container-title":"The Oxford Handbook of Public Management","ISBN":"978-0-19-922644-3","note":"DOI: 10.1093/oxfordhb/9780199226443.003.0009","page":"0","publisher":"Oxford University Press","source":"Silverchair","title":"Public Accountability","URL":"https://doi.org/10.1093/oxfordhb/9780199226443.003.0009","author":[{"family":"Bovens","given":"Mark"}],"editor":[{"family":"Ferlie","given":"Ewan"},{"family":"Lynn","given":"Laurence E."},{"family":"Pollitt","given":"Christopher"}],"accessed":{"date-parts":[["2022",9,27]]},"issued":{"date-parts":[["2007",6,21]]}},"locator":"194","label":"page"}],"schema":"https://github.com/citation-style-language/schema/raw/master/csl-citation.json"} </w:instrText>
      </w:r>
      <w:r w:rsidR="00A2615E">
        <w:fldChar w:fldCharType="separate"/>
      </w:r>
      <w:r w:rsidR="00A2615E" w:rsidRPr="00A2615E">
        <w:rPr>
          <w:rFonts w:cs="Calibri"/>
        </w:rPr>
        <w:t>(</w:t>
      </w:r>
      <w:proofErr w:type="spellStart"/>
      <w:r w:rsidR="00A2615E" w:rsidRPr="00A2615E">
        <w:rPr>
          <w:rFonts w:cs="Calibri"/>
        </w:rPr>
        <w:t>Bovens</w:t>
      </w:r>
      <w:proofErr w:type="spellEnd"/>
      <w:r w:rsidR="00A2615E" w:rsidRPr="00A2615E">
        <w:rPr>
          <w:rFonts w:cs="Calibri"/>
        </w:rPr>
        <w:t xml:space="preserve"> 2007b, 194)</w:t>
      </w:r>
      <w:r w:rsidR="00A2615E">
        <w:fldChar w:fldCharType="end"/>
      </w:r>
      <w:r w:rsidR="00697DD0">
        <w:t>.</w:t>
      </w:r>
    </w:p>
  </w:footnote>
  <w:footnote w:id="110">
    <w:p w14:paraId="2F0F336F" w14:textId="57FAED38" w:rsidR="00135249" w:rsidRDefault="00135249">
      <w:pPr>
        <w:pStyle w:val="FootnoteText"/>
      </w:pPr>
      <w:r w:rsidRPr="009006D7">
        <w:rPr>
          <w:rStyle w:val="FootnoteReference"/>
        </w:rPr>
        <w:footnoteRef/>
      </w:r>
      <w:r>
        <w:t xml:space="preserve"> </w:t>
      </w:r>
      <w:r>
        <w:tab/>
        <w:t xml:space="preserve">Proceduralism </w:t>
      </w:r>
      <w:r w:rsidR="004F6F51">
        <w:t>can result in people seeking to exploit loopholes to evade responsi</w:t>
      </w:r>
      <w:r w:rsidR="00D703AE">
        <w:t>bility</w:t>
      </w:r>
      <w:r w:rsidR="004F6F51">
        <w:t xml:space="preserve"> for their behaviour. </w:t>
      </w:r>
    </w:p>
  </w:footnote>
  <w:footnote w:id="111">
    <w:p w14:paraId="09CBD69A" w14:textId="7BA7EB5A" w:rsidR="004724AB" w:rsidRDefault="004724AB" w:rsidP="004724AB">
      <w:pPr>
        <w:pStyle w:val="FootnoteText"/>
      </w:pPr>
      <w:r w:rsidRPr="009006D7">
        <w:rPr>
          <w:rStyle w:val="FootnoteReference"/>
        </w:rPr>
        <w:footnoteRef/>
      </w:r>
      <w:r>
        <w:t xml:space="preserve"> </w:t>
      </w:r>
      <w:r>
        <w:tab/>
        <w:t xml:space="preserve">See, for example, the sort of analysis the World Bank does on government audit capability in developing countries </w:t>
      </w:r>
      <w:r>
        <w:fldChar w:fldCharType="begin"/>
      </w:r>
      <w:r w:rsidR="009B0EC4">
        <w:instrText xml:space="preserve"> ADDIN ZOTERO_ITEM CSL_CITATION {"citationID":"nmmFztzd","properties":{"formattedCitation":"(World Bank 2021)","plainCitation":"(World Bank 2021)","noteIndex":110},"citationItems":[{"id":18575,"uris":["http://zotero.org/groups/4801058/items/UDUKWDZJ"],"itemData":{"id":18575,"type":"report","collection-title":"Equitable Growth, Finance and Institutions Insight","event-place":"Washington","publisher":"The World Bank","publisher-place":"Washington","title":"Supreme Audit Institutions Independence Index 2021 Global Synthesis Report","author":[{"family":"World Bank","given":""}],"issued":{"date-parts":[["2021"]]}}}],"schema":"https://github.com/citation-style-language/schema/raw/master/csl-citation.json"} </w:instrText>
      </w:r>
      <w:r>
        <w:fldChar w:fldCharType="separate"/>
      </w:r>
      <w:r w:rsidRPr="00945C75">
        <w:rPr>
          <w:rFonts w:cs="Calibri"/>
        </w:rPr>
        <w:t>(World Bank 2021)</w:t>
      </w:r>
      <w:r>
        <w:fldChar w:fldCharType="end"/>
      </w:r>
      <w:r w:rsidR="00584D7A">
        <w:t>.</w:t>
      </w:r>
      <w:r w:rsidR="00FC3B27">
        <w:t xml:space="preserve"> </w:t>
      </w:r>
    </w:p>
  </w:footnote>
  <w:footnote w:id="112">
    <w:p w14:paraId="210F192E" w14:textId="47E8A1FD" w:rsidR="0061367F" w:rsidRDefault="0061367F">
      <w:pPr>
        <w:pStyle w:val="FootnoteText"/>
      </w:pPr>
      <w:r w:rsidRPr="009006D7">
        <w:rPr>
          <w:rStyle w:val="FootnoteReference"/>
        </w:rPr>
        <w:footnoteRef/>
      </w:r>
      <w:r>
        <w:t xml:space="preserve"> </w:t>
      </w:r>
      <w:r>
        <w:tab/>
        <w:t xml:space="preserve">For example, Section 15A of the Public Finance Act exempts security agencies from the requirement to </w:t>
      </w:r>
      <w:r w:rsidR="00CF24EC">
        <w:t>publish certain performance information, as this could endanger national security.</w:t>
      </w:r>
    </w:p>
  </w:footnote>
  <w:footnote w:id="113">
    <w:p w14:paraId="0B0C424F" w14:textId="497EC6CA" w:rsidR="00FC5F5F" w:rsidRDefault="00FC5F5F">
      <w:pPr>
        <w:pStyle w:val="FootnoteText"/>
      </w:pPr>
      <w:r w:rsidRPr="009006D7">
        <w:rPr>
          <w:rStyle w:val="FootnoteReference"/>
        </w:rPr>
        <w:footnoteRef/>
      </w:r>
      <w:r>
        <w:t xml:space="preserve"> </w:t>
      </w:r>
      <w:r w:rsidR="00FE0732">
        <w:tab/>
        <w:t>Accountability mechanisms are provide</w:t>
      </w:r>
      <w:r w:rsidR="00473DB1">
        <w:t>d</w:t>
      </w:r>
      <w:r w:rsidR="00FE0732">
        <w:t xml:space="preserve"> both in Parliament’s Standing Orders and separate Acts of Parliament.</w:t>
      </w:r>
    </w:p>
  </w:footnote>
  <w:footnote w:id="114">
    <w:p w14:paraId="2728C678" w14:textId="788D2E1B" w:rsidR="00225D27" w:rsidRPr="00E74C22" w:rsidRDefault="00225D27" w:rsidP="00225D27">
      <w:pPr>
        <w:pStyle w:val="FootnoteText"/>
      </w:pPr>
      <w:r w:rsidRPr="009006D7">
        <w:rPr>
          <w:rStyle w:val="FootnoteReference"/>
        </w:rPr>
        <w:footnoteRef/>
      </w:r>
      <w:r w:rsidRPr="00E74C22">
        <w:t xml:space="preserve"> </w:t>
      </w:r>
      <w:r w:rsidRPr="00E74C22">
        <w:tab/>
        <w:t xml:space="preserve">Even here, there are gaps. The young, and unborn future generations have no vote and voter turn-out, especially in areas of low socio-economic status, is declining in New Zealand </w:t>
      </w:r>
      <w:r w:rsidRPr="00E74C22">
        <w:fldChar w:fldCharType="begin"/>
      </w:r>
      <w:r w:rsidR="009B0EC4">
        <w:instrText xml:space="preserve"> ADDIN ZOTERO_ITEM CSL_CITATION {"citationID":"Be4r9VXZ","properties":{"formattedCitation":"(Deloitte 2019)","plainCitation":"(Deloitte 2019)","noteIndex":113},"citationItems":[{"id":18442,"uris":["http://zotero.org/groups/4801058/items/YMFSVVE3"],"itemData":{"id":18442,"type":"webpage","abstract":"Despite New Zealand scoring top marks on political participation, those impacted by inequities in our society are less likely to engage in things like voting and consultation.","container-title":"Deloitte New Zealand","language":"en","title":"State of the State 2019: Civic engagement","title-short":"State of the State 2019","URL":"https://www2.deloitte.com/nz/en/pages/public-sector/articles/enhancing-voices-to-expand-choices.html","author":[{"family":"Deloitte","given":""}],"accessed":{"date-parts":[["2023",1,13]]},"issued":{"date-parts":[["2019"]]}}}],"schema":"https://github.com/citation-style-language/schema/raw/master/csl-citation.json"} </w:instrText>
      </w:r>
      <w:r w:rsidRPr="00E74C22">
        <w:fldChar w:fldCharType="separate"/>
      </w:r>
      <w:r w:rsidRPr="00E74C22">
        <w:rPr>
          <w:rFonts w:cs="Calibri"/>
        </w:rPr>
        <w:t>(Deloitte 2019)</w:t>
      </w:r>
      <w:r w:rsidRPr="00E74C22">
        <w:fldChar w:fldCharType="end"/>
      </w:r>
      <w:r w:rsidRPr="00E74C22">
        <w:t xml:space="preserve">. This is part of a world-wide trend in western liberal democracies </w:t>
      </w:r>
      <w:r w:rsidRPr="00E74C22">
        <w:fldChar w:fldCharType="begin"/>
      </w:r>
      <w:r w:rsidR="009B0EC4">
        <w:instrText xml:space="preserve"> ADDIN ZOTERO_ITEM CSL_CITATION {"citationID":"W9j9A87I","properties":{"formattedCitation":"(Pickering 2023, 1)","plainCitation":"(Pickering 2023, 1)","noteIndex":113},"citationItems":[{"id":18436,"uris":["http://zotero.org/groups/4801058/items/JXVSDSVR"],"itemData":{"id":18436,"type":"article-journal","abstract":"The decline of participation in traditional civic political processes, like voting in elections and writing to elected representatives, continues to deepen in contemporary liberal democracies. However, civics comprise only one avenue for political participation. Social movements also play a key role in influencing political affairs by exerting pressure on established institutions from outside rather than within. ‘Political activation’ is key to understanding and addressing non-participation in both movement and civic settings alike, yet activation in movement settings, like non-participation more generally, remains under-researched. This article seeks to address this imbalance by exploring ways of using political activation theory to synthesise research on the fields of political participation and non-participation, in both civic and social movement contexts. After reviewing the literature on activation, which favours political participation in civic settings, I then juxtapose this existing scholarship with a case study focused more on non-participation and social movements as they are understood by movement organisers in Aotearoa New Zealand. In so doing, I demonstrate how civics, social movements, participation and non-participation can be better understood together to advance scholarship on why people do or do not engage with politics.","container-title":"Sociology Compass","DOI":"10.1111/soc4.13022","ISSN":"1751-9020","issue":"1","language":"en","note":"_eprint: https://onlinelibrary.wiley.com/doi/pdf/10.1111/soc4.13022","page":"e13022","source":"Wiley Online Library","title":"Political activation and social movements: Addressing non-participation in Aotearoa New Zealand","title-short":"Political activation and social movements","volume":"17","author":[{"family":"Pickering","given":"Dani"}],"issued":{"date-parts":[["2023"]]}},"locator":"1","label":"page"}],"schema":"https://github.com/citation-style-language/schema/raw/master/csl-citation.json"} </w:instrText>
      </w:r>
      <w:r w:rsidRPr="00E74C22">
        <w:fldChar w:fldCharType="separate"/>
      </w:r>
      <w:r w:rsidRPr="00E74C22">
        <w:rPr>
          <w:rFonts w:cs="Calibri"/>
        </w:rPr>
        <w:t>(Pickering 2023, 1)</w:t>
      </w:r>
      <w:r w:rsidRPr="00E74C22">
        <w:fldChar w:fldCharType="end"/>
      </w:r>
      <w:r w:rsidRPr="00E74C22">
        <w:t>.</w:t>
      </w:r>
    </w:p>
  </w:footnote>
  <w:footnote w:id="115">
    <w:p w14:paraId="6252C275" w14:textId="289FC56A" w:rsidR="00225D27" w:rsidRPr="00E74C22" w:rsidRDefault="00225D27" w:rsidP="00225D27">
      <w:pPr>
        <w:pStyle w:val="FootnoteText"/>
      </w:pPr>
      <w:r w:rsidRPr="009006D7">
        <w:rPr>
          <w:rStyle w:val="FootnoteReference"/>
        </w:rPr>
        <w:footnoteRef/>
      </w:r>
      <w:r w:rsidRPr="00E74C22">
        <w:t xml:space="preserve"> </w:t>
      </w:r>
      <w:r w:rsidRPr="00E74C22">
        <w:tab/>
        <w:t xml:space="preserve">The </w:t>
      </w:r>
      <w:r w:rsidRPr="00E74C22">
        <w:rPr>
          <w:i/>
          <w:iCs/>
        </w:rPr>
        <w:t>Federalist Papers</w:t>
      </w:r>
      <w:r w:rsidRPr="00E74C22">
        <w:t xml:space="preserve"> are a series of essays written by the ‘founding fathers’ of the United States, Alexander Hamilton, James </w:t>
      </w:r>
      <w:proofErr w:type="gramStart"/>
      <w:r w:rsidRPr="00E74C22">
        <w:t>Madison</w:t>
      </w:r>
      <w:proofErr w:type="gramEnd"/>
      <w:r w:rsidRPr="00E74C22">
        <w:t xml:space="preserve"> and John Jay which appeared under the pen name “Publius” in New York newspapers in 1787 and 1788, urging the citizens of New York to ratify the proposed United States Constitution. They are still regarded as important sources of understanding the system of government proposed </w:t>
      </w:r>
      <w:r w:rsidRPr="00E74C22">
        <w:fldChar w:fldCharType="begin"/>
      </w:r>
      <w:r w:rsidR="009B0EC4">
        <w:instrText xml:space="preserve"> ADDIN ZOTERO_ITEM CSL_CITATION {"citationID":"nagXwXbA","properties":{"formattedCitation":"(Drexler 2019b)","plainCitation":"(Drexler 2019b)","noteIndex":114},"citationItems":[{"id":16624,"uris":["http://zotero.org/groups/4801058/items/UEQ3UNA7"],"itemData":{"id":16624,"type":"webpage","abstract":"The Federalist Papers were a series of essays written by Alexander Hamilton, James Madison, and John Jay under the pen name","container-title":"Library of Congress","genre":"research guide","language":"en","license":"Copyright Library of Congress 2022","title":"Research Guides: Federalist Papers: Primary Documents in American History: Introduction","title-short":"Research Guides","URL":"https://guides.loc.gov/federalist-papers/introduction","author":[{"family":"Drexler","given":"Ken"}],"accessed":{"date-parts":[["2022",10,12]]},"issued":{"date-parts":[["2019"]]}}}],"schema":"https://github.com/citation-style-language/schema/raw/master/csl-citation.json"} </w:instrText>
      </w:r>
      <w:r w:rsidRPr="00E74C22">
        <w:fldChar w:fldCharType="separate"/>
      </w:r>
      <w:r w:rsidRPr="00E74C22">
        <w:rPr>
          <w:rFonts w:cs="Calibri"/>
        </w:rPr>
        <w:t>(Drexler 2019b)</w:t>
      </w:r>
      <w:r w:rsidRPr="00E74C22">
        <w:fldChar w:fldCharType="end"/>
      </w:r>
      <w:r w:rsidRPr="00E74C22">
        <w:t>.</w:t>
      </w:r>
    </w:p>
  </w:footnote>
  <w:footnote w:id="116">
    <w:p w14:paraId="1BFAECAE" w14:textId="566015DF" w:rsidR="00225D27" w:rsidRPr="00E74C22" w:rsidRDefault="00225D27" w:rsidP="00225D27">
      <w:pPr>
        <w:pStyle w:val="FootnoteText"/>
      </w:pPr>
      <w:r w:rsidRPr="009006D7">
        <w:rPr>
          <w:rStyle w:val="FootnoteReference"/>
        </w:rPr>
        <w:footnoteRef/>
      </w:r>
      <w:r w:rsidRPr="00E74C22">
        <w:t xml:space="preserve"> </w:t>
      </w:r>
      <w:r w:rsidRPr="00E74C22">
        <w:tab/>
        <w:t xml:space="preserve">The quotation is from Federalist 51, which deals with the issue of the separation of powers between the executive, </w:t>
      </w:r>
      <w:proofErr w:type="gramStart"/>
      <w:r w:rsidRPr="00E74C22">
        <w:t>legislature</w:t>
      </w:r>
      <w:proofErr w:type="gramEnd"/>
      <w:r w:rsidRPr="00E74C22">
        <w:t xml:space="preserve"> and judiciary. Publius suggested that in addition to regular elections, structures and other protections were needed to ensure that liberty and freedom was available to all. </w:t>
      </w:r>
      <w:r w:rsidR="00C02229">
        <w:t>They were</w:t>
      </w:r>
      <w:r w:rsidRPr="00E74C22">
        <w:t xml:space="preserve"> particularly concerned about majorities oppressing minorities. The ‘auxiliary precautions’ </w:t>
      </w:r>
      <w:r w:rsidR="00C02229">
        <w:t>they</w:t>
      </w:r>
      <w:r w:rsidRPr="00E74C22">
        <w:t xml:space="preserve"> proposed included bicameral parliaments, a Presidential veto over legislation, a federal structure and express protection of civil rights. New Zealand, of course, has none of these sorts of auxiliary precautions. </w:t>
      </w:r>
    </w:p>
  </w:footnote>
  <w:footnote w:id="117">
    <w:p w14:paraId="6BF489C4" w14:textId="1BA2A2F0" w:rsidR="004724AB" w:rsidRDefault="004724AB" w:rsidP="004724AB">
      <w:pPr>
        <w:pStyle w:val="FootnoteText"/>
      </w:pPr>
      <w:r w:rsidRPr="009006D7">
        <w:rPr>
          <w:rStyle w:val="FootnoteReference"/>
        </w:rPr>
        <w:footnoteRef/>
      </w:r>
      <w:r w:rsidRPr="009328AC">
        <w:t xml:space="preserve"> </w:t>
      </w:r>
      <w:r w:rsidRPr="009328AC">
        <w:tab/>
        <w:t xml:space="preserve">In </w:t>
      </w:r>
      <w:r w:rsidR="001F7768" w:rsidRPr="009328AC">
        <w:t>s</w:t>
      </w:r>
      <w:r w:rsidRPr="009328AC">
        <w:t xml:space="preserve">ection </w:t>
      </w:r>
      <w:r w:rsidR="009328AC" w:rsidRPr="009328AC">
        <w:fldChar w:fldCharType="begin"/>
      </w:r>
      <w:r w:rsidR="009328AC" w:rsidRPr="009328AC">
        <w:instrText xml:space="preserve"> REF _Ref125961925 \r \h  \* MERGEFORMAT </w:instrText>
      </w:r>
      <w:r w:rsidR="009328AC" w:rsidRPr="009328AC">
        <w:fldChar w:fldCharType="separate"/>
      </w:r>
      <w:r w:rsidR="00E06351">
        <w:t>3.10</w:t>
      </w:r>
      <w:r w:rsidR="009328AC" w:rsidRPr="009328AC">
        <w:fldChar w:fldCharType="end"/>
      </w:r>
      <w:r w:rsidR="009328AC" w:rsidRPr="009328AC">
        <w:t xml:space="preserve"> </w:t>
      </w:r>
      <w:r w:rsidRPr="009328AC">
        <w:t>we</w:t>
      </w:r>
      <w:r>
        <w:t xml:space="preserve"> discuss the system used in New Zealand for learning from </w:t>
      </w:r>
      <w:r w:rsidRPr="00435FF2">
        <w:t>adverse events in the health system</w:t>
      </w:r>
      <w:r>
        <w:t>, where features found in constitutional accountability regimes, like assigning blame, are deliberately not used.</w:t>
      </w:r>
    </w:p>
  </w:footnote>
  <w:footnote w:id="118">
    <w:p w14:paraId="42DA0854" w14:textId="34F26682" w:rsidR="004724AB" w:rsidRDefault="004724AB" w:rsidP="004724AB">
      <w:pPr>
        <w:pStyle w:val="FootnoteText"/>
      </w:pPr>
      <w:r w:rsidRPr="009006D7">
        <w:rPr>
          <w:rStyle w:val="FootnoteReference"/>
        </w:rPr>
        <w:footnoteRef/>
      </w:r>
      <w:r>
        <w:t xml:space="preserve"> </w:t>
      </w:r>
      <w:r>
        <w:tab/>
        <w:t xml:space="preserve">Climate change is an example. See Wilson </w:t>
      </w:r>
      <w:r>
        <w:fldChar w:fldCharType="begin"/>
      </w:r>
      <w:r w:rsidR="009B0EC4">
        <w:instrText xml:space="preserve"> ADDIN ZOTERO_ITEM CSL_CITATION {"citationID":"Vw0VgYxH","properties":{"formattedCitation":"(2011)","plainCitation":"(2011)","noteIndex":117},"citationItems":[{"id":18573,"uris":["http://zotero.org/groups/4801058/items/UNXKDVPR"],"itemData":{"id":18573,"type":"chapter","container-title":"Climate Change Law and Policy in New Zealand","event-place":"Wellington","publisher":"LexisNexis NZ","publisher-place":"Wellington","title":"The Economics of Emissions Trading","author":[{"family":"Wilson","given":"Peter"}],"issued":{"date-parts":[["2011"]]}},"label":"page","suppress-author":true}],"schema":"https://github.com/citation-style-language/schema/raw/master/csl-citation.json"} </w:instrText>
      </w:r>
      <w:r>
        <w:fldChar w:fldCharType="separate"/>
      </w:r>
      <w:r w:rsidRPr="00C13D9C">
        <w:rPr>
          <w:rFonts w:cs="Calibri"/>
        </w:rPr>
        <w:t>(2011)</w:t>
      </w:r>
      <w:r>
        <w:fldChar w:fldCharType="end"/>
      </w:r>
      <w:r>
        <w:t>.</w:t>
      </w:r>
    </w:p>
  </w:footnote>
  <w:footnote w:id="119">
    <w:p w14:paraId="68B473CF" w14:textId="2496D981" w:rsidR="000B0C4B" w:rsidRDefault="000B0C4B">
      <w:pPr>
        <w:pStyle w:val="FootnoteText"/>
      </w:pPr>
      <w:r w:rsidRPr="009006D7">
        <w:rPr>
          <w:rStyle w:val="FootnoteReference"/>
        </w:rPr>
        <w:footnoteRef/>
      </w:r>
      <w:r>
        <w:t xml:space="preserve"> </w:t>
      </w:r>
      <w:r>
        <w:tab/>
      </w:r>
      <w:r w:rsidR="00755646">
        <w:t>Largely m</w:t>
      </w:r>
      <w:r>
        <w:t>issing from this framework, however, are requirements for the government to report on progress against its goals or independent monitoring of that progress.</w:t>
      </w:r>
    </w:p>
  </w:footnote>
  <w:footnote w:id="120">
    <w:p w14:paraId="417E6278" w14:textId="578C1D3B" w:rsidR="004724AB" w:rsidRDefault="004724AB" w:rsidP="004724AB">
      <w:pPr>
        <w:pStyle w:val="FootnoteText"/>
      </w:pPr>
      <w:r w:rsidRPr="009006D7">
        <w:rPr>
          <w:rStyle w:val="FootnoteReference"/>
        </w:rPr>
        <w:footnoteRef/>
      </w:r>
      <w:r>
        <w:t xml:space="preserve"> </w:t>
      </w:r>
      <w:r>
        <w:tab/>
        <w:t xml:space="preserve">In </w:t>
      </w:r>
      <w:r w:rsidR="001F7768">
        <w:t>s</w:t>
      </w:r>
      <w:r>
        <w:t xml:space="preserve">ection </w:t>
      </w:r>
      <w:r>
        <w:fldChar w:fldCharType="begin"/>
      </w:r>
      <w:r>
        <w:instrText xml:space="preserve"> REF _Ref124882853 \r \h </w:instrText>
      </w:r>
      <w:r>
        <w:fldChar w:fldCharType="separate"/>
      </w:r>
      <w:r w:rsidR="00E06351">
        <w:t>3.9.3</w:t>
      </w:r>
      <w:r>
        <w:fldChar w:fldCharType="end"/>
      </w:r>
      <w:r>
        <w:t>, for example, we discuss the different of disclosure required by different sized charities registered under the Charities Act.</w:t>
      </w:r>
    </w:p>
  </w:footnote>
  <w:footnote w:id="121">
    <w:p w14:paraId="59EA7C77" w14:textId="36A3CD74" w:rsidR="00735B76" w:rsidRDefault="00735B76">
      <w:pPr>
        <w:pStyle w:val="FootnoteText"/>
      </w:pPr>
      <w:r w:rsidRPr="009006D7">
        <w:rPr>
          <w:rStyle w:val="FootnoteReference"/>
        </w:rPr>
        <w:footnoteRef/>
      </w:r>
      <w:r>
        <w:t xml:space="preserve"> </w:t>
      </w:r>
      <w:r>
        <w:tab/>
      </w:r>
      <w:proofErr w:type="spellStart"/>
      <w:r w:rsidR="00F85D01">
        <w:t>Romzek</w:t>
      </w:r>
      <w:proofErr w:type="spellEnd"/>
      <w:r w:rsidR="00F85D01">
        <w:t xml:space="preserve"> and </w:t>
      </w:r>
      <w:proofErr w:type="spellStart"/>
      <w:r w:rsidR="00F85D01">
        <w:t>Dubnick</w:t>
      </w:r>
      <w:proofErr w:type="spellEnd"/>
      <w:r w:rsidR="00F85D01">
        <w:t xml:space="preserve"> constructed this </w:t>
      </w:r>
      <w:r w:rsidR="00ED7DB3">
        <w:t>taxonomy</w:t>
      </w:r>
      <w:r w:rsidR="00F85D01">
        <w:t xml:space="preserve"> within the context of </w:t>
      </w:r>
      <w:r w:rsidR="00ED7DB3">
        <w:t xml:space="preserve">public accountability involving managing </w:t>
      </w:r>
      <w:r w:rsidR="00BA3738">
        <w:t xml:space="preserve">diverse expectations generated within and outside agencies </w:t>
      </w:r>
      <w:r w:rsidR="00BA3738">
        <w:fldChar w:fldCharType="begin"/>
      </w:r>
      <w:r w:rsidR="009B0EC4">
        <w:instrText xml:space="preserve"> ADDIN ZOTERO_ITEM CSL_CITATION {"citationID":"tzdx7w01","properties":{"formattedCitation":"(B. Romzek and Dubnick 1987, 228)","plainCitation":"(B. Romzek and Dubnick 1987, 228)","noteIndex":120},"citationItems":[{"id":18466,"uris":["http://zotero.org/groups/4801058/items/KEJZT8QF"],"itemData":{"id":18466,"type":"article-journal","abstract":"The Rogers Commission investigation of the space shuttle Challenger accident was too narrow in its focus; an institutional analysis is needed to supplement the concentration on technical and managerial causes of the tragedy. Using an institutional perspective, we contend that the accident was, in part, a manifestation of NASA's efforts to manage the diverse expectations it faces in the American political system. Four types of accountability (legal, political, bureaucratic, and professional) are commonly used by public agencies to manage expectations of them. Yet, the presence of multiple accountability systems is not without costs. This case study shows that many of NASA's technical and managerial problems resulted from efforts to respond to legitimate institutional demands. Specifically, we contend that the pursuit of political and bureaucratic accountability distracted NASA from its strength: professional standards and mechanisms of accountability. Furthermore, agency reforms now being implemented and considered compound trends away from the professional accountability approaches used by NASA during the 1960s. Such reforms are just as likely to exacerbate the dilemmas facing NASA as they are to improve the agency's performance.","container-title":"Public Administration Review","DOI":"10.2307/975901","ISSN":"0033-3352","issue":"3","note":"publisher: [American Society for Public Administration, Wiley]","page":"227-238","source":"JSTOR","title":"Accountability in the Public Sector: Lessons from the Challenger Tragedy","title-short":"Accountability in the Public Sector","volume":"47","author":[{"family":"Romzek","given":"Barbara"},{"family":"Dubnick","given":"Melvin J."}],"issued":{"date-parts":[["1987"]]}},"locator":"228","label":"page"}],"schema":"https://github.com/citation-style-language/schema/raw/master/csl-citation.json"} </w:instrText>
      </w:r>
      <w:r w:rsidR="00BA3738">
        <w:fldChar w:fldCharType="separate"/>
      </w:r>
      <w:r w:rsidR="00124534" w:rsidRPr="00124534">
        <w:rPr>
          <w:rFonts w:cs="Calibri"/>
        </w:rPr>
        <w:t xml:space="preserve">(B. </w:t>
      </w:r>
      <w:proofErr w:type="spellStart"/>
      <w:r w:rsidR="00124534" w:rsidRPr="00124534">
        <w:rPr>
          <w:rFonts w:cs="Calibri"/>
        </w:rPr>
        <w:t>Romzek</w:t>
      </w:r>
      <w:proofErr w:type="spellEnd"/>
      <w:r w:rsidR="00124534" w:rsidRPr="00124534">
        <w:rPr>
          <w:rFonts w:cs="Calibri"/>
        </w:rPr>
        <w:t xml:space="preserve"> and </w:t>
      </w:r>
      <w:proofErr w:type="spellStart"/>
      <w:r w:rsidR="00124534" w:rsidRPr="00124534">
        <w:rPr>
          <w:rFonts w:cs="Calibri"/>
        </w:rPr>
        <w:t>Dubnick</w:t>
      </w:r>
      <w:proofErr w:type="spellEnd"/>
      <w:r w:rsidR="00124534" w:rsidRPr="00124534">
        <w:rPr>
          <w:rFonts w:cs="Calibri"/>
        </w:rPr>
        <w:t xml:space="preserve"> 1987, 228)</w:t>
      </w:r>
      <w:r w:rsidR="00BA3738">
        <w:fldChar w:fldCharType="end"/>
      </w:r>
      <w:r w:rsidR="00BA3738">
        <w:t xml:space="preserve">. </w:t>
      </w:r>
    </w:p>
  </w:footnote>
  <w:footnote w:id="122">
    <w:p w14:paraId="3B37605C" w14:textId="53F74626" w:rsidR="00B465A4" w:rsidRDefault="00B465A4">
      <w:pPr>
        <w:pStyle w:val="FootnoteText"/>
      </w:pPr>
      <w:r w:rsidRPr="009006D7">
        <w:rPr>
          <w:rStyle w:val="FootnoteReference"/>
        </w:rPr>
        <w:footnoteRef/>
      </w:r>
      <w:r>
        <w:t xml:space="preserve"> </w:t>
      </w:r>
      <w:r>
        <w:tab/>
      </w:r>
      <w:r w:rsidR="004B0ABC">
        <w:t>These sanctions</w:t>
      </w:r>
      <w:r>
        <w:t xml:space="preserve"> do not always </w:t>
      </w:r>
      <w:r w:rsidR="004B0ABC">
        <w:t>result in</w:t>
      </w:r>
      <w:r>
        <w:t xml:space="preserve"> ‘punishment’. They can involve a court requiring specific compliance with the relevant law. </w:t>
      </w:r>
    </w:p>
  </w:footnote>
  <w:footnote w:id="123">
    <w:p w14:paraId="5BCB65AA" w14:textId="61A74EF3" w:rsidR="00B465A4" w:rsidRDefault="00B465A4">
      <w:pPr>
        <w:pStyle w:val="FootnoteText"/>
      </w:pPr>
      <w:r w:rsidRPr="009006D7">
        <w:rPr>
          <w:rStyle w:val="FootnoteReference"/>
        </w:rPr>
        <w:footnoteRef/>
      </w:r>
      <w:r>
        <w:t xml:space="preserve"> </w:t>
      </w:r>
      <w:r>
        <w:tab/>
        <w:t>Experts can also be accountab</w:t>
      </w:r>
      <w:r w:rsidR="00B4205A">
        <w:t>le</w:t>
      </w:r>
      <w:r>
        <w:t xml:space="preserve"> to external professional bodies that can both set required </w:t>
      </w:r>
      <w:r w:rsidR="00373A5F">
        <w:t>standards and ho</w:t>
      </w:r>
      <w:r w:rsidR="00222816">
        <w:t>l</w:t>
      </w:r>
      <w:r w:rsidR="00373A5F">
        <w:t>d individuals to account if they fail to meet them.</w:t>
      </w:r>
    </w:p>
  </w:footnote>
  <w:footnote w:id="124">
    <w:p w14:paraId="27C28582" w14:textId="43C59803" w:rsidR="00160507" w:rsidRDefault="00160507" w:rsidP="00160507">
      <w:pPr>
        <w:pStyle w:val="FootnoteText"/>
      </w:pPr>
      <w:r w:rsidRPr="009006D7">
        <w:rPr>
          <w:rStyle w:val="FootnoteReference"/>
        </w:rPr>
        <w:footnoteRef/>
      </w:r>
      <w:r>
        <w:t xml:space="preserve"> </w:t>
      </w:r>
      <w:r>
        <w:tab/>
        <w:t xml:space="preserve">There is an ongoing </w:t>
      </w:r>
      <w:r w:rsidR="00033922">
        <w:t xml:space="preserve">debate </w:t>
      </w:r>
      <w:r>
        <w:t xml:space="preserve">about whether ’outsourcing’ of government services improves or diminished accountability </w:t>
      </w:r>
      <w:r w:rsidR="00C66331">
        <w:t xml:space="preserve">and opinion is divided </w:t>
      </w:r>
      <w:r>
        <w:fldChar w:fldCharType="begin"/>
      </w:r>
      <w:r w:rsidR="009B0EC4">
        <w:instrText xml:space="preserve"> ADDIN ZOTERO_ITEM CSL_CITATION {"citationID":"qFWfAxEl","properties":{"formattedCitation":"(Besley and Ghatak 2003; Mulgan 2006; Blomqvist and Winblad 2022)","plainCitation":"(Besley and Ghatak 2003; Mulgan 2006; Blomqvist and Winblad 2022)","noteIndex":123},"citationItems":[{"id":18686,"uris":["http://zotero.org/groups/4801058/items/AA7XILNK"],"itemData":{"id":18686,"type":"article-journal","abstract":"This paper discusses a theoretical framework to study the issues of competition and incentives without relying on the standard profit‐oriented ‘market’ model in the context of the debates about public‐service reform in the UK. It uses the idea that the production of public services coheres around a mission, and discusses how decentralized service provision can raise productivity by matching motivated workers to their preferred missions. Our focus on competition and incentives cuts across traditional debates about public versus private ownership and allows for the possibility of involving private non‐profit organizations. We also address concerns about the consequences of allowing more flexibility in mission design and competition on inequality.","container-title":"Oxford Review of Economic Policy","DOI":"10.1093/oxrep/19.2.235","ISSN":"0266-903X","issue":"2","journalAbbreviation":"Oxford Review of Economic Policy","page":"235-249","source":"Silverchair","title":"Incentives, Choice, and Accountability in the Provision of Public Services","volume":"19","author":[{"family":"Besley","given":"Timothy"},{"family":"Ghatak","given":"Maitreesh"}],"issued":{"date-parts":[["2003",6,1]]}},"label":"page"},{"id":15870,"uris":["http://zotero.org/groups/4623831/items/QJC258QL"],"itemData":{"id":15870,"type":"article-journal","abstract":"The effect of outsourcing on government accountability for public services continues to be contested. Analysts point to an accountability deficit while governments insist that accountability is retained (and indeed improved). The existence of an accountability deficit is confirmed, using examples from the Commonwealth Job Network. The government claim, that accountability remains, is best interpreted as rhetorical, as a refusal to shift blame to private contractors, even though some channels of accountability may be weakened. The claim can be seen as evidence of an increasing incorporation of private contractors into the overall structure of government.","container-title":"Australian Journal of Public Administration","DOI":"10.1111/j.1467-8500.2006.00481.x","ISSN":"1467-8500","issue":"2","language":"en","note":"_eprint: https://onlinelibrary.wiley.com/doi/pdf/10.1111/j.1467-8500.2006.00481.x","page":"48-58","source":"Wiley Online Library","title":"Government Accountability For Outsourced Services*","volume":"65","author":[{"family":"Mulgan","given":"Richard"}],"issued":{"date-parts":[["2006"]]}},"label":"page"},{"id":15778,"uris":["http://zotero.org/groups/4623831/items/IGFYFMA6"],"itemData":{"id":15778,"type":"article-journal","abstract":"A challenge for governments contracting out public services is holding accountable contractors who fail to meet agreed-upon standards. In social services, contract monitoring is complicated by the fact that contracts tend to be incomplete and performance hard to assess. In this study, we examine how local governments in Sweden hold private contractors accountable in nursing home care. The main finding is that a mixture of accountability mechanisms was used, but that social accountability was seen as most effective. Marketaccountability measures like contract termination and financial sanctions could not be applied as local governments lacked the capacity to enforce them","container-title":"Public Management Review","DOI":"10.1080/14719037.2020.1817530","ISSN":"1471-9037","issue":"2","note":"publisher: Routledge\n_eprint: https://doi.org/10.1080/14719037.2020.1817530","page":"233-254","source":"Taylor and Francis+NEJM","title":"Contracting out welfare services: how are private contractors held accountable?","title-short":"Contracting out welfare services","volume":"24","author":[{"family":"Blomqvist","given":"Paula"},{"family":"Winblad","given":"Ulrika"}],"issued":{"date-parts":[["2022",2,1]]}},"label":"page"}],"schema":"https://github.com/citation-style-language/schema/raw/master/csl-citation.json"} </w:instrText>
      </w:r>
      <w:r>
        <w:fldChar w:fldCharType="separate"/>
      </w:r>
      <w:r w:rsidR="001F305A" w:rsidRPr="001F305A">
        <w:rPr>
          <w:rFonts w:cs="Calibri"/>
        </w:rPr>
        <w:t>(</w:t>
      </w:r>
      <w:proofErr w:type="spellStart"/>
      <w:r w:rsidR="001F305A" w:rsidRPr="001F305A">
        <w:rPr>
          <w:rFonts w:cs="Calibri"/>
        </w:rPr>
        <w:t>Besley</w:t>
      </w:r>
      <w:proofErr w:type="spellEnd"/>
      <w:r w:rsidR="001F305A" w:rsidRPr="001F305A">
        <w:rPr>
          <w:rFonts w:cs="Calibri"/>
        </w:rPr>
        <w:t xml:space="preserve"> and </w:t>
      </w:r>
      <w:proofErr w:type="spellStart"/>
      <w:r w:rsidR="001F305A" w:rsidRPr="001F305A">
        <w:rPr>
          <w:rFonts w:cs="Calibri"/>
        </w:rPr>
        <w:t>Ghatak</w:t>
      </w:r>
      <w:proofErr w:type="spellEnd"/>
      <w:r w:rsidR="001F305A" w:rsidRPr="001F305A">
        <w:rPr>
          <w:rFonts w:cs="Calibri"/>
        </w:rPr>
        <w:t xml:space="preserve"> 2003; </w:t>
      </w:r>
      <w:proofErr w:type="spellStart"/>
      <w:r w:rsidR="001F305A" w:rsidRPr="001F305A">
        <w:rPr>
          <w:rFonts w:cs="Calibri"/>
        </w:rPr>
        <w:t>Mulgan</w:t>
      </w:r>
      <w:proofErr w:type="spellEnd"/>
      <w:r w:rsidR="001F305A" w:rsidRPr="001F305A">
        <w:rPr>
          <w:rFonts w:cs="Calibri"/>
        </w:rPr>
        <w:t xml:space="preserve"> 2006; </w:t>
      </w:r>
      <w:proofErr w:type="spellStart"/>
      <w:r w:rsidR="001F305A" w:rsidRPr="001F305A">
        <w:rPr>
          <w:rFonts w:cs="Calibri"/>
        </w:rPr>
        <w:t>Blomqvist</w:t>
      </w:r>
      <w:proofErr w:type="spellEnd"/>
      <w:r w:rsidR="001F305A" w:rsidRPr="001F305A">
        <w:rPr>
          <w:rFonts w:cs="Calibri"/>
        </w:rPr>
        <w:t xml:space="preserve"> and </w:t>
      </w:r>
      <w:proofErr w:type="spellStart"/>
      <w:r w:rsidR="001F305A" w:rsidRPr="001F305A">
        <w:rPr>
          <w:rFonts w:cs="Calibri"/>
        </w:rPr>
        <w:t>Winblad</w:t>
      </w:r>
      <w:proofErr w:type="spellEnd"/>
      <w:r w:rsidR="001F305A" w:rsidRPr="001F305A">
        <w:rPr>
          <w:rFonts w:cs="Calibri"/>
        </w:rPr>
        <w:t xml:space="preserve"> 2022)</w:t>
      </w:r>
      <w:r>
        <w:fldChar w:fldCharType="end"/>
      </w:r>
      <w:r>
        <w:t xml:space="preserve">. And more generally, ’outsourcing’ is often used as a pejorative term to describe indiscriminate cost cutting. </w:t>
      </w:r>
    </w:p>
  </w:footnote>
  <w:footnote w:id="125">
    <w:p w14:paraId="6F068465" w14:textId="77777777" w:rsidR="005F79B7" w:rsidRPr="00F0646E" w:rsidRDefault="005F79B7" w:rsidP="005F79B7">
      <w:pPr>
        <w:pStyle w:val="FootnoteText"/>
      </w:pPr>
      <w:r w:rsidRPr="009006D7">
        <w:rPr>
          <w:rStyle w:val="FootnoteReference"/>
        </w:rPr>
        <w:footnoteRef/>
      </w:r>
      <w:r w:rsidRPr="00F0646E">
        <w:t xml:space="preserve"> </w:t>
      </w:r>
      <w:r w:rsidRPr="00F0646E">
        <w:tab/>
        <w:t>Lipsky’s initial work was based on what people working in the public sector in the United States do, hence his use of the term ‘street-level bureaucrats’, which normally would not apply to people working for non-government organisations. However, his ideas have been applied successfully to the study of not-for profit providers of social assistance (</w:t>
      </w:r>
      <w:proofErr w:type="spellStart"/>
      <w:r w:rsidRPr="00F0646E">
        <w:t>Zacka</w:t>
      </w:r>
      <w:proofErr w:type="spellEnd"/>
      <w:r w:rsidRPr="00F0646E">
        <w:t xml:space="preserve"> 2017, 25). Given the term ‘bureaucrat’ is often viewed pejoratively in Aotearoa, we have chosen to use the more neutral and inclusive term, front-line staff. </w:t>
      </w:r>
    </w:p>
  </w:footnote>
  <w:footnote w:id="126">
    <w:p w14:paraId="2FF00027" w14:textId="11AD91A6" w:rsidR="00057CF5" w:rsidRPr="00F0646E" w:rsidRDefault="00057CF5" w:rsidP="005F79B7">
      <w:pPr>
        <w:pStyle w:val="FootnoteText"/>
      </w:pPr>
      <w:r w:rsidRPr="009006D7">
        <w:rPr>
          <w:rStyle w:val="FootnoteReference"/>
        </w:rPr>
        <w:footnoteRef/>
      </w:r>
      <w:r w:rsidRPr="00F0646E">
        <w:t xml:space="preserve"> </w:t>
      </w:r>
      <w:r w:rsidRPr="00F0646E">
        <w:tab/>
        <w:t xml:space="preserve">The degree of discretion may be determined by rules. But </w:t>
      </w:r>
      <w:r w:rsidRPr="00F0646E">
        <w:rPr>
          <w:b/>
          <w:bCs/>
        </w:rPr>
        <w:t>how</w:t>
      </w:r>
      <w:r w:rsidRPr="00F0646E">
        <w:t xml:space="preserve"> those rules are applied is also discretionary. For example, a police officer may decide not to report behaviour that meets the definition of a crime, or a benefits clerk may give priority to accepting applications and delaying rejections. There are, therefore, dynamic forces at play: managers and executives, seeing how discretion is exercised in practice may seek to impose additional rules designed to reduce discretion. In the extreme, they may seek to automate service delivery as a way of eliminating the element of human discretion. See Boven and </w:t>
      </w:r>
      <w:proofErr w:type="spellStart"/>
      <w:r w:rsidRPr="00F0646E">
        <w:t>Zouridis</w:t>
      </w:r>
      <w:proofErr w:type="spellEnd"/>
      <w:r w:rsidRPr="00F0646E">
        <w:t xml:space="preserve"> </w:t>
      </w:r>
      <w:r w:rsidRPr="00F0646E">
        <w:fldChar w:fldCharType="begin"/>
      </w:r>
      <w:r w:rsidR="009B0EC4">
        <w:instrText xml:space="preserve"> ADDIN ZOTERO_ITEM CSL_CITATION {"citationID":"HOG7q9XQ","properties":{"formattedCitation":"(2002)","plainCitation":"(2002)","noteIndex":125},"citationItems":[{"id":16577,"uris":["http://zotero.org/groups/4801058/items/94SXAXS4"],"itemData":{"id":16577,"type":"article-journal","abstract":"The use of information and communication technology (ICT) is rapidly changing the structure of a number of large, executive public agencies. They used to be machine bureaucracies in which street-level officials exercised ample administrative discretion in dealing with individual clients. In some realms, the street-level bureaucrats have vanished. Instead of street-level bureaucracies, they have become system-level bureaucracies. System analysts and software designers are the key actors in these executive agencies. This article explores the implications of this transformation from the perspective of the constitutional state. Thanks to ICT, the implementation of the law has virtually been perfected. However, some new issues rise: What about the discretionary power of the system-level bureaucrats? How can we guarantee due process and fairness in difficult cases? The article ends with several institutional innovations that may help to embed these system-level bureaucracies in the constitutional state.","container-title":"Public Administration Review","ISSN":"0033-3352","issue":"2","note":"publisher: [American Society for Public Administration, Wiley]","page":"174-184","source":"JSTOR","title":"From Street-Level to System-Level Bureaucracies: How Information and Communication Technology Is Transforming Administrative Discretion and Constitutional Control","title-short":"From Street-Level to System-Level Bureaucracies","volume":"62","author":[{"family":"Bovens","given":"Mark"},{"family":"Zouridis","given":"Stavros"}],"issued":{"date-parts":[["2002"]]}},"suppress-author":true}],"schema":"https://github.com/citation-style-language/schema/raw/master/csl-citation.json"} </w:instrText>
      </w:r>
      <w:r w:rsidRPr="00F0646E">
        <w:fldChar w:fldCharType="separate"/>
      </w:r>
      <w:r w:rsidRPr="00F0646E">
        <w:rPr>
          <w:rFonts w:cs="Calibri"/>
        </w:rPr>
        <w:t>(2002)</w:t>
      </w:r>
      <w:r w:rsidRPr="00F0646E">
        <w:fldChar w:fldCharType="end"/>
      </w:r>
      <w:r w:rsidRPr="00F0646E">
        <w:t xml:space="preserve">. </w:t>
      </w:r>
    </w:p>
  </w:footnote>
  <w:footnote w:id="127">
    <w:p w14:paraId="399E566C" w14:textId="77777777" w:rsidR="00057CF5" w:rsidRPr="00F0646E" w:rsidRDefault="00057CF5" w:rsidP="005F79B7">
      <w:pPr>
        <w:pStyle w:val="FootnoteText"/>
      </w:pPr>
      <w:r w:rsidRPr="009006D7">
        <w:rPr>
          <w:rStyle w:val="FootnoteReference"/>
        </w:rPr>
        <w:footnoteRef/>
      </w:r>
      <w:r w:rsidRPr="00F0646E">
        <w:t xml:space="preserve"> </w:t>
      </w:r>
      <w:r w:rsidRPr="00F0646E">
        <w:tab/>
        <w:t xml:space="preserve">Anne Mete </w:t>
      </w:r>
      <w:proofErr w:type="spellStart"/>
      <w:r w:rsidRPr="00F0646E">
        <w:t>Møller</w:t>
      </w:r>
      <w:proofErr w:type="spellEnd"/>
      <w:r w:rsidRPr="00F0646E">
        <w:t xml:space="preserve"> identifies three different types of knowledge that front-line workers can use: </w:t>
      </w:r>
    </w:p>
    <w:p w14:paraId="0A664B6C" w14:textId="0CAE441D" w:rsidR="00057CF5" w:rsidRPr="00F0646E" w:rsidRDefault="00057CF5" w:rsidP="005F79B7">
      <w:pPr>
        <w:pStyle w:val="FootnoteText"/>
        <w:tabs>
          <w:tab w:val="clear" w:pos="425"/>
        </w:tabs>
        <w:ind w:left="720" w:firstLine="0"/>
      </w:pPr>
      <w:r w:rsidRPr="00F0646E">
        <w:rPr>
          <w:i/>
          <w:iCs/>
        </w:rPr>
        <w:t>Knowledge-that is explicit and includes research evidence. Knowledge-how is rooted in experience and acquired through practice. Knowledge-by-acquaintance is rooted in encounters and denotes frontline workers’ “sense” of a case or situation.</w:t>
      </w:r>
      <w:r w:rsidRPr="00F0646E">
        <w:t xml:space="preserve">’ </w:t>
      </w:r>
      <w:r w:rsidRPr="00F0646E">
        <w:fldChar w:fldCharType="begin"/>
      </w:r>
      <w:r w:rsidR="009B0EC4">
        <w:instrText xml:space="preserve"> ADDIN ZOTERO_ITEM CSL_CITATION {"citationID":"MvPQp96h","properties":{"formattedCitation":"(M\\uc0\\u248{}ller 2022, 50)","plainCitation":"(Møller 2022, 50)","noteIndex":126},"citationItems":[{"id":16562,"uris":["http://zotero.org/groups/4801058/items/8B9KMC7B"],"itemData":{"id":16562,"type":"article-journal","abstract":"Frontline workers bring different forms of knowledge to bear on decisions and actions. Even so, knowledge has so far received limited attention in the street-level literature. This article develops a nuanced understanding of what constitutes knowledge in frontline work and shows how different forms of knowledge are mobilized on the ground. Taking a practice-based and abductive approach, the article draws on qualitative data from a multi-sited organizational ethnography in three Danish child welfare agencies as well as insights from a broad range of literature to build a conceptual framework for studying knowledge mobilization in frontline work. The framework delineates three interdependent forms of knowledge—knowledge-that, knowledge-how, and knowledge-by-acquaintance—that are all essential in frontline work. Knowledge-that is explicit and includes research evidence. Knowledge-how is rooted in experience and acquired through practice. Knowledge-by-acquaintance is rooted in encounters and denotes frontline workers’ “sense” of a case or situation. The empirical work shows how each form of knowledge is mobilized in practice. The findings yield important insights into the dynamics of knowledge mobilization at the frontlines, including the detrimental effects of rapid turnover, the conditions for realizing ideals such as evidence-based practice and data-driven decision-making, and the potential implications of digitalization and algorithmization.","container-title":"Perspectives on Public Management and Governance","DOI":"10.1093/ppmgov/gvab023","ISSN":"2398-4910","issue":"1","journalAbbreviation":"Perspectives on Public Management and Governance","page":"50-62","source":"Silverchair","title":"Mobilizing Knowledge in Frontline Work: A Conceptual Framework and Empirical Exploration","title-short":"Mobilizing Knowledge in Frontline Work","volume":"5","author":[{"family":"Møller","given":"Anne Mette"}],"issued":{"date-parts":[["2022",3,1]]}},"locator":"50","label":"page"}],"schema":"https://github.com/citation-style-language/schema/raw/master/csl-citation.json"} </w:instrText>
      </w:r>
      <w:r w:rsidRPr="00F0646E">
        <w:fldChar w:fldCharType="separate"/>
      </w:r>
      <w:r w:rsidRPr="00F0646E">
        <w:rPr>
          <w:rFonts w:cs="Calibri"/>
          <w:szCs w:val="24"/>
        </w:rPr>
        <w:t>(</w:t>
      </w:r>
      <w:proofErr w:type="spellStart"/>
      <w:r w:rsidRPr="00F0646E">
        <w:rPr>
          <w:rFonts w:cs="Calibri"/>
          <w:szCs w:val="24"/>
        </w:rPr>
        <w:t>Møller</w:t>
      </w:r>
      <w:proofErr w:type="spellEnd"/>
      <w:r w:rsidRPr="00F0646E">
        <w:rPr>
          <w:rFonts w:cs="Calibri"/>
          <w:szCs w:val="24"/>
        </w:rPr>
        <w:t xml:space="preserve"> 2022, 50)</w:t>
      </w:r>
      <w:r w:rsidRPr="00F0646E">
        <w:fldChar w:fldCharType="end"/>
      </w:r>
      <w:r w:rsidRPr="00F0646E">
        <w:t>.</w:t>
      </w:r>
    </w:p>
  </w:footnote>
  <w:footnote w:id="128">
    <w:p w14:paraId="64BC5F73" w14:textId="40FDD789" w:rsidR="00057CF5" w:rsidRPr="00F0646E" w:rsidRDefault="00057CF5" w:rsidP="005F79B7">
      <w:pPr>
        <w:pStyle w:val="FootnoteText"/>
      </w:pPr>
      <w:r w:rsidRPr="009006D7">
        <w:rPr>
          <w:rStyle w:val="FootnoteReference"/>
        </w:rPr>
        <w:footnoteRef/>
      </w:r>
      <w:r w:rsidRPr="00F0646E">
        <w:t xml:space="preserve"> </w:t>
      </w:r>
      <w:r w:rsidRPr="00F0646E">
        <w:tab/>
        <w:t xml:space="preserve">Michael </w:t>
      </w:r>
      <w:proofErr w:type="spellStart"/>
      <w:r w:rsidRPr="00F0646E">
        <w:t>Lipskey</w:t>
      </w:r>
      <w:proofErr w:type="spellEnd"/>
      <w:r w:rsidRPr="00F0646E">
        <w:t xml:space="preserve"> has commented </w:t>
      </w:r>
      <w:r w:rsidRPr="00A644A8">
        <w:t>that “</w:t>
      </w:r>
      <w:r w:rsidRPr="00473DB1">
        <w:t>Every public program administered by private organizations under contract is in essence a government program”</w:t>
      </w:r>
      <w:r w:rsidRPr="00A644A8">
        <w:t xml:space="preserve"> </w:t>
      </w:r>
      <w:r w:rsidRPr="00A644A8">
        <w:fldChar w:fldCharType="begin"/>
      </w:r>
      <w:r w:rsidR="009B0EC4">
        <w:instrText xml:space="preserve"> ADDIN ZOTERO_ITEM CSL_CITATION {"citationID":"asPVjYED","properties":{"formattedCitation":"(Lipsky 2010, 216)","plainCitation":"(Lipsky 2010, 216)","noteIndex":127},"citationItems":[{"id":16566,"uris":["http://zotero.org/groups/4801058/items/G2CYPK42"],"itemData":{"id":16566,"type":"book","edition":"30th Anniversary, Expanded edition","language":"English","number-of-pages":"299","publisher":"Russell Sage Foundation","source":"Amazon","title":"Street-Level Bureaucracy","title-short":"Street-Level Bureaucracy, 30th Anniversary Edition","author":[{"family":"Lipsky","given":"Michael"}],"issued":{"date-parts":[["2010",4,8]]}},"locator":"216","label":"page"}],"schema":"https://github.com/citation-style-language/schema/raw/master/csl-citation.json"} </w:instrText>
      </w:r>
      <w:r w:rsidRPr="00A644A8">
        <w:fldChar w:fldCharType="separate"/>
      </w:r>
      <w:r w:rsidRPr="00A644A8">
        <w:rPr>
          <w:rFonts w:cs="Calibri"/>
        </w:rPr>
        <w:t>(Lipsky 2010, 216)</w:t>
      </w:r>
      <w:r w:rsidRPr="00A644A8">
        <w:fldChar w:fldCharType="end"/>
      </w:r>
      <w:r w:rsidRPr="00A644A8">
        <w:t>.</w:t>
      </w:r>
    </w:p>
  </w:footnote>
  <w:footnote w:id="129">
    <w:p w14:paraId="664A2188" w14:textId="1C0065F1" w:rsidR="001E7C07" w:rsidRDefault="001E7C07">
      <w:pPr>
        <w:pStyle w:val="FootnoteText"/>
      </w:pPr>
      <w:r w:rsidRPr="009006D7">
        <w:rPr>
          <w:rStyle w:val="FootnoteReference"/>
        </w:rPr>
        <w:footnoteRef/>
      </w:r>
      <w:r>
        <w:t xml:space="preserve"> </w:t>
      </w:r>
      <w:r>
        <w:tab/>
        <w:t xml:space="preserve">In Aotearoa, however, we need to </w:t>
      </w:r>
      <w:r w:rsidR="00515E73">
        <w:t>acknowledge the unique status of</w:t>
      </w:r>
      <w:r>
        <w:t xml:space="preserve"> iwi organisations exercising </w:t>
      </w:r>
      <w:proofErr w:type="spellStart"/>
      <w:r>
        <w:t>tino</w:t>
      </w:r>
      <w:proofErr w:type="spellEnd"/>
      <w:r>
        <w:t xml:space="preserve"> rangatiratanga</w:t>
      </w:r>
      <w:r w:rsidR="00515E73">
        <w:t>, even if that involves Crown</w:t>
      </w:r>
      <w:r w:rsidR="00D703AE">
        <w:t xml:space="preserve"> </w:t>
      </w:r>
      <w:r w:rsidR="00515E73">
        <w:t>funding of some of their operations.</w:t>
      </w:r>
      <w:r>
        <w:t xml:space="preserve"> </w:t>
      </w:r>
    </w:p>
  </w:footnote>
  <w:footnote w:id="130">
    <w:p w14:paraId="5E4D2BAC" w14:textId="77777777" w:rsidR="0073394C" w:rsidRPr="00F8119E" w:rsidRDefault="0073394C" w:rsidP="0073394C">
      <w:pPr>
        <w:pStyle w:val="FootnoteText"/>
      </w:pPr>
      <w:r w:rsidRPr="009006D7">
        <w:rPr>
          <w:rStyle w:val="FootnoteReference"/>
        </w:rPr>
        <w:footnoteRef/>
      </w:r>
      <w:r w:rsidRPr="00F0646E">
        <w:t xml:space="preserve"> </w:t>
      </w:r>
      <w:r w:rsidRPr="00F8119E">
        <w:tab/>
        <w:t>As the authors note:</w:t>
      </w:r>
    </w:p>
    <w:p w14:paraId="5191452B" w14:textId="40FCDBC1" w:rsidR="0073394C" w:rsidRPr="00F8119E" w:rsidRDefault="0073394C" w:rsidP="0073394C">
      <w:pPr>
        <w:pStyle w:val="FootnoteText"/>
        <w:tabs>
          <w:tab w:val="clear" w:pos="425"/>
        </w:tabs>
        <w:ind w:left="810" w:firstLine="0"/>
        <w:rPr>
          <w:b/>
          <w:bCs/>
        </w:rPr>
      </w:pPr>
      <w:r w:rsidRPr="00F8119E">
        <w:rPr>
          <w:i/>
          <w:iCs/>
        </w:rPr>
        <w:t xml:space="preserve">One of our origin stories tells of </w:t>
      </w:r>
      <w:proofErr w:type="spellStart"/>
      <w:r w:rsidRPr="00F8119E">
        <w:rPr>
          <w:i/>
          <w:iCs/>
        </w:rPr>
        <w:t>Hinetītama</w:t>
      </w:r>
      <w:proofErr w:type="spellEnd"/>
      <w:r w:rsidRPr="00F8119E">
        <w:rPr>
          <w:i/>
          <w:iCs/>
        </w:rPr>
        <w:t xml:space="preserve">, the first-born human, being deceived by </w:t>
      </w:r>
      <w:proofErr w:type="spellStart"/>
      <w:r w:rsidRPr="00F8119E">
        <w:rPr>
          <w:i/>
          <w:iCs/>
        </w:rPr>
        <w:t>Tāne</w:t>
      </w:r>
      <w:proofErr w:type="spellEnd"/>
      <w:r w:rsidRPr="00F8119E">
        <w:rPr>
          <w:i/>
          <w:iCs/>
        </w:rPr>
        <w:t xml:space="preserve"> (also referred to as </w:t>
      </w:r>
      <w:proofErr w:type="spellStart"/>
      <w:r w:rsidRPr="00F8119E">
        <w:rPr>
          <w:i/>
          <w:iCs/>
        </w:rPr>
        <w:t>Tāne-Māhuta</w:t>
      </w:r>
      <w:proofErr w:type="spellEnd"/>
      <w:r w:rsidRPr="00F8119E">
        <w:rPr>
          <w:i/>
          <w:iCs/>
        </w:rPr>
        <w:t>, Tane-</w:t>
      </w:r>
      <w:proofErr w:type="spellStart"/>
      <w:r w:rsidRPr="00F8119E">
        <w:rPr>
          <w:i/>
          <w:iCs/>
        </w:rPr>
        <w:t>nui</w:t>
      </w:r>
      <w:proofErr w:type="spellEnd"/>
      <w:r w:rsidRPr="00F8119E">
        <w:rPr>
          <w:i/>
          <w:iCs/>
        </w:rPr>
        <w:t xml:space="preserve">-a-Rangi, as well as several other names), the God of the forest – who is her husband, but also her father. After finding out that </w:t>
      </w:r>
      <w:proofErr w:type="spellStart"/>
      <w:r w:rsidRPr="00F8119E">
        <w:rPr>
          <w:i/>
          <w:iCs/>
        </w:rPr>
        <w:t>Tāne</w:t>
      </w:r>
      <w:proofErr w:type="spellEnd"/>
      <w:r w:rsidRPr="00F8119E">
        <w:rPr>
          <w:i/>
          <w:iCs/>
        </w:rPr>
        <w:t xml:space="preserve"> is her father, she then becomes Hine-</w:t>
      </w:r>
      <w:proofErr w:type="spellStart"/>
      <w:r w:rsidRPr="00F8119E">
        <w:rPr>
          <w:i/>
          <w:iCs/>
        </w:rPr>
        <w:t>nui</w:t>
      </w:r>
      <w:proofErr w:type="spellEnd"/>
      <w:r w:rsidRPr="00F8119E">
        <w:rPr>
          <w:i/>
          <w:iCs/>
        </w:rPr>
        <w:t>-</w:t>
      </w:r>
      <w:proofErr w:type="spellStart"/>
      <w:r w:rsidRPr="00F8119E">
        <w:rPr>
          <w:i/>
          <w:iCs/>
        </w:rPr>
        <w:t>te-pō</w:t>
      </w:r>
      <w:proofErr w:type="spellEnd"/>
      <w:r w:rsidRPr="00F8119E">
        <w:rPr>
          <w:i/>
          <w:iCs/>
        </w:rPr>
        <w:t xml:space="preserve">, goddess of the underworld, and holds </w:t>
      </w:r>
      <w:proofErr w:type="spellStart"/>
      <w:r w:rsidRPr="00F8119E">
        <w:rPr>
          <w:i/>
          <w:iCs/>
        </w:rPr>
        <w:t>Tāne</w:t>
      </w:r>
      <w:proofErr w:type="spellEnd"/>
      <w:r w:rsidRPr="00F8119E">
        <w:rPr>
          <w:i/>
          <w:iCs/>
        </w:rPr>
        <w:t xml:space="preserve"> to account for his deception of her. She asserts that he may remain father to their children whilst they are on earth, but when they die, they will join her in the afterlife for eternity. In the battle of </w:t>
      </w:r>
      <w:proofErr w:type="spellStart"/>
      <w:r w:rsidRPr="00F8119E">
        <w:rPr>
          <w:i/>
          <w:iCs/>
        </w:rPr>
        <w:t>Te</w:t>
      </w:r>
      <w:proofErr w:type="spellEnd"/>
      <w:r w:rsidRPr="00F8119E">
        <w:rPr>
          <w:i/>
          <w:iCs/>
        </w:rPr>
        <w:t xml:space="preserve"> </w:t>
      </w:r>
      <w:proofErr w:type="spellStart"/>
      <w:r w:rsidRPr="00F8119E">
        <w:rPr>
          <w:i/>
          <w:iCs/>
        </w:rPr>
        <w:t>Paerangi</w:t>
      </w:r>
      <w:proofErr w:type="spellEnd"/>
      <w:r w:rsidRPr="00F8119E">
        <w:rPr>
          <w:i/>
          <w:iCs/>
        </w:rPr>
        <w:t xml:space="preserve">, </w:t>
      </w:r>
      <w:proofErr w:type="spellStart"/>
      <w:r w:rsidRPr="00F8119E">
        <w:rPr>
          <w:i/>
          <w:iCs/>
        </w:rPr>
        <w:t>Whiro-te-tipua</w:t>
      </w:r>
      <w:proofErr w:type="spellEnd"/>
      <w:r w:rsidRPr="00F8119E">
        <w:rPr>
          <w:i/>
          <w:iCs/>
        </w:rPr>
        <w:t xml:space="preserve">, lord of darkness, evil and bad omens is held accountable for his actions against </w:t>
      </w:r>
      <w:proofErr w:type="spellStart"/>
      <w:r w:rsidRPr="00F8119E">
        <w:rPr>
          <w:i/>
          <w:iCs/>
        </w:rPr>
        <w:t>Tūmatauenga</w:t>
      </w:r>
      <w:proofErr w:type="spellEnd"/>
      <w:r w:rsidRPr="00F8119E">
        <w:rPr>
          <w:i/>
          <w:iCs/>
        </w:rPr>
        <w:t xml:space="preserve">, God of mankind and war, and sent to reside in the underworld. In another of our stories, Māui, the demi-god, tricks his grandmother </w:t>
      </w:r>
      <w:proofErr w:type="spellStart"/>
      <w:r w:rsidRPr="00F8119E">
        <w:rPr>
          <w:i/>
          <w:iCs/>
        </w:rPr>
        <w:t>Mahuika</w:t>
      </w:r>
      <w:proofErr w:type="spellEnd"/>
      <w:r w:rsidRPr="00F8119E">
        <w:rPr>
          <w:i/>
          <w:iCs/>
        </w:rPr>
        <w:t xml:space="preserve"> in to handing over four of her five ‘nails of fire’. </w:t>
      </w:r>
      <w:proofErr w:type="spellStart"/>
      <w:r w:rsidRPr="00F8119E">
        <w:rPr>
          <w:i/>
          <w:iCs/>
        </w:rPr>
        <w:t>Mahuika</w:t>
      </w:r>
      <w:proofErr w:type="spellEnd"/>
      <w:r w:rsidRPr="00F8119E">
        <w:rPr>
          <w:i/>
          <w:iCs/>
        </w:rPr>
        <w:t xml:space="preserve"> finds out about Māui’s deception and holds him to account. Punishing him by burning him with her last remaining nail.</w:t>
      </w:r>
      <w:r>
        <w:rPr>
          <w:i/>
          <w:iCs/>
        </w:rPr>
        <w:t xml:space="preserve"> </w:t>
      </w:r>
      <w:r>
        <w:rPr>
          <w:i/>
          <w:iCs/>
        </w:rPr>
        <w:fldChar w:fldCharType="begin"/>
      </w:r>
      <w:r w:rsidR="009B0EC4">
        <w:rPr>
          <w:i/>
          <w:iCs/>
        </w:rPr>
        <w:instrText xml:space="preserve"> ADDIN ZOTERO_ITEM CSL_CITATION {"citationID":"nmmTxTFe","properties":{"formattedCitation":"(Haemata Limited 2022b, 16, internal citation omitted)","plainCitation":"(Haemata Limited 2022b, 16, internal citation omitted)","noteIndex":129},"citationItems":[{"id":16275,"uris":["http://zotero.org/groups/4801058/items/W3WC23CJ"],"itemData":{"id":16275,"type":"report","event-place":"Wellington","language":"en","publisher":"Office of the Controller and Auditor-General","publisher-place":"Wellington","title":"Māori perspectives on public accountability","title-short":"Commissioned report","URL":"https://oag.parliament.nz/2022/maori-perspectives","author":[{"literal":"Haemata Limited"}],"accessed":{"date-parts":[["2022",9,28]]},"issued":{"date-parts":[["2022"]]}},"locator":"16","label":"page","suffix":", internal citation omitted"}],"schema":"https://github.com/citation-style-language/schema/raw/master/csl-citation.json"} </w:instrText>
      </w:r>
      <w:r>
        <w:rPr>
          <w:i/>
          <w:iCs/>
        </w:rPr>
        <w:fldChar w:fldCharType="separate"/>
      </w:r>
      <w:r w:rsidR="008C479E" w:rsidRPr="008C479E">
        <w:rPr>
          <w:rFonts w:cs="Calibri"/>
        </w:rPr>
        <w:t>(</w:t>
      </w:r>
      <w:proofErr w:type="spellStart"/>
      <w:r w:rsidR="008C479E" w:rsidRPr="008C479E">
        <w:rPr>
          <w:rFonts w:cs="Calibri"/>
        </w:rPr>
        <w:t>Haemata</w:t>
      </w:r>
      <w:proofErr w:type="spellEnd"/>
      <w:r w:rsidR="008C479E" w:rsidRPr="008C479E">
        <w:rPr>
          <w:rFonts w:cs="Calibri"/>
        </w:rPr>
        <w:t xml:space="preserve"> Limited 2022b, 16, internal citation omitted)</w:t>
      </w:r>
      <w:r>
        <w:rPr>
          <w:i/>
          <w:iCs/>
        </w:rPr>
        <w:fldChar w:fldCharType="end"/>
      </w:r>
      <w:r w:rsidRPr="007E0DBF">
        <w:t>.</w:t>
      </w:r>
      <w:r w:rsidR="00FC3B27">
        <w:rPr>
          <w:i/>
          <w:iCs/>
        </w:rPr>
        <w:t xml:space="preserve"> </w:t>
      </w:r>
    </w:p>
  </w:footnote>
  <w:footnote w:id="131">
    <w:p w14:paraId="1C0D8511" w14:textId="586405F3" w:rsidR="00E21898" w:rsidRDefault="00E21898">
      <w:pPr>
        <w:pStyle w:val="FootnoteText"/>
      </w:pPr>
      <w:r w:rsidRPr="009006D7">
        <w:rPr>
          <w:rStyle w:val="FootnoteReference"/>
        </w:rPr>
        <w:footnoteRef/>
      </w:r>
      <w:r>
        <w:t xml:space="preserve"> </w:t>
      </w:r>
      <w:r>
        <w:tab/>
      </w:r>
      <w:proofErr w:type="spellStart"/>
      <w:r w:rsidR="007F1F89">
        <w:t>Ea</w:t>
      </w:r>
      <w:proofErr w:type="spellEnd"/>
      <w:r w:rsidR="007F1F89">
        <w:t xml:space="preserve"> is </w:t>
      </w:r>
      <w:r w:rsidR="001562EA">
        <w:t xml:space="preserve">the notion of the successful closing of a sequence and the restoring </w:t>
      </w:r>
      <w:r w:rsidR="007535B6">
        <w:t>of relations</w:t>
      </w:r>
      <w:r w:rsidR="00AE511C">
        <w:t xml:space="preserve">hips </w:t>
      </w:r>
      <w:r w:rsidR="00AE511C">
        <w:fldChar w:fldCharType="begin"/>
      </w:r>
      <w:r w:rsidR="009B0EC4">
        <w:instrText xml:space="preserve"> ADDIN ZOTERO_ITEM CSL_CITATION {"citationID":"xPRxBPCP","properties":{"formattedCitation":"(Mead 2003, 35)","plainCitation":"(Mead 2003, 35)","noteIndex":130},"citationItems":[{"id":12424,"uris":["http://zotero.org/users/4659042/items/VLSARQJT"],"itemData":{"id":12424,"type":"book","abstract":"\"This is an authoritative and accessible introduction to tikanga Māori for people wanting to understand the correct Māori ways of doing things. It covers the ways that tikanga guides relationships between people, people's relationship with the natural environment, spiritual areas, and health, and it proposes guidelines to test appropriate tikanga Māori responses to new situations and challenges in contemporary life\"--Publisher information","call-number":"GN667.5 .M43 2016","event-place":"Wellington, Aotearoa","ISBN":"978-1-77550-222-7","note":"OCLC: ocn936552206","number-of-pages":"435","publisher":"Huia Publishers","publisher-place":"Wellington, Aotearoa","source":"Library of Congress ISBN","title":"Tikanga Māori: living by Māori values","title-short":"Tikanga Māori","author":[{"family":"Mead","given":"Hirini Moko"}],"issued":{"date-parts":[["2003"]]}},"locator":"35","label":"page"}],"schema":"https://github.com/citation-style-language/schema/raw/master/csl-citation.json"} </w:instrText>
      </w:r>
      <w:r w:rsidR="00AE511C">
        <w:fldChar w:fldCharType="separate"/>
      </w:r>
      <w:r w:rsidR="00AE511C" w:rsidRPr="00AE511C">
        <w:rPr>
          <w:rFonts w:cs="Calibri"/>
        </w:rPr>
        <w:t>(Mead 2003, 35)</w:t>
      </w:r>
      <w:r w:rsidR="00AE511C">
        <w:fldChar w:fldCharType="end"/>
      </w:r>
      <w:r w:rsidR="00206F5E">
        <w:t>.</w:t>
      </w:r>
    </w:p>
  </w:footnote>
  <w:footnote w:id="132">
    <w:p w14:paraId="38D702BD" w14:textId="3AFCCA3D" w:rsidR="003777D7" w:rsidRPr="003A4473" w:rsidRDefault="003777D7">
      <w:pPr>
        <w:pStyle w:val="FootnoteText"/>
        <w:rPr>
          <w:lang w:val="en-US"/>
        </w:rPr>
      </w:pPr>
      <w:r w:rsidRPr="009006D7">
        <w:rPr>
          <w:rStyle w:val="FootnoteReference"/>
        </w:rPr>
        <w:footnoteRef/>
      </w:r>
      <w:r w:rsidRPr="00C640DA">
        <w:t xml:space="preserve"> </w:t>
      </w:r>
      <w:r w:rsidRPr="00C640DA">
        <w:rPr>
          <w:lang w:val="en-US"/>
        </w:rPr>
        <w:tab/>
      </w:r>
      <w:r w:rsidR="00051FD6" w:rsidRPr="00C640DA">
        <w:rPr>
          <w:lang w:val="en-US"/>
        </w:rPr>
        <w:t xml:space="preserve">Mark </w:t>
      </w:r>
      <w:proofErr w:type="spellStart"/>
      <w:r w:rsidR="00051FD6" w:rsidRPr="00C640DA">
        <w:rPr>
          <w:lang w:val="en-US"/>
        </w:rPr>
        <w:t>Polger</w:t>
      </w:r>
      <w:proofErr w:type="spellEnd"/>
      <w:r w:rsidR="00217EC9" w:rsidRPr="00C640DA">
        <w:rPr>
          <w:lang w:val="en-US"/>
        </w:rPr>
        <w:t xml:space="preserve"> defines disinformation</w:t>
      </w:r>
      <w:r w:rsidR="00E535E2">
        <w:rPr>
          <w:lang w:val="en-US"/>
        </w:rPr>
        <w:t xml:space="preserve"> as</w:t>
      </w:r>
      <w:r w:rsidR="00C640DA">
        <w:rPr>
          <w:lang w:val="en-US"/>
        </w:rPr>
        <w:t xml:space="preserve"> “</w:t>
      </w:r>
      <w:r w:rsidR="00084C91" w:rsidRPr="007C64E1">
        <w:rPr>
          <w:lang w:val="en-US"/>
        </w:rPr>
        <w:t>the deliberate dissemination of false or inaccurate information in order to discredit a person or organizatio</w:t>
      </w:r>
      <w:r w:rsidR="0074428E" w:rsidRPr="007C64E1">
        <w:rPr>
          <w:lang w:val="en-US"/>
        </w:rPr>
        <w:t>n”.</w:t>
      </w:r>
      <w:r w:rsidR="00C640DA">
        <w:rPr>
          <w:lang w:val="en-US"/>
        </w:rPr>
        <w:t xml:space="preserve"> </w:t>
      </w:r>
      <w:r w:rsidR="00217EC9" w:rsidRPr="00C640DA">
        <w:rPr>
          <w:lang w:val="en-US"/>
        </w:rPr>
        <w:t xml:space="preserve">Misinformation is </w:t>
      </w:r>
      <w:r w:rsidR="0074428E" w:rsidRPr="00C640DA">
        <w:rPr>
          <w:lang w:val="en-US"/>
        </w:rPr>
        <w:t>”</w:t>
      </w:r>
      <w:r w:rsidR="0074428E" w:rsidRPr="007C64E1">
        <w:rPr>
          <w:lang w:val="en-US"/>
        </w:rPr>
        <w:t>is the sharing of inaccurate and misleading information in an unintentional way</w:t>
      </w:r>
      <w:r w:rsidR="007C64E1" w:rsidRPr="007C64E1">
        <w:rPr>
          <w:lang w:val="en-US"/>
        </w:rPr>
        <w:t xml:space="preserve">” </w:t>
      </w:r>
      <w:r w:rsidR="007C64E1" w:rsidRPr="007C64E1">
        <w:rPr>
          <w:lang w:val="en-US"/>
        </w:rPr>
        <w:fldChar w:fldCharType="begin"/>
      </w:r>
      <w:r w:rsidR="009B0EC4">
        <w:rPr>
          <w:lang w:val="en-US"/>
        </w:rPr>
        <w:instrText xml:space="preserve"> ADDIN ZOTERO_ITEM CSL_CITATION {"citationID":"M15C0zbn","properties":{"formattedCitation":"(Polger 2022)","plainCitation":"(Polger 2022)","noteIndex":131},"citationItems":[{"id":18494,"uris":["http://zotero.org/groups/4801058/items/JNFF2YRC"],"itemData":{"id":18494,"type":"webpage","abstract":"This Research Guide is adapted from a guide developed by the Research Center at the CUNY Graduate School of Journalism","language":"en","license":"Copyright CUNY College of Staten Island Library 2023","title":"CSI Library: Misinformation and Disinformation: Thinking Critically about Information Sources: Definitions of Terms","title-short":"CSI Library","URL":"https://library.csi.cuny.edu/c.php?g=619342&amp;p=4310781","author":[{"family":"Polger","given":"Mark Aaron"}],"accessed":{"date-parts":[["2023",1,17]]},"issued":{"date-parts":[["2022"]]}}}],"schema":"https://github.com/citation-style-language/schema/raw/master/csl-citation.json"} </w:instrText>
      </w:r>
      <w:r w:rsidR="007C64E1" w:rsidRPr="007C64E1">
        <w:rPr>
          <w:lang w:val="en-US"/>
        </w:rPr>
        <w:fldChar w:fldCharType="separate"/>
      </w:r>
      <w:r w:rsidR="007C64E1" w:rsidRPr="007C64E1">
        <w:rPr>
          <w:rFonts w:cs="Calibri"/>
        </w:rPr>
        <w:t>(</w:t>
      </w:r>
      <w:proofErr w:type="spellStart"/>
      <w:r w:rsidR="007C64E1" w:rsidRPr="007C64E1">
        <w:rPr>
          <w:rFonts w:cs="Calibri"/>
        </w:rPr>
        <w:t>Polger</w:t>
      </w:r>
      <w:proofErr w:type="spellEnd"/>
      <w:r w:rsidR="007C64E1" w:rsidRPr="007C64E1">
        <w:rPr>
          <w:rFonts w:cs="Calibri"/>
        </w:rPr>
        <w:t xml:space="preserve"> 2022)</w:t>
      </w:r>
      <w:r w:rsidR="007C64E1" w:rsidRPr="007C64E1">
        <w:rPr>
          <w:lang w:val="en-US"/>
        </w:rPr>
        <w:fldChar w:fldCharType="end"/>
      </w:r>
      <w:r w:rsidR="0074428E" w:rsidRPr="007C64E1">
        <w:rPr>
          <w:lang w:val="en-US"/>
        </w:rPr>
        <w:t>.</w:t>
      </w:r>
    </w:p>
  </w:footnote>
  <w:footnote w:id="133">
    <w:p w14:paraId="4D175ABC" w14:textId="6D3908A1" w:rsidR="0073394C" w:rsidRPr="00F0646E" w:rsidRDefault="0073394C" w:rsidP="0073394C">
      <w:pPr>
        <w:pStyle w:val="FootnoteText"/>
      </w:pPr>
      <w:r w:rsidRPr="009006D7">
        <w:rPr>
          <w:rStyle w:val="FootnoteReference"/>
        </w:rPr>
        <w:footnoteRef/>
      </w:r>
      <w:r w:rsidRPr="00F0646E">
        <w:t xml:space="preserve"> </w:t>
      </w:r>
      <w:r w:rsidRPr="00F0646E">
        <w:tab/>
        <w:t xml:space="preserve">Giselle Byrnes notes, however, that since 1840, there have been two concurrent histories of </w:t>
      </w:r>
      <w:proofErr w:type="spellStart"/>
      <w:r>
        <w:t>T</w:t>
      </w:r>
      <w:r w:rsidRPr="00F0646E">
        <w:t>e</w:t>
      </w:r>
      <w:proofErr w:type="spellEnd"/>
      <w:r w:rsidRPr="00F0646E">
        <w:t xml:space="preserve"> </w:t>
      </w:r>
      <w:proofErr w:type="spellStart"/>
      <w:r w:rsidRPr="00F0646E">
        <w:t>Tiriti</w:t>
      </w:r>
      <w:proofErr w:type="spellEnd"/>
      <w:r w:rsidRPr="00F0646E">
        <w:t xml:space="preserve"> o Waitangi. Māori have a ‘history of remembering’, and regard </w:t>
      </w:r>
      <w:proofErr w:type="spellStart"/>
      <w:r w:rsidR="001F17D2">
        <w:t>T</w:t>
      </w:r>
      <w:r w:rsidRPr="00F0646E">
        <w:t>e</w:t>
      </w:r>
      <w:proofErr w:type="spellEnd"/>
      <w:r w:rsidRPr="00F0646E">
        <w:t xml:space="preserve"> </w:t>
      </w:r>
      <w:proofErr w:type="spellStart"/>
      <w:r w:rsidRPr="00F0646E">
        <w:t>Tiriti</w:t>
      </w:r>
      <w:proofErr w:type="spellEnd"/>
      <w:r w:rsidRPr="00F0646E">
        <w:t xml:space="preserve"> as a binding and sacred convent between Māori and the Crown, albeit one that the Crown has frequently failed to honour. The dominant (though not exclusive) Pākehā attitude is a ‘history of forgetting’ which “often celebrate it as a remnant of beneficence on behalf of the humanitarian colonisers” </w:t>
      </w:r>
      <w:r w:rsidRPr="00F0646E">
        <w:fldChar w:fldCharType="begin"/>
      </w:r>
      <w:r w:rsidR="009B0EC4">
        <w:instrText xml:space="preserve"> ADDIN ZOTERO_ITEM CSL_CITATION {"citationID":"a2nurbuor79","properties":{"formattedCitation":"(Byrnes 2006, 3)","plainCitation":"(Byrnes 2006, 3)","noteIndex":132},"citationItems":[{"id":17126,"uris":["http://zotero.org/groups/4801058/items/Y9DU3DQW"],"itemData":{"id":17126,"type":"article-journal","container-title":"Kotuitui: New Zealand Journal of Social Sciences Online","DOI":"10.1080/1177083X.2006.9522407","ISSN":"1177-083X","issue":"1","journalAbbreviation":"Kotuitui: New Zealand Journal of Social Sciences Online","language":"en","page":"1-12","source":"DOI.org (Crossref)","title":"“Relic of 1840” or founding document? The treaty, the tribunal and concepts of time","title-short":"“Relic of 1840” or founding document?","volume":"1","author":[{"family":"Byrnes","given":"Giselle"}],"issued":{"date-parts":[["2006",1]]}},"locator":"3","label":"page"}],"schema":"https://github.com/citation-style-language/schema/raw/master/csl-citation.json"} </w:instrText>
      </w:r>
      <w:r w:rsidRPr="00F0646E">
        <w:fldChar w:fldCharType="separate"/>
      </w:r>
      <w:r w:rsidRPr="00F0646E">
        <w:rPr>
          <w:rFonts w:cs="Calibri"/>
          <w:szCs w:val="24"/>
        </w:rPr>
        <w:t>(Byrnes 2006, 3)</w:t>
      </w:r>
      <w:r w:rsidRPr="00F0646E">
        <w:fldChar w:fldCharType="end"/>
      </w:r>
      <w:r w:rsidRPr="00F0646E">
        <w:t>.</w:t>
      </w:r>
    </w:p>
  </w:footnote>
  <w:footnote w:id="134">
    <w:p w14:paraId="1400CF84" w14:textId="6F5E31BF" w:rsidR="0073394C" w:rsidRPr="00F0646E" w:rsidRDefault="0073394C" w:rsidP="0073394C">
      <w:pPr>
        <w:pStyle w:val="FootnoteText"/>
      </w:pPr>
      <w:r w:rsidRPr="009006D7">
        <w:rPr>
          <w:rStyle w:val="FootnoteReference"/>
        </w:rPr>
        <w:footnoteRef/>
      </w:r>
      <w:r w:rsidRPr="00F0646E">
        <w:t xml:space="preserve"> </w:t>
      </w:r>
      <w:r w:rsidRPr="00F0646E">
        <w:tab/>
        <w:t xml:space="preserve">There are two </w:t>
      </w:r>
      <w:r w:rsidR="00544035">
        <w:t>‘</w:t>
      </w:r>
      <w:r w:rsidRPr="00F0646E">
        <w:t>official</w:t>
      </w:r>
      <w:r w:rsidR="00544035">
        <w:t>’</w:t>
      </w:r>
      <w:r w:rsidRPr="00F0646E">
        <w:t xml:space="preserve"> versions of the document signed in Waitangi in 1840, as set out in Schedule 1 of the Treaty of Waitangi Act 1975: one in </w:t>
      </w:r>
      <w:proofErr w:type="spellStart"/>
      <w:r w:rsidRPr="00F0646E">
        <w:t>te</w:t>
      </w:r>
      <w:proofErr w:type="spellEnd"/>
      <w:r w:rsidRPr="00F0646E">
        <w:t xml:space="preserve"> </w:t>
      </w:r>
      <w:proofErr w:type="spellStart"/>
      <w:r w:rsidRPr="00F0646E">
        <w:t>reo</w:t>
      </w:r>
      <w:proofErr w:type="spellEnd"/>
      <w:r w:rsidRPr="00F0646E">
        <w:t xml:space="preserve"> Māori and one in English. </w:t>
      </w:r>
      <w:r w:rsidRPr="00615FB6">
        <w:t xml:space="preserve">There is a third group of “versions” of the treaty, being modern translations from </w:t>
      </w:r>
      <w:proofErr w:type="spellStart"/>
      <w:r w:rsidRPr="00615FB6">
        <w:t>Te</w:t>
      </w:r>
      <w:proofErr w:type="spellEnd"/>
      <w:r w:rsidRPr="00615FB6">
        <w:t xml:space="preserve"> </w:t>
      </w:r>
      <w:proofErr w:type="spellStart"/>
      <w:r w:rsidRPr="00615FB6">
        <w:t>Tiriti</w:t>
      </w:r>
      <w:proofErr w:type="spellEnd"/>
      <w:r w:rsidRPr="00615FB6">
        <w:t xml:space="preserve"> into English. One of the better known is that</w:t>
      </w:r>
      <w:r w:rsidRPr="00F0646E">
        <w:t xml:space="preserve"> of f</w:t>
      </w:r>
      <w:r w:rsidRPr="00615FB6">
        <w:t xml:space="preserve">ormer Waitangi Tribunal member Professor Sir Hugh </w:t>
      </w:r>
      <w:proofErr w:type="spellStart"/>
      <w:r w:rsidRPr="00615FB6">
        <w:t>Kawharu</w:t>
      </w:r>
      <w:proofErr w:type="spellEnd"/>
      <w:r w:rsidRPr="00615FB6">
        <w:t xml:space="preserve"> (</w:t>
      </w:r>
      <w:proofErr w:type="spellStart"/>
      <w:r w:rsidRPr="00615FB6">
        <w:t>Kawharu</w:t>
      </w:r>
      <w:proofErr w:type="spellEnd"/>
      <w:r w:rsidRPr="00615FB6">
        <w:t xml:space="preserve"> 1989).</w:t>
      </w:r>
      <w:r w:rsidRPr="00F0646E">
        <w:t xml:space="preserve"> </w:t>
      </w:r>
    </w:p>
  </w:footnote>
  <w:footnote w:id="135">
    <w:p w14:paraId="1EF2161C" w14:textId="586B5319" w:rsidR="0073394C" w:rsidRPr="00615FB6" w:rsidRDefault="0073394C" w:rsidP="0073394C">
      <w:pPr>
        <w:pStyle w:val="FootnoteText"/>
      </w:pPr>
      <w:r w:rsidRPr="009006D7">
        <w:rPr>
          <w:rStyle w:val="FootnoteReference"/>
        </w:rPr>
        <w:footnoteRef/>
      </w:r>
      <w:r w:rsidRPr="00F0646E">
        <w:t xml:space="preserve"> </w:t>
      </w:r>
      <w:r w:rsidRPr="00F0646E">
        <w:tab/>
      </w:r>
      <w:r w:rsidRPr="00615FB6">
        <w:t>In relation to the South Island, a separate proclamation recorded that Hobson had been commanded by the Queen to assert sovereignty. This was, in the view of the Colonial Office, an appropriate way to proceed if</w:t>
      </w:r>
      <w:r w:rsidRPr="00F0646E">
        <w:t xml:space="preserve"> </w:t>
      </w:r>
      <w:r w:rsidRPr="00615FB6">
        <w:t>cessation</w:t>
      </w:r>
      <w:r w:rsidRPr="00615FB6" w:rsidDel="00DD5425">
        <w:t xml:space="preserve"> </w:t>
      </w:r>
      <w:r w:rsidRPr="00615FB6">
        <w:t xml:space="preserve">via a treaty was not possible in the South Island. Hobson’s advice, based on his earlier visit to New Zealand, was that Māori in the South Island were not sufficiently organised to cede sovereignty </w:t>
      </w:r>
      <w:r w:rsidRPr="00615FB6">
        <w:fldChar w:fldCharType="begin"/>
      </w:r>
      <w:r w:rsidR="009B0EC4">
        <w:instrText xml:space="preserve"> ADDIN ZOTERO_ITEM CSL_CITATION {"citationID":"XCcTNDLa","properties":{"formattedCitation":"(Adams 2015, sec. 3090)","plainCitation":"(Adams 2015, sec. 3090)","noteIndex":134},"citationItems":[{"id":13409,"uris":["http://zotero.org/groups/4544915/items/ZP7Y84DD"],"itemData":{"id":13409,"type":"book","edition":"Kindle Edition","event-place":"Wellington","publisher":"Bridget Williams Books","publisher-place":"Wellington","title":"Fatal Necessity: British Intervention in New Zealand, 1830–1847","author":[{"family":"Adams","given":"Peter"}],"issued":{"date-parts":[["2015"]]}},"locator":"3090","label":"section"}],"schema":"https://github.com/citation-style-language/schema/raw/master/csl-citation.json"} </w:instrText>
      </w:r>
      <w:r w:rsidRPr="00615FB6">
        <w:fldChar w:fldCharType="separate"/>
      </w:r>
      <w:r w:rsidRPr="00F0646E">
        <w:rPr>
          <w:rFonts w:cs="Calibri"/>
        </w:rPr>
        <w:t>(Adams 2015, sec. 3090)</w:t>
      </w:r>
      <w:r w:rsidRPr="00615FB6">
        <w:fldChar w:fldCharType="end"/>
      </w:r>
      <w:r>
        <w:t>.</w:t>
      </w:r>
    </w:p>
  </w:footnote>
  <w:footnote w:id="136">
    <w:p w14:paraId="4846F40F" w14:textId="57956894" w:rsidR="0073394C" w:rsidRPr="00615FB6" w:rsidRDefault="0073394C" w:rsidP="0073394C">
      <w:pPr>
        <w:pStyle w:val="FootnoteText"/>
      </w:pPr>
      <w:r w:rsidRPr="009006D7">
        <w:rPr>
          <w:rStyle w:val="FootnoteReference"/>
        </w:rPr>
        <w:footnoteRef/>
      </w:r>
      <w:r w:rsidRPr="00F0646E">
        <w:t xml:space="preserve"> </w:t>
      </w:r>
      <w:r w:rsidRPr="00F0646E">
        <w:rPr>
          <w:szCs w:val="22"/>
        </w:rPr>
        <w:tab/>
      </w:r>
      <w:r w:rsidRPr="00F0646E">
        <w:rPr>
          <w:szCs w:val="18"/>
        </w:rPr>
        <w:t xml:space="preserve">These </w:t>
      </w:r>
      <w:r w:rsidRPr="00F0646E">
        <w:t xml:space="preserve">institutions included, in 1852, a General Assembly with plenary law-making powers. Few Māori were qualified to vote for elections for the lower house of the Assembly. No Māori were elected and none of the appointed members of the upper house, the Legislative Council, were Māori </w:t>
      </w:r>
      <w:r w:rsidRPr="00F0646E">
        <w:fldChar w:fldCharType="begin"/>
      </w:r>
      <w:r w:rsidR="009B0EC4">
        <w:instrText xml:space="preserve"> ADDIN ZOTERO_ITEM CSL_CITATION {"citationID":"bq7zAIOt","properties":{"formattedCitation":"(\\uc0\\u8216{}List of Members of the New Zealand Legislative Council\\uc0\\u8217{} 2022)","plainCitation":"(‘List of Members of the New Zealand Legislative Council’ 2022)","noteIndex":135},"citationItems":[{"id":13298,"uris":["http://zotero.org/groups/4544915/items/3NPQ54YJ"],"itemData":{"id":13298,"type":"entry-encyclopedia","abstract":"The following is a complete list of members of the New Zealand Legislative Council. The Legislative Council was New Zealand's upper house and existed from 1853 until its abolition in 1950. Initially appointed for life, tenure was changed to seven-year terms in 1891 for new appointments. New Zealand had 330 members of the Legislative Council, five of whom were women. Twice during its existence, in 1885 and 1950, membership peaked at 53 councillors; on the second occasion due to the so-called suicide squad that the National Government appointed to ensure that members voted for the abolition of the Legislative Council.","container-title":"Wikipedia","language":"en","license":"Creative Commons Attribution-ShareAlike License","note":"Page Version ID: 1067124277","source":"Wikipedia","title":"List of members of the New Zealand Legislative Council","URL":"https://en.wikipedia.org/w/index.php?title=List_of_members_of_the_New_Zealand_Legislative_Council&amp;oldid=1067124277","accessed":{"date-parts":[["2022",1,22]]},"issued":{"date-parts":[["2022",1,21]]}}}],"schema":"https://github.com/citation-style-language/schema/raw/master/csl-citation.json"} </w:instrText>
      </w:r>
      <w:r w:rsidRPr="00F0646E">
        <w:fldChar w:fldCharType="separate"/>
      </w:r>
      <w:r w:rsidRPr="00F0646E">
        <w:rPr>
          <w:rFonts w:cs="Calibri"/>
        </w:rPr>
        <w:t>(‘List of Members of the New Zealand Legislative Council’ 2022)</w:t>
      </w:r>
      <w:r w:rsidRPr="00F0646E">
        <w:fldChar w:fldCharType="end"/>
      </w:r>
      <w:r w:rsidRPr="00F0646E">
        <w:t xml:space="preserve">. The first Māori, and indeed New Zealand-born MPs were elected in 1871, after the passing of the Māori Representation Act 1867 </w:t>
      </w:r>
      <w:r w:rsidRPr="00F0646E">
        <w:fldChar w:fldCharType="begin"/>
      </w:r>
      <w:r w:rsidR="009B0EC4">
        <w:instrText xml:space="preserve"> ADDIN ZOTERO_ITEM CSL_CITATION {"citationID":"UtvBFY9o","properties":{"formattedCitation":"(Ministry for Culture and Heritage 2016)","plainCitation":"(Ministry for Culture and Heritage 2016)","noteIndex":135},"citationItems":[{"id":13299,"uris":["http://zotero.org/groups/4544915/items/9285K79H"],"itemData":{"id":13299,"type":"webpage","abstract":"Early Māori representation in New Zealand elections.","container-title":"New Zealand History","language":"en","title":"Setting up the Māori seats","URL":"https://nzhistory.govt.nz/politics/maori-and-the-vote/setting-up-seats","author":[{"family":"Ministry for Culture and Heritage","given":""}],"accessed":{"date-parts":[["2022",1,22]]},"issued":{"date-parts":[["2016"]]}}}],"schema":"https://github.com/citation-style-language/schema/raw/master/csl-citation.json"} </w:instrText>
      </w:r>
      <w:r w:rsidRPr="00F0646E">
        <w:fldChar w:fldCharType="separate"/>
      </w:r>
      <w:r w:rsidRPr="00F0646E">
        <w:rPr>
          <w:rFonts w:cs="Calibri"/>
        </w:rPr>
        <w:t>(Ministry for Culture and Heritage 2016)</w:t>
      </w:r>
      <w:r w:rsidRPr="00F0646E">
        <w:fldChar w:fldCharType="end"/>
      </w:r>
      <w:r w:rsidRPr="00F0646E">
        <w:t>.</w:t>
      </w:r>
      <w:r>
        <w:rPr>
          <w:szCs w:val="22"/>
        </w:rPr>
        <w:t xml:space="preserve"> </w:t>
      </w:r>
      <w:r w:rsidRPr="00F0646E">
        <w:rPr>
          <w:szCs w:val="18"/>
        </w:rPr>
        <w:t xml:space="preserve">These </w:t>
      </w:r>
      <w:r w:rsidRPr="00F0646E">
        <w:t xml:space="preserve">institutions included, in 1852, a General Assembly with plenary law-making powers. Few Māori were qualified to vote for elections for the lower house of the Assembly. No Māori were elected and none of the appointed members of the upper house, the Legislative Council, were Māori </w:t>
      </w:r>
      <w:r w:rsidRPr="00F0646E">
        <w:fldChar w:fldCharType="begin"/>
      </w:r>
      <w:r w:rsidR="009B0EC4">
        <w:instrText xml:space="preserve"> ADDIN ZOTERO_ITEM CSL_CITATION {"citationID":"S16D2IxZ","properties":{"formattedCitation":"(\\uc0\\u8216{}List of Members of the New Zealand Legislative Council\\uc0\\u8217{} 2022)","plainCitation":"(‘List of Members of the New Zealand Legislative Council’ 2022)","noteIndex":135},"citationItems":[{"id":13298,"uris":["http://zotero.org/groups/4544915/items/3NPQ54YJ"],"itemData":{"id":13298,"type":"entry-encyclopedia","abstract":"The following is a complete list of members of the New Zealand Legislative Council. The Legislative Council was New Zealand's upper house and existed from 1853 until its abolition in 1950. Initially appointed for life, tenure was changed to seven-year terms in 1891 for new appointments. New Zealand had 330 members of the Legislative Council, five of whom were women. Twice during its existence, in 1885 and 1950, membership peaked at 53 councillors; on the second occasion due to the so-called suicide squad that the National Government appointed to ensure that members voted for the abolition of the Legislative Council.","container-title":"Wikipedia","language":"en","license":"Creative Commons Attribution-ShareAlike License","note":"Page Version ID: 1067124277","source":"Wikipedia","title":"List of members of the New Zealand Legislative Council","URL":"https://en.wikipedia.org/w/index.php?title=List_of_members_of_the_New_Zealand_Legislative_Council&amp;oldid=1067124277","accessed":{"date-parts":[["2022",1,22]]},"issued":{"date-parts":[["2022",1,21]]}}}],"schema":"https://github.com/citation-style-language/schema/raw/master/csl-citation.json"} </w:instrText>
      </w:r>
      <w:r w:rsidRPr="00F0646E">
        <w:fldChar w:fldCharType="separate"/>
      </w:r>
      <w:r w:rsidRPr="00F0646E">
        <w:rPr>
          <w:rFonts w:cs="Calibri"/>
        </w:rPr>
        <w:t>(‘List of Members of the New Zealand Legislative Council’ 2022)</w:t>
      </w:r>
      <w:r w:rsidRPr="00F0646E">
        <w:fldChar w:fldCharType="end"/>
      </w:r>
      <w:r w:rsidRPr="00F0646E">
        <w:t xml:space="preserve">. The first Māori, and indeed New Zealand-born MPs were elected in 1871, after the passing of the Māori Representation Act 1867 </w:t>
      </w:r>
      <w:r w:rsidRPr="00F0646E">
        <w:fldChar w:fldCharType="begin"/>
      </w:r>
      <w:r w:rsidR="009B0EC4">
        <w:instrText xml:space="preserve"> ADDIN ZOTERO_ITEM CSL_CITATION {"citationID":"1M0tC9Dw","properties":{"formattedCitation":"(Ministry for Culture and Heritage 2016)","plainCitation":"(Ministry for Culture and Heritage 2016)","noteIndex":135},"citationItems":[{"id":13299,"uris":["http://zotero.org/groups/4544915/items/9285K79H"],"itemData":{"id":13299,"type":"webpage","abstract":"Early Māori representation in New Zealand elections.","container-title":"New Zealand History","language":"en","title":"Setting up the Māori seats","URL":"https://nzhistory.govt.nz/politics/maori-and-the-vote/setting-up-seats","author":[{"family":"Ministry for Culture and Heritage","given":""}],"accessed":{"date-parts":[["2022",1,22]]},"issued":{"date-parts":[["2016"]]}}}],"schema":"https://github.com/citation-style-language/schema/raw/master/csl-citation.json"} </w:instrText>
      </w:r>
      <w:r w:rsidRPr="00F0646E">
        <w:fldChar w:fldCharType="separate"/>
      </w:r>
      <w:r w:rsidRPr="00F0646E">
        <w:rPr>
          <w:rFonts w:cs="Calibri"/>
        </w:rPr>
        <w:t>(Ministry for Culture and Heritage 2016)</w:t>
      </w:r>
      <w:r w:rsidRPr="00F0646E">
        <w:fldChar w:fldCharType="end"/>
      </w:r>
      <w:r w:rsidRPr="00F0646E">
        <w:t xml:space="preserve">. </w:t>
      </w:r>
    </w:p>
  </w:footnote>
  <w:footnote w:id="137">
    <w:p w14:paraId="650DACA7" w14:textId="38C0FDCD" w:rsidR="0073394C" w:rsidRPr="00615FB6" w:rsidRDefault="0073394C" w:rsidP="0073394C">
      <w:pPr>
        <w:pStyle w:val="FootnoteText"/>
      </w:pPr>
      <w:r w:rsidRPr="009006D7">
        <w:rPr>
          <w:rStyle w:val="FootnoteReference"/>
        </w:rPr>
        <w:footnoteRef/>
      </w:r>
      <w:r w:rsidRPr="00F0646E">
        <w:t xml:space="preserve"> </w:t>
      </w:r>
      <w:r w:rsidRPr="00F0646E">
        <w:tab/>
        <w:t>Stats NZ 2018 Census data. The Census also shows that 27 percent of the population who were born overseas, including about 15,000 Māori. In Auckland, which has both our largest Māori and overseas born populations, immigrants are 40 percent of the population and Māori are 11 percent (and about 3,900 of Auckland’s Māori were born overseas).</w:t>
      </w:r>
      <w:r w:rsidR="002050F2">
        <w:t xml:space="preserve"> </w:t>
      </w:r>
    </w:p>
  </w:footnote>
  <w:footnote w:id="138">
    <w:p w14:paraId="58A56E44" w14:textId="03550BF3" w:rsidR="0073394C" w:rsidRPr="00F0646E" w:rsidRDefault="0073394C" w:rsidP="0073394C">
      <w:pPr>
        <w:pStyle w:val="FootnoteText"/>
      </w:pPr>
      <w:r w:rsidRPr="009006D7">
        <w:rPr>
          <w:rStyle w:val="FootnoteReference"/>
        </w:rPr>
        <w:footnoteRef/>
      </w:r>
      <w:r w:rsidRPr="00F0646E">
        <w:t xml:space="preserve"> </w:t>
      </w:r>
      <w:r w:rsidRPr="00F0646E">
        <w:tab/>
        <w:t xml:space="preserve">As Caroline Saunders and Paul Dalziel argue in their book </w:t>
      </w:r>
      <w:r w:rsidRPr="00F0646E">
        <w:rPr>
          <w:i/>
          <w:iCs/>
        </w:rPr>
        <w:t>Wellbeing Economics</w:t>
      </w:r>
      <w:r w:rsidRPr="00F0646E">
        <w:t xml:space="preserve">, </w:t>
      </w:r>
      <w:r w:rsidRPr="00F0646E">
        <w:rPr>
          <w:b/>
          <w:bCs/>
        </w:rPr>
        <w:t>some</w:t>
      </w:r>
      <w:r w:rsidRPr="00F0646E">
        <w:t xml:space="preserve"> of the rights Māori retain under </w:t>
      </w:r>
      <w:proofErr w:type="spellStart"/>
      <w:r w:rsidR="001F17D2">
        <w:t>T</w:t>
      </w:r>
      <w:r w:rsidRPr="00F0646E">
        <w:t>e</w:t>
      </w:r>
      <w:proofErr w:type="spellEnd"/>
      <w:r w:rsidRPr="00F0646E">
        <w:t xml:space="preserve"> </w:t>
      </w:r>
      <w:proofErr w:type="spellStart"/>
      <w:r w:rsidRPr="00F0646E">
        <w:t>Tiriti</w:t>
      </w:r>
      <w:proofErr w:type="spellEnd"/>
      <w:r w:rsidRPr="00F0646E">
        <w:t xml:space="preserve"> are what all citizens should expect: good government in return for protection of property rights and equality of civil rights. </w:t>
      </w:r>
      <w:r w:rsidRPr="00F0646E">
        <w:fldChar w:fldCharType="begin"/>
      </w:r>
      <w:r w:rsidR="009B0EC4">
        <w:instrText xml:space="preserve"> ADDIN ZOTERO_ITEM CSL_CITATION {"citationID":"a152jdh9413","properties":{"formattedCitation":"(Dalziel and Saunders 2014a, 43)","plainCitation":"(Dalziel and Saunders 2014a, 43)","noteIndex":137},"citationItems":[{"id":13174,"uris":["http://zotero.org/users/4659042/items/LQUAAZ6E"],"itemData":{"id":13174,"type":"book","event-place":"Wellington","publisher":"BWB Books","publisher-place":"Wellington","title":"Wellbeing Economics","author":[{"family":"Dalziel","given":"Paul"},{"family":"Saunders","given":"Caroline"}],"issued":{"date-parts":[["2014"]]}},"locator":"43","label":"page"}],"schema":"https://github.com/citation-style-language/schema/raw/master/csl-citation.json"} </w:instrText>
      </w:r>
      <w:r w:rsidRPr="00F0646E">
        <w:fldChar w:fldCharType="separate"/>
      </w:r>
      <w:r w:rsidR="00D56396" w:rsidRPr="00D56396">
        <w:rPr>
          <w:rFonts w:cs="Calibri"/>
        </w:rPr>
        <w:t>(Dalziel and Saunders 2014a, 43)</w:t>
      </w:r>
      <w:r w:rsidRPr="00F0646E">
        <w:fldChar w:fldCharType="end"/>
      </w:r>
      <w:r w:rsidRPr="00F0646E">
        <w:t xml:space="preserve">. Māori, however, retain the right of </w:t>
      </w:r>
      <w:proofErr w:type="spellStart"/>
      <w:r w:rsidRPr="00F0646E">
        <w:t>tino</w:t>
      </w:r>
      <w:proofErr w:type="spellEnd"/>
      <w:r w:rsidRPr="00F0646E">
        <w:t xml:space="preserve"> rangatiratanga: the right to determine how to live their lives as Māori.</w:t>
      </w:r>
    </w:p>
  </w:footnote>
  <w:footnote w:id="139">
    <w:p w14:paraId="76329675" w14:textId="6C20D2B4" w:rsidR="00B25B11" w:rsidRPr="008524FC" w:rsidRDefault="00B25B11" w:rsidP="004451A9">
      <w:pPr>
        <w:pStyle w:val="FootnoteText"/>
        <w:rPr>
          <w:lang w:val="en-US"/>
        </w:rPr>
      </w:pPr>
      <w:r w:rsidRPr="009006D7">
        <w:rPr>
          <w:rStyle w:val="FootnoteReference"/>
        </w:rPr>
        <w:footnoteRef/>
      </w:r>
      <w:r>
        <w:t xml:space="preserve"> </w:t>
      </w:r>
      <w:r>
        <w:rPr>
          <w:lang w:val="en-US"/>
        </w:rPr>
        <w:tab/>
      </w:r>
      <w:r w:rsidR="004451A9">
        <w:rPr>
          <w:lang w:val="en-US"/>
        </w:rPr>
        <w:t xml:space="preserve">As Ahmed Shaheed and </w:t>
      </w:r>
      <w:r w:rsidR="00BB147A">
        <w:rPr>
          <w:lang w:val="en-US"/>
        </w:rPr>
        <w:t>Rose Par</w:t>
      </w:r>
      <w:r w:rsidR="00FB1496">
        <w:rPr>
          <w:lang w:val="en-US"/>
        </w:rPr>
        <w:t>r</w:t>
      </w:r>
      <w:r w:rsidR="00BB147A">
        <w:rPr>
          <w:lang w:val="en-US"/>
        </w:rPr>
        <w:t xml:space="preserve">is Richter comment, </w:t>
      </w:r>
      <w:r w:rsidRPr="00F0646E">
        <w:t xml:space="preserve">“All cultures—Western or otherwise—are acquainted with the experience of injustices, which beget demands for the recognition of human rights from oppressed populations that later give rise to human rights reforms. It is this “collective experience with injustice” which constitutes an authoritative foundation on which to build a theory of rights.” </w:t>
      </w:r>
      <w:r w:rsidRPr="00F0646E">
        <w:fldChar w:fldCharType="begin"/>
      </w:r>
      <w:r w:rsidR="009B0EC4">
        <w:instrText xml:space="preserve"> ADDIN ZOTERO_ITEM CSL_CITATION {"citationID":"a1o1dsqr7uc","properties":{"formattedCitation":"(Shaheed and Richter 2018)","plainCitation":"(Shaheed and Richter 2018)","noteIndex":138},"citationItems":[{"id":17083,"uris":["http://zotero.org/groups/4801058/items/UUZAIVBU"],"itemData":{"id":17083,"type":"post-weblog","abstract":"Critics of the notion that human rights are universal often assert that human rights originated in the West, reflect Western interests, and are a weapon of cultural hegemony or a new form of imperialism.","container-title":"IPI Global Observatory","language":"en-US","note":"section: Analysis","title":"Is “Human Rights” a Western Concept?","URL":"https://theglobalobservatory.org/2018/10/are-human-rights-a-western-concept/","author":[{"family":"Shaheed","given":"Ahmed"},{"family":"Richter","given":"Rose Parris"}],"accessed":{"date-parts":[["2022",11,19]]},"issued":{"date-parts":[["2018",10,17]]}}}],"schema":"https://github.com/citation-style-language/schema/raw/master/csl-citation.json"} </w:instrText>
      </w:r>
      <w:r w:rsidRPr="00F0646E">
        <w:fldChar w:fldCharType="separate"/>
      </w:r>
      <w:r w:rsidRPr="00F0646E">
        <w:rPr>
          <w:rFonts w:cs="Calibri"/>
          <w:szCs w:val="24"/>
        </w:rPr>
        <w:t>(Shaheed and Richter 2018)</w:t>
      </w:r>
      <w:r w:rsidRPr="00F0646E">
        <w:fldChar w:fldCharType="end"/>
      </w:r>
      <w:r>
        <w:t>.</w:t>
      </w:r>
    </w:p>
  </w:footnote>
  <w:footnote w:id="140">
    <w:p w14:paraId="23B405BC" w14:textId="27C862B6" w:rsidR="00251327" w:rsidRDefault="00251327">
      <w:pPr>
        <w:pStyle w:val="FootnoteText"/>
      </w:pPr>
      <w:r w:rsidRPr="009006D7">
        <w:rPr>
          <w:rStyle w:val="FootnoteReference"/>
        </w:rPr>
        <w:footnoteRef/>
      </w:r>
      <w:r>
        <w:t xml:space="preserve"> </w:t>
      </w:r>
      <w:r>
        <w:tab/>
      </w:r>
      <w:r w:rsidRPr="00C435B2">
        <w:t xml:space="preserve">Neither </w:t>
      </w:r>
      <w:proofErr w:type="spellStart"/>
      <w:r w:rsidR="001F17D2">
        <w:t>T</w:t>
      </w:r>
      <w:r w:rsidRPr="00C435B2">
        <w:t>e</w:t>
      </w:r>
      <w:proofErr w:type="spellEnd"/>
      <w:r w:rsidRPr="00C435B2">
        <w:t xml:space="preserve"> </w:t>
      </w:r>
      <w:proofErr w:type="spellStart"/>
      <w:r w:rsidRPr="00C435B2">
        <w:t>Tiriti</w:t>
      </w:r>
      <w:proofErr w:type="spellEnd"/>
      <w:r w:rsidRPr="00C435B2">
        <w:t xml:space="preserve"> </w:t>
      </w:r>
      <w:r w:rsidR="001F17D2">
        <w:t xml:space="preserve">o Waitangi </w:t>
      </w:r>
      <w:r w:rsidRPr="00C435B2">
        <w:t xml:space="preserve">nor the Treaty mention migration from anywhere other than England, </w:t>
      </w:r>
      <w:proofErr w:type="gramStart"/>
      <w:r w:rsidRPr="00C435B2">
        <w:t>Australia</w:t>
      </w:r>
      <w:proofErr w:type="gramEnd"/>
      <w:r w:rsidRPr="00C435B2">
        <w:t xml:space="preserve"> and Europe.</w:t>
      </w:r>
      <w:r w:rsidR="007F3577">
        <w:t xml:space="preserve"> </w:t>
      </w:r>
      <w:r w:rsidR="007F3577" w:rsidRPr="00C435B2">
        <w:t xml:space="preserve">Former Waitangi Tribunal member Professor Sir Hugh </w:t>
      </w:r>
      <w:proofErr w:type="spellStart"/>
      <w:r w:rsidR="007F3577" w:rsidRPr="00C435B2">
        <w:t>Kawharu</w:t>
      </w:r>
      <w:proofErr w:type="spellEnd"/>
      <w:r w:rsidR="007F3577" w:rsidRPr="00C435B2">
        <w:t xml:space="preserve"> translated part of the preamble to </w:t>
      </w:r>
      <w:proofErr w:type="spellStart"/>
      <w:r w:rsidR="007F3577" w:rsidRPr="00C435B2">
        <w:t>Te</w:t>
      </w:r>
      <w:proofErr w:type="spellEnd"/>
      <w:r w:rsidR="007F3577" w:rsidRPr="00C435B2">
        <w:t xml:space="preserve"> </w:t>
      </w:r>
      <w:proofErr w:type="spellStart"/>
      <w:r w:rsidR="007F3577" w:rsidRPr="00C435B2">
        <w:t>Tiriti</w:t>
      </w:r>
      <w:proofErr w:type="spellEnd"/>
      <w:r w:rsidR="007F3577" w:rsidRPr="00C435B2">
        <w:t xml:space="preserve"> as “many of [the Queen’s] subjects already living on this land and others yet to come”</w:t>
      </w:r>
      <w:r w:rsidR="007F3577" w:rsidRPr="00C435B2">
        <w:fldChar w:fldCharType="begin"/>
      </w:r>
      <w:r w:rsidR="009B0EC4">
        <w:instrText xml:space="preserve"> ADDIN ZOTERO_ITEM CSL_CITATION {"citationID":"Gz98eGlM","properties":{"formattedCitation":"(Kawharu 1989)","plainCitation":"(Kawharu 1989)","noteIndex":139},"citationItems":[{"id":12419,"uris":["http://zotero.org/users/4659042/items/AH8TBDBU"],"itemData":{"id":12419,"type":"report","publisher":"Waitangi Tribunal","title":"Translation of the te reo Māori text","URL":"https://waitangitribunal.govt.nz/treaty-of-waitangi/translation-of-te-reo-maori-text/","author":[{"family":"Kawharu","given":"Hugh"}],"accessed":{"date-parts":[["2021",12,17]]},"issued":{"date-parts":[["1989"]]}}}],"schema":"https://github.com/citation-style-language/schema/raw/master/csl-citation.json"} </w:instrText>
      </w:r>
      <w:r w:rsidR="007F3577" w:rsidRPr="00C435B2">
        <w:fldChar w:fldCharType="separate"/>
      </w:r>
      <w:r w:rsidR="007F3577" w:rsidRPr="00C435B2">
        <w:t>(</w:t>
      </w:r>
      <w:proofErr w:type="spellStart"/>
      <w:r w:rsidR="007F3577" w:rsidRPr="00C435B2">
        <w:t>Kawharu</w:t>
      </w:r>
      <w:proofErr w:type="spellEnd"/>
      <w:r w:rsidR="007F3577" w:rsidRPr="00C435B2">
        <w:t xml:space="preserve"> 1989)</w:t>
      </w:r>
      <w:r w:rsidR="007F3577" w:rsidRPr="00C435B2">
        <w:fldChar w:fldCharType="end"/>
      </w:r>
      <w:r w:rsidR="007F3577" w:rsidRPr="00C435B2">
        <w:t>. The English version refers to “the great number of Her Majesty’s Subjects who have already settled in New Zealand and the rapid extension of Emigration both from Europe and Australia which is still in progress”.</w:t>
      </w:r>
    </w:p>
  </w:footnote>
  <w:footnote w:id="141">
    <w:p w14:paraId="64A25C66" w14:textId="74EC34AD" w:rsidR="00FA12B5" w:rsidRPr="00F0646E" w:rsidRDefault="00FA12B5" w:rsidP="00FA12B5">
      <w:pPr>
        <w:pStyle w:val="FootnoteText"/>
      </w:pPr>
      <w:r w:rsidRPr="009006D7">
        <w:rPr>
          <w:rStyle w:val="FootnoteReference"/>
        </w:rPr>
        <w:footnoteRef/>
      </w:r>
      <w:r w:rsidRPr="00F0646E">
        <w:t xml:space="preserve"> </w:t>
      </w:r>
      <w:r w:rsidRPr="00F0646E">
        <w:tab/>
        <w:t xml:space="preserve">For guides to the current system, see Office of the Clerk of the House of Representatives </w:t>
      </w:r>
      <w:r w:rsidRPr="00F0646E">
        <w:fldChar w:fldCharType="begin"/>
      </w:r>
      <w:r w:rsidR="009B0EC4">
        <w:instrText xml:space="preserve"> ADDIN ZOTERO_ITEM CSL_CITATION {"citationID":"fCwGDaxM","properties":{"formattedCitation":"(2014)","plainCitation":"(2014)","noteIndex":140},"citationItems":[{"id":14087,"uris":["http://zotero.org/groups/4623831/items/8JSGGIC8"],"itemData":{"id":14087,"type":"report","abstract":"An important function of the House of Representatives is holding the Government to account for its actions. The term ‘responsible government’ means that the Government has the confidence of the elected House from which its members are drawn. As a consequence, the Government is required to be accountable to the House.","event-place":"Wellington","language":"en","publisher":"New Zealand Parliament","publisher-place":"Wellington","title":"Government Accountability to the House","title-short":"Parliament Brief","URL":"https://www.parliament.nz/en/visit-and-learn/how-parliament-works/fact-sheets/pbrief1/","author":[{"family":"Office of the Clerk of the House of Representatives","given":""}],"accessed":{"date-parts":[["2022",4,4]]},"issued":{"date-parts":[["2014"]]}},"suppress-author":true}],"schema":"https://github.com/citation-style-language/schema/raw/master/csl-citation.json"} </w:instrText>
      </w:r>
      <w:r w:rsidRPr="00F0646E">
        <w:fldChar w:fldCharType="separate"/>
      </w:r>
      <w:r w:rsidRPr="00F0646E">
        <w:rPr>
          <w:rFonts w:cs="Calibri"/>
        </w:rPr>
        <w:t>(2014)</w:t>
      </w:r>
      <w:r w:rsidRPr="00F0646E">
        <w:fldChar w:fldCharType="end"/>
      </w:r>
      <w:r w:rsidRPr="00F0646E">
        <w:t xml:space="preserve">, Office of the Auditor-General </w:t>
      </w:r>
      <w:r w:rsidRPr="00F0646E">
        <w:fldChar w:fldCharType="begin"/>
      </w:r>
      <w:r w:rsidR="009B0EC4">
        <w:instrText xml:space="preserve"> ADDIN ZOTERO_ITEM CSL_CITATION {"citationID":"M3awIQkk","properties":{"formattedCitation":"(2019)","plainCitation":"(2019)","noteIndex":140},"citationItems":[{"id":14085,"uris":["http://zotero.org/groups/4623831/items/9J8H3GIX"],"itemData":{"id":14085,"type":"report","event-place":"Wellington","language":"English","note":"OCLC: 1291717095","publisher":"Office of the Auditor-General","publisher-place":"Wellington","source":"Open WorldCat","title":"Public accountability: a matter of trust and confidence.","title-short":"Public accountability","URL":"https://www.oag.govt.nz/2019/public-accountability?utm_source=subs&amp;utm_medium=subs&amp;utm_campaign=public-accountability","author":[{"literal":"Office of the Controller and Auditor-General"}],"accessed":{"date-parts":[["2022",4,4]]},"issued":{"date-parts":[["2019"]]}},"suppress-author":true}],"schema":"https://github.com/citation-style-language/schema/raw/master/csl-citation.json"} </w:instrText>
      </w:r>
      <w:r w:rsidRPr="00F0646E">
        <w:fldChar w:fldCharType="separate"/>
      </w:r>
      <w:r w:rsidRPr="00F0646E">
        <w:rPr>
          <w:rFonts w:cs="Calibri"/>
        </w:rPr>
        <w:t>(2019)</w:t>
      </w:r>
      <w:r w:rsidRPr="00F0646E">
        <w:fldChar w:fldCharType="end"/>
      </w:r>
      <w:r w:rsidRPr="00F0646E">
        <w:t xml:space="preserve"> and Chapter 5 of Boston et al. </w:t>
      </w:r>
      <w:r w:rsidRPr="00F0646E">
        <w:fldChar w:fldCharType="begin"/>
      </w:r>
      <w:r w:rsidR="009B0EC4">
        <w:instrText xml:space="preserve"> ADDIN ZOTERO_ITEM CSL_CITATION {"citationID":"8qem3Rvd","properties":{"formattedCitation":"(2019)","plainCitation":"(2019)","noteIndex":140},"citationItems":[{"id":14046,"uris":["http://zotero.org/groups/4623831/items/ZIE9YQFQ"],"itemData":{"id":14046,"type":"book","event-place":"Wellington","publisher":"Institute for Governance and Policy Studies","publisher-place":"Wellington","title":"Foresight, insight and oversight: Enhancing long-term governance through better parliamentary scrutiny","author":[{"family":"Boston","given":"Jonathan"},{"family":"Bagnall","given":"David"},{"family":"Barry","given":"Anna"}],"issued":{"date-parts":[["2019"]]}},"suppress-author":true}],"schema":"https://github.com/citation-style-language/schema/raw/master/csl-citation.json"} </w:instrText>
      </w:r>
      <w:r w:rsidRPr="00F0646E">
        <w:fldChar w:fldCharType="separate"/>
      </w:r>
      <w:r w:rsidRPr="00F0646E">
        <w:rPr>
          <w:rFonts w:cs="Calibri"/>
        </w:rPr>
        <w:t>(2019)</w:t>
      </w:r>
      <w:r w:rsidRPr="00F0646E">
        <w:fldChar w:fldCharType="end"/>
      </w:r>
      <w:r w:rsidRPr="00F0646E">
        <w:t>.</w:t>
      </w:r>
    </w:p>
  </w:footnote>
  <w:footnote w:id="142">
    <w:p w14:paraId="1280DA11" w14:textId="77777777" w:rsidR="00543888" w:rsidRPr="00F0646E" w:rsidRDefault="00543888" w:rsidP="00543888">
      <w:pPr>
        <w:pStyle w:val="FootnoteText"/>
      </w:pPr>
      <w:r w:rsidRPr="009006D7">
        <w:rPr>
          <w:rStyle w:val="FootnoteReference"/>
        </w:rPr>
        <w:footnoteRef/>
      </w:r>
      <w:r w:rsidRPr="00F0646E">
        <w:t xml:space="preserve"> </w:t>
      </w:r>
      <w:r w:rsidRPr="00F0646E">
        <w:tab/>
        <w:t>All Government departments are listed in Schedule 2 of the Public Service Act, while some are also created under specific legislation. For example: the Ministry for the Environment; the Inland Revenue Department and the Department of Conservation are all established under separate legislation.</w:t>
      </w:r>
    </w:p>
  </w:footnote>
  <w:footnote w:id="143">
    <w:p w14:paraId="743A7C23" w14:textId="77777777" w:rsidR="00543888" w:rsidRPr="00F0646E" w:rsidRDefault="00543888" w:rsidP="00543888">
      <w:pPr>
        <w:pStyle w:val="FootnoteText"/>
        <w:spacing w:after="0" w:line="240" w:lineRule="auto"/>
      </w:pPr>
      <w:r w:rsidRPr="009006D7">
        <w:rPr>
          <w:rStyle w:val="FootnoteReference"/>
        </w:rPr>
        <w:footnoteRef/>
      </w:r>
      <w:r w:rsidRPr="00F0646E">
        <w:t xml:space="preserve"> </w:t>
      </w:r>
      <w:r w:rsidRPr="00F0646E">
        <w:tab/>
        <w:t>That Section also provides that an annual report must include the following information:</w:t>
      </w:r>
    </w:p>
    <w:p w14:paraId="02B9533D" w14:textId="77777777" w:rsidR="00543888" w:rsidRPr="00F0646E" w:rsidRDefault="00543888" w:rsidP="00543888">
      <w:pPr>
        <w:pStyle w:val="USBullet1"/>
        <w:spacing w:after="0" w:line="240" w:lineRule="auto"/>
        <w:rPr>
          <w:sz w:val="16"/>
          <w:szCs w:val="16"/>
        </w:rPr>
      </w:pPr>
      <w:r w:rsidRPr="00F0646E">
        <w:rPr>
          <w:sz w:val="16"/>
          <w:szCs w:val="16"/>
        </w:rPr>
        <w:t>an assessment of the department’s operations</w:t>
      </w:r>
    </w:p>
    <w:p w14:paraId="1ABAFCD7" w14:textId="77777777" w:rsidR="00543888" w:rsidRPr="00F0646E" w:rsidRDefault="00543888" w:rsidP="00543888">
      <w:pPr>
        <w:pStyle w:val="USBullet1"/>
        <w:spacing w:after="0" w:line="240" w:lineRule="auto"/>
        <w:rPr>
          <w:sz w:val="16"/>
          <w:szCs w:val="16"/>
        </w:rPr>
      </w:pPr>
      <w:r w:rsidRPr="00F0646E">
        <w:rPr>
          <w:sz w:val="16"/>
          <w:szCs w:val="16"/>
        </w:rPr>
        <w:t>an assessment of the department’s progress in relation to its strategic intentions</w:t>
      </w:r>
    </w:p>
    <w:p w14:paraId="128287FF" w14:textId="77777777" w:rsidR="00543888" w:rsidRPr="00F0646E" w:rsidRDefault="00543888" w:rsidP="00543888">
      <w:pPr>
        <w:pStyle w:val="USBullet1"/>
        <w:spacing w:after="0" w:line="240" w:lineRule="auto"/>
        <w:rPr>
          <w:sz w:val="16"/>
          <w:szCs w:val="16"/>
        </w:rPr>
      </w:pPr>
      <w:r w:rsidRPr="00F0646E">
        <w:rPr>
          <w:sz w:val="16"/>
          <w:szCs w:val="16"/>
        </w:rPr>
        <w:t>information about the department’s management of its organisational health and capability</w:t>
      </w:r>
    </w:p>
    <w:p w14:paraId="34A7FB7B" w14:textId="77777777" w:rsidR="00543888" w:rsidRPr="00F0646E" w:rsidRDefault="00543888" w:rsidP="00543888">
      <w:pPr>
        <w:pStyle w:val="USBullet1"/>
        <w:spacing w:after="0" w:line="240" w:lineRule="auto"/>
        <w:rPr>
          <w:sz w:val="16"/>
          <w:szCs w:val="16"/>
        </w:rPr>
      </w:pPr>
      <w:r w:rsidRPr="00F0646E">
        <w:rPr>
          <w:sz w:val="16"/>
          <w:szCs w:val="16"/>
        </w:rPr>
        <w:t>statements of expenses and capital expenditure</w:t>
      </w:r>
    </w:p>
    <w:p w14:paraId="2B678037" w14:textId="77777777" w:rsidR="00543888" w:rsidRPr="00F0646E" w:rsidRDefault="00543888" w:rsidP="00543888">
      <w:pPr>
        <w:pStyle w:val="USBullet1"/>
        <w:spacing w:after="0" w:line="240" w:lineRule="auto"/>
        <w:rPr>
          <w:sz w:val="16"/>
          <w:szCs w:val="16"/>
        </w:rPr>
      </w:pPr>
      <w:r w:rsidRPr="00F0646E">
        <w:rPr>
          <w:sz w:val="16"/>
          <w:szCs w:val="16"/>
        </w:rPr>
        <w:t xml:space="preserve">annual financial statements </w:t>
      </w:r>
    </w:p>
    <w:p w14:paraId="3CAE925A" w14:textId="77777777" w:rsidR="00543888" w:rsidRPr="00F0646E" w:rsidRDefault="00543888" w:rsidP="00543888">
      <w:pPr>
        <w:pStyle w:val="USBullet1"/>
        <w:spacing w:after="0" w:line="240" w:lineRule="auto"/>
        <w:rPr>
          <w:sz w:val="16"/>
          <w:szCs w:val="16"/>
        </w:rPr>
      </w:pPr>
      <w:r w:rsidRPr="00F0646E">
        <w:rPr>
          <w:sz w:val="16"/>
          <w:szCs w:val="16"/>
        </w:rPr>
        <w:t>a statement of responsibility by the department’s chief executive certifying that the annual report complies with the requirements of the Act.</w:t>
      </w:r>
    </w:p>
  </w:footnote>
  <w:footnote w:id="144">
    <w:p w14:paraId="10314E68" w14:textId="25A9D7D1" w:rsidR="00543888" w:rsidRPr="00F0646E" w:rsidRDefault="00543888" w:rsidP="00543888">
      <w:pPr>
        <w:pStyle w:val="FootnoteText"/>
      </w:pPr>
      <w:r w:rsidRPr="009006D7">
        <w:rPr>
          <w:rStyle w:val="FootnoteReference"/>
        </w:rPr>
        <w:footnoteRef/>
      </w:r>
      <w:r w:rsidRPr="00F0646E">
        <w:t xml:space="preserve"> </w:t>
      </w:r>
      <w:r w:rsidRPr="00F0646E">
        <w:tab/>
        <w:t xml:space="preserve">See, for example: </w:t>
      </w:r>
      <w:hyperlink r:id="rId4" w:history="1">
        <w:r w:rsidRPr="00F0646E">
          <w:rPr>
            <w:rStyle w:val="Hyperlink"/>
          </w:rPr>
          <w:t>https://ird.govt.nz/about-us/publications/annual-corporate-reports</w:t>
        </w:r>
      </w:hyperlink>
      <w:r w:rsidRPr="00F0646E">
        <w:t xml:space="preserve">; </w:t>
      </w:r>
      <w:hyperlink r:id="rId5" w:history="1">
        <w:r w:rsidRPr="00F0646E">
          <w:rPr>
            <w:rStyle w:val="Hyperlink"/>
          </w:rPr>
          <w:t>https://msd.govt.nz/about-msd-and-our-work/publications-resources/index.html</w:t>
        </w:r>
      </w:hyperlink>
      <w:r w:rsidRPr="00F0646E">
        <w:t>; https://www.mbie.govt.nz/about/who-we-are/corporate-publications/.</w:t>
      </w:r>
    </w:p>
  </w:footnote>
  <w:footnote w:id="145">
    <w:p w14:paraId="4D8B4E75" w14:textId="46FC0F31" w:rsidR="00213A8E" w:rsidRDefault="00213A8E">
      <w:pPr>
        <w:pStyle w:val="FootnoteText"/>
      </w:pPr>
      <w:r w:rsidRPr="009006D7">
        <w:rPr>
          <w:rStyle w:val="FootnoteReference"/>
        </w:rPr>
        <w:footnoteRef/>
      </w:r>
      <w:r>
        <w:t xml:space="preserve"> </w:t>
      </w:r>
      <w:r>
        <w:tab/>
        <w:t xml:space="preserve">Cabinet has directed that all Government departments and many Crown agencies are required to follow the </w:t>
      </w:r>
      <w:r w:rsidR="002162B8" w:rsidRPr="002162B8">
        <w:t>Government Procurement Rules</w:t>
      </w:r>
      <w:r w:rsidR="00D411D0">
        <w:t xml:space="preserve"> when engaging third parties to provide goods an</w:t>
      </w:r>
      <w:r w:rsidR="000971B9">
        <w:t>d</w:t>
      </w:r>
      <w:r w:rsidR="00D411D0">
        <w:t xml:space="preserve"> services</w:t>
      </w:r>
      <w:r w:rsidR="000971B9">
        <w:t xml:space="preserve"> to the value of more than $100,000</w:t>
      </w:r>
      <w:r w:rsidR="00943DED">
        <w:t xml:space="preserve"> </w:t>
      </w:r>
      <w:r w:rsidR="000971B9">
        <w:fldChar w:fldCharType="begin"/>
      </w:r>
      <w:r w:rsidR="009B0EC4">
        <w:instrText xml:space="preserve"> ADDIN ZOTERO_ITEM CSL_CITATION {"citationID":"clPKVXQB","properties":{"formattedCitation":"(New Zealand Government Procurement 2023)","plainCitation":"(New Zealand Government Procurement 2023)","noteIndex":144},"citationItems":[{"id":18581,"uris":["http://zotero.org/groups/4801058/items/CA68IGR9"],"itemData":{"id":18581,"type":"webpage","abstract":"Why have rules The Government Procurement Rules help to support good market engagement, which leads to better outcomes for agencies, suppliers and New Zealand taxpayers.","container-title":"New Zealand Government Procurement and Property","language":"en","title":"​​Government Procurement Rules","URL":"https://www.procurement.govt.nz/procurement/principles-charter-and-rules/government-procurement-rules/","author":[{"family":"New Zealand Government Procurement","given":""}],"accessed":{"date-parts":[["2023",1,23]]},"issued":{"date-parts":[["2023"]]}}}],"schema":"https://github.com/citation-style-language/schema/raw/master/csl-citation.json"} </w:instrText>
      </w:r>
      <w:r w:rsidR="000971B9">
        <w:fldChar w:fldCharType="separate"/>
      </w:r>
      <w:r w:rsidR="000971B9" w:rsidRPr="000971B9">
        <w:rPr>
          <w:rFonts w:cs="Calibri"/>
        </w:rPr>
        <w:t>(New Zealand Government Procurement 2023)</w:t>
      </w:r>
      <w:r w:rsidR="000971B9">
        <w:fldChar w:fldCharType="end"/>
      </w:r>
      <w:r w:rsidR="00943DED">
        <w:t>.</w:t>
      </w:r>
    </w:p>
  </w:footnote>
  <w:footnote w:id="146">
    <w:p w14:paraId="00382790" w14:textId="1036C77B" w:rsidR="00D31639" w:rsidRPr="00A064D6" w:rsidRDefault="00D31639" w:rsidP="00D31639">
      <w:pPr>
        <w:pStyle w:val="FootnoteText"/>
      </w:pPr>
      <w:r w:rsidRPr="009006D7">
        <w:rPr>
          <w:rStyle w:val="FootnoteReference"/>
        </w:rPr>
        <w:footnoteRef/>
      </w:r>
      <w:r w:rsidRPr="00F0646E">
        <w:t xml:space="preserve"> </w:t>
      </w:r>
      <w:r w:rsidRPr="00F0646E">
        <w:rPr>
          <w:szCs w:val="22"/>
        </w:rPr>
        <w:tab/>
      </w:r>
      <w:r w:rsidRPr="00F0646E">
        <w:rPr>
          <w:szCs w:val="18"/>
        </w:rPr>
        <w:t xml:space="preserve">These </w:t>
      </w:r>
      <w:r w:rsidRPr="00F0646E">
        <w:t xml:space="preserve">institutions included, in 1852, a General Assembly with plenary law-making powers. Few Māori were qualified to vote for elections for the lower house of the Assembly. No Māori were elected and none of the appointed members of the upper house, the Legislative Council, were Māori </w:t>
      </w:r>
      <w:r w:rsidRPr="00F0646E">
        <w:fldChar w:fldCharType="begin"/>
      </w:r>
      <w:r w:rsidR="009B0EC4">
        <w:instrText xml:space="preserve"> ADDIN ZOTERO_ITEM CSL_CITATION {"citationID":"0hxPuKnQ","properties":{"formattedCitation":"(\\uc0\\u8216{}List of Members of the New Zealand Legislative Council\\uc0\\u8217{} 2022)","plainCitation":"(‘List of Members of the New Zealand Legislative Council’ 2022)","noteIndex":145},"citationItems":[{"id":13298,"uris":["http://zotero.org/groups/4544915/items/3NPQ54YJ"],"itemData":{"id":13298,"type":"entry-encyclopedia","abstract":"The following is a complete list of members of the New Zealand Legislative Council. The Legislative Council was New Zealand's upper house and existed from 1853 until its abolition in 1950. Initially appointed for life, tenure was changed to seven-year terms in 1891 for new appointments. New Zealand had 330 members of the Legislative Council, five of whom were women. Twice during its existence, in 1885 and 1950, membership peaked at 53 councillors; on the second occasion due to the so-called suicide squad that the National Government appointed to ensure that members voted for the abolition of the Legislative Council.","container-title":"Wikipedia","language":"en","license":"Creative Commons Attribution-ShareAlike License","note":"Page Version ID: 1067124277","source":"Wikipedia","title":"List of members of the New Zealand Legislative Council","URL":"https://en.wikipedia.org/w/index.php?title=List_of_members_of_the_New_Zealand_Legislative_Council&amp;oldid=1067124277","accessed":{"date-parts":[["2022",1,22]]},"issued":{"date-parts":[["2022",1,21]]}}}],"schema":"https://github.com/citation-style-language/schema/raw/master/csl-citation.json"} </w:instrText>
      </w:r>
      <w:r w:rsidRPr="00F0646E">
        <w:fldChar w:fldCharType="separate"/>
      </w:r>
      <w:r w:rsidRPr="00F0646E">
        <w:rPr>
          <w:rFonts w:cs="Calibri"/>
        </w:rPr>
        <w:t>(‘List of Members of the New Zealand Legislative Council’ 2022)</w:t>
      </w:r>
      <w:r w:rsidRPr="00F0646E">
        <w:fldChar w:fldCharType="end"/>
      </w:r>
      <w:r w:rsidRPr="00F0646E">
        <w:t xml:space="preserve">. The first Māori, and indeed New Zealand-born MPs were elected in 1871, after the passing of the Māori Representation Act 1867 </w:t>
      </w:r>
      <w:r w:rsidRPr="00F0646E">
        <w:fldChar w:fldCharType="begin"/>
      </w:r>
      <w:r w:rsidR="009B0EC4">
        <w:instrText xml:space="preserve"> ADDIN ZOTERO_ITEM CSL_CITATION {"citationID":"GL8erKns","properties":{"formattedCitation":"(Ministry for Culture and Heritage 2016)","plainCitation":"(Ministry for Culture and Heritage 2016)","noteIndex":145},"citationItems":[{"id":13299,"uris":["http://zotero.org/groups/4544915/items/9285K79H"],"itemData":{"id":13299,"type":"webpage","abstract":"Early Māori representation in New Zealand elections.","container-title":"New Zealand History","language":"en","title":"Setting up the Māori seats","URL":"https://nzhistory.govt.nz/politics/maori-and-the-vote/setting-up-seats","author":[{"family":"Ministry for Culture and Heritage","given":""}],"accessed":{"date-parts":[["2022",1,22]]},"issued":{"date-parts":[["2016"]]}}}],"schema":"https://github.com/citation-style-language/schema/raw/master/csl-citation.json"} </w:instrText>
      </w:r>
      <w:r w:rsidRPr="00F0646E">
        <w:fldChar w:fldCharType="separate"/>
      </w:r>
      <w:r w:rsidRPr="00F0646E">
        <w:rPr>
          <w:rFonts w:cs="Calibri"/>
        </w:rPr>
        <w:t>(Ministry for Culture and Heritage 2016)</w:t>
      </w:r>
      <w:r w:rsidRPr="00F0646E">
        <w:fldChar w:fldCharType="end"/>
      </w:r>
      <w:r w:rsidRPr="00F0646E">
        <w:t xml:space="preserve">. </w:t>
      </w:r>
    </w:p>
  </w:footnote>
  <w:footnote w:id="147">
    <w:p w14:paraId="055278DD" w14:textId="61DF7297" w:rsidR="00D31639" w:rsidRPr="00A064D6" w:rsidRDefault="00D31639" w:rsidP="00D31639">
      <w:pPr>
        <w:pStyle w:val="FootnoteText"/>
      </w:pPr>
      <w:r w:rsidRPr="009006D7">
        <w:rPr>
          <w:rStyle w:val="FootnoteReference"/>
        </w:rPr>
        <w:footnoteRef/>
      </w:r>
      <w:r w:rsidRPr="00F0646E">
        <w:t xml:space="preserve"> </w:t>
      </w:r>
      <w:r w:rsidRPr="00A064D6">
        <w:tab/>
        <w:t xml:space="preserve">These discussions will be complex, given fundamental differences in underlying world views. In </w:t>
      </w:r>
      <w:proofErr w:type="spellStart"/>
      <w:r w:rsidRPr="00A064D6">
        <w:t>Te</w:t>
      </w:r>
      <w:proofErr w:type="spellEnd"/>
      <w:r w:rsidRPr="00A064D6">
        <w:t xml:space="preserve"> Ao Māori whakapapa (webs of connection and belonging) and collectivism are key organising frameworks, whereas </w:t>
      </w:r>
      <w:proofErr w:type="spellStart"/>
      <w:r w:rsidRPr="00A064D6">
        <w:t>Te</w:t>
      </w:r>
      <w:proofErr w:type="spellEnd"/>
      <w:r w:rsidRPr="00A064D6">
        <w:t xml:space="preserve"> Ao Pākehā more often centres hierarchy and individualism. Justice in </w:t>
      </w:r>
      <w:proofErr w:type="spellStart"/>
      <w:r w:rsidRPr="00A064D6">
        <w:t>Te</w:t>
      </w:r>
      <w:proofErr w:type="spellEnd"/>
      <w:r w:rsidRPr="00A064D6">
        <w:t xml:space="preserve"> Ao Māori is reciprocal and dynamic, grounded in mana (reputation, prestige, authority, control, power over people or things </w:t>
      </w:r>
      <w:r w:rsidR="0038413F">
        <w:fldChar w:fldCharType="begin"/>
      </w:r>
      <w:r w:rsidR="009B0EC4">
        <w:instrText xml:space="preserve"> ADDIN ZOTERO_ITEM CSL_CITATION {"citationID":"XOebJHkW","properties":{"formattedCitation":"(see Haemata Limited 2022b, 16)","plainCitation":"(see Haemata Limited 2022b, 16)","noteIndex":146},"citationItems":[{"id":16275,"uris":["http://zotero.org/groups/4801058/items/W3WC23CJ"],"itemData":{"id":16275,"type":"report","event-place":"Wellington","language":"en","publisher":"Office of the Controller and Auditor-General","publisher-place":"Wellington","title":"Māori perspectives on public accountability","title-short":"Commissioned report","URL":"https://oag.parliament.nz/2022/maori-perspectives","author":[{"literal":"Haemata Limited"}],"accessed":{"date-parts":[["2022",9,28]]},"issued":{"date-parts":[["2022"]]}},"locator":"16","label":"page","prefix":"see"}],"schema":"https://github.com/citation-style-language/schema/raw/master/csl-citation.json"} </w:instrText>
      </w:r>
      <w:r w:rsidR="0038413F">
        <w:fldChar w:fldCharType="separate"/>
      </w:r>
      <w:r w:rsidR="0038413F" w:rsidRPr="0038413F">
        <w:rPr>
          <w:rFonts w:cs="Calibri"/>
        </w:rPr>
        <w:t xml:space="preserve">(see </w:t>
      </w:r>
      <w:proofErr w:type="spellStart"/>
      <w:r w:rsidR="0038413F" w:rsidRPr="0038413F">
        <w:rPr>
          <w:rFonts w:cs="Calibri"/>
        </w:rPr>
        <w:t>Haemata</w:t>
      </w:r>
      <w:proofErr w:type="spellEnd"/>
      <w:r w:rsidR="0038413F" w:rsidRPr="0038413F">
        <w:rPr>
          <w:rFonts w:cs="Calibri"/>
        </w:rPr>
        <w:t xml:space="preserve"> Limited 2022b, 16)</w:t>
      </w:r>
      <w:r w:rsidR="0038413F">
        <w:fldChar w:fldCharType="end"/>
      </w:r>
      <w:r w:rsidRPr="00A064D6">
        <w:t xml:space="preserve"> and utu (acknowledging and rectifying wrongs; providing payment for injury in order to restore balance – </w:t>
      </w:r>
      <w:r>
        <w:t>i</w:t>
      </w:r>
      <w:r w:rsidRPr="00A064D6">
        <w:t>bid</w:t>
      </w:r>
      <w:r>
        <w:t>.</w:t>
      </w:r>
      <w:r w:rsidRPr="00A064D6">
        <w:t xml:space="preserve">, 19). While some elements of the Pākehā justice system are beginning to move in this direction, including through restorative processes, it is more common for justice to be ‘meted out’ by a higher </w:t>
      </w:r>
      <w:r w:rsidRPr="003E746D">
        <w:t>authority in Western systems.</w:t>
      </w:r>
    </w:p>
  </w:footnote>
  <w:footnote w:id="148">
    <w:p w14:paraId="3AC02E8E" w14:textId="1AE02CD4" w:rsidR="00AC50E1" w:rsidRPr="00F0646E" w:rsidRDefault="00AC50E1" w:rsidP="00AC50E1">
      <w:pPr>
        <w:pStyle w:val="FootnoteText"/>
      </w:pPr>
      <w:r w:rsidRPr="009006D7">
        <w:rPr>
          <w:rStyle w:val="FootnoteReference"/>
        </w:rPr>
        <w:footnoteRef/>
      </w:r>
      <w:r w:rsidRPr="00F0646E">
        <w:t xml:space="preserve"> </w:t>
      </w:r>
      <w:r w:rsidRPr="00F0646E">
        <w:tab/>
        <w:t xml:space="preserve">See, for example The Treasury </w:t>
      </w:r>
      <w:r w:rsidRPr="00F0646E">
        <w:fldChar w:fldCharType="begin"/>
      </w:r>
      <w:r w:rsidR="009B0EC4">
        <w:instrText xml:space="preserve"> ADDIN ZOTERO_ITEM CSL_CITATION {"citationID":"Kd1m19PB","properties":{"formattedCitation":"(2019)","plainCitation":"(2019)","noteIndex":147},"citationItems":[{"id":14076,"uris":["http://zotero.org/groups/4623831/items/WTBQ2WSD"],"itemData":{"id":14076,"type":"report","event-place":"Wellington","publisher":"The Treasury","publisher-place":"Wellington","title":"A Guide to the Public Finance Act","author":[{"family":"The Treasury","given":""}],"issued":{"date-parts":[["2019"]]}},"suppress-author":true}],"schema":"https://github.com/citation-style-language/schema/raw/master/csl-citation.json"} </w:instrText>
      </w:r>
      <w:r w:rsidRPr="00F0646E">
        <w:fldChar w:fldCharType="separate"/>
      </w:r>
      <w:r w:rsidRPr="00F0646E">
        <w:rPr>
          <w:rFonts w:cs="Calibri"/>
        </w:rPr>
        <w:t>(2019)</w:t>
      </w:r>
      <w:r w:rsidRPr="00F0646E">
        <w:fldChar w:fldCharType="end"/>
      </w:r>
      <w:r w:rsidRPr="00F0646E">
        <w:t xml:space="preserve"> and Boston et al. </w:t>
      </w:r>
      <w:r w:rsidRPr="00F0646E">
        <w:fldChar w:fldCharType="begin"/>
      </w:r>
      <w:r w:rsidR="009B0EC4">
        <w:instrText xml:space="preserve"> ADDIN ZOTERO_ITEM CSL_CITATION {"citationID":"w8Vnl4Mr","properties":{"formattedCitation":"(2019)","plainCitation":"(2019)","noteIndex":147},"citationItems":[{"id":14046,"uris":["http://zotero.org/groups/4623831/items/ZIE9YQFQ"],"itemData":{"id":14046,"type":"book","event-place":"Wellington","publisher":"Institute for Governance and Policy Studies","publisher-place":"Wellington","title":"Foresight, insight and oversight: Enhancing long-term governance through better parliamentary scrutiny","author":[{"family":"Boston","given":"Jonathan"},{"family":"Bagnall","given":"David"},{"family":"Barry","given":"Anna"}],"issued":{"date-parts":[["2019"]]}},"suppress-author":true}],"schema":"https://github.com/citation-style-language/schema/raw/master/csl-citation.json"} </w:instrText>
      </w:r>
      <w:r w:rsidRPr="00F0646E">
        <w:fldChar w:fldCharType="separate"/>
      </w:r>
      <w:r w:rsidRPr="00F0646E">
        <w:rPr>
          <w:rFonts w:cs="Calibri"/>
        </w:rPr>
        <w:t>(2019)</w:t>
      </w:r>
      <w:r w:rsidRPr="00F0646E">
        <w:fldChar w:fldCharType="end"/>
      </w:r>
      <w:r w:rsidRPr="00F0646E">
        <w:t>.</w:t>
      </w:r>
    </w:p>
  </w:footnote>
  <w:footnote w:id="149">
    <w:p w14:paraId="0DD45000" w14:textId="4AB5C363" w:rsidR="00BD22B5" w:rsidRPr="00F0646E" w:rsidRDefault="00BD22B5" w:rsidP="00BD22B5">
      <w:pPr>
        <w:pStyle w:val="FootnoteText"/>
      </w:pPr>
      <w:r w:rsidRPr="009006D7">
        <w:rPr>
          <w:rStyle w:val="FootnoteReference"/>
        </w:rPr>
        <w:footnoteRef/>
      </w:r>
      <w:r w:rsidRPr="00F0646E">
        <w:t xml:space="preserve"> </w:t>
      </w:r>
      <w:r w:rsidRPr="00F0646E">
        <w:tab/>
        <w:t xml:space="preserve">While the project reported in Boston et al. </w:t>
      </w:r>
      <w:r w:rsidRPr="00F0646E">
        <w:fldChar w:fldCharType="begin"/>
      </w:r>
      <w:r w:rsidR="009B0EC4">
        <w:instrText xml:space="preserve"> ADDIN ZOTERO_ITEM CSL_CITATION {"citationID":"hONBlDk1","properties":{"formattedCitation":"(2019, 10)","plainCitation":"(2019, 10)","noteIndex":148},"citationItems":[{"id":14046,"uris":["http://zotero.org/groups/4623831/items/ZIE9YQFQ"],"itemData":{"id":14046,"type":"book","event-place":"Wellington","publisher":"Institute for Governance and Policy Studies","publisher-place":"Wellington","title":"Foresight, insight and oversight: Enhancing long-term governance through better parliamentary scrutiny","author":[{"family":"Boston","given":"Jonathan"},{"family":"Bagnall","given":"David"},{"family":"Barry","given":"Anna"}],"issued":{"date-parts":[["2019"]]}},"locator":"10","label":"page","suppress-author":true}],"schema":"https://github.com/citation-style-language/schema/raw/master/csl-citation.json"} </w:instrText>
      </w:r>
      <w:r w:rsidRPr="00F0646E">
        <w:fldChar w:fldCharType="separate"/>
      </w:r>
      <w:r w:rsidRPr="00320BD4">
        <w:rPr>
          <w:rFonts w:cs="Calibri"/>
        </w:rPr>
        <w:t>(2019, 10)</w:t>
      </w:r>
      <w:r w:rsidRPr="00F0646E">
        <w:fldChar w:fldCharType="end"/>
      </w:r>
      <w:r w:rsidRPr="00F0646E">
        <w:t xml:space="preserve"> had a particular focus on developing policy options for parliamentary scrutiny of long-term governance and stewardship (p. 10), it is noteworthy that it does not include the Crown’s Treaty partner in its description of the system of parliamentary scrutiny.</w:t>
      </w:r>
    </w:p>
  </w:footnote>
  <w:footnote w:id="150">
    <w:p w14:paraId="06500F2F" w14:textId="07692652" w:rsidR="00FA12B5" w:rsidRPr="00F0646E" w:rsidRDefault="00FA12B5" w:rsidP="00FA12B5">
      <w:pPr>
        <w:pStyle w:val="FootnoteText"/>
      </w:pPr>
      <w:r w:rsidRPr="009006D7">
        <w:rPr>
          <w:rStyle w:val="FootnoteReference"/>
        </w:rPr>
        <w:footnoteRef/>
      </w:r>
      <w:r w:rsidRPr="00F0646E">
        <w:t xml:space="preserve"> </w:t>
      </w:r>
      <w:r w:rsidRPr="00F0646E">
        <w:tab/>
        <w:t xml:space="preserve">For a detailed guide, see Treasury </w:t>
      </w:r>
      <w:r w:rsidRPr="00F0646E">
        <w:fldChar w:fldCharType="begin"/>
      </w:r>
      <w:r w:rsidR="009B0EC4">
        <w:instrText xml:space="preserve"> ADDIN ZOTERO_ITEM CSL_CITATION {"citationID":"ac9g8iqpeb","properties":{"formattedCitation":"(2022d)","plainCitation":"(2022d)","noteIndex":149},"citationItems":[{"id":16787,"uris":["http://zotero.org/groups/4801058/items/TMG2HJ52"],"itemData":{"id":16787,"type":"webpage","abstract":"Overview of the New Zealand government's Budget process, its key phases and the key Budget documents.","language":"en","title":"Guide to the Budget process","URL":"https://www.treasury.govt.nz/publications/guide/guide-budget-process","author":[{"family":"The Treasury","given":""}],"accessed":{"date-parts":[["2022",10,25]]},"issued":{"date-parts":[["2022",5,19]]}},"suppress-author":true}],"schema":"https://github.com/citation-style-language/schema/raw/master/csl-citation.json"} </w:instrText>
      </w:r>
      <w:r w:rsidRPr="00F0646E">
        <w:fldChar w:fldCharType="separate"/>
      </w:r>
      <w:r w:rsidR="00993C0A" w:rsidRPr="00993C0A">
        <w:rPr>
          <w:rFonts w:cs="Calibri"/>
        </w:rPr>
        <w:t>(2022d)</w:t>
      </w:r>
      <w:r w:rsidRPr="00F0646E">
        <w:fldChar w:fldCharType="end"/>
      </w:r>
    </w:p>
  </w:footnote>
  <w:footnote w:id="151">
    <w:p w14:paraId="48633EE3" w14:textId="155CEF2E" w:rsidR="00FA12B5" w:rsidRPr="00F0646E" w:rsidRDefault="00FA12B5" w:rsidP="00FA12B5">
      <w:pPr>
        <w:pStyle w:val="FootnoteText"/>
      </w:pPr>
      <w:r w:rsidRPr="009006D7">
        <w:rPr>
          <w:rStyle w:val="FootnoteReference"/>
        </w:rPr>
        <w:footnoteRef/>
      </w:r>
      <w:r w:rsidRPr="00F0646E">
        <w:t xml:space="preserve"> </w:t>
      </w:r>
      <w:r w:rsidRPr="00F0646E">
        <w:tab/>
        <w:t>The Ombudsman and the Controller and Auditor-General are ‘officers of Parliament’. ‘The officers work in an independent watchdog capacity, helping Parliament hold the Government of the day to account. Their powers enable them to further scrutinise the Government on behalf of the House of Representatives.’</w:t>
      </w:r>
      <w:r w:rsidRPr="00F0646E">
        <w:fldChar w:fldCharType="begin"/>
      </w:r>
      <w:r w:rsidR="009B0EC4">
        <w:instrText xml:space="preserve"> ADDIN ZOTERO_ITEM CSL_CITATION {"citationID":"eDpwqR7v","properties":{"formattedCitation":"(New Zealand Parliament 2019b)","plainCitation":"(New Zealand Parliament 2019b)","noteIndex":150},"citationItems":[{"id":16976,"uris":["http://zotero.org/groups/4623831/items/PBXFDNV6"],"itemData":{"id":16976,"type":"webpage","abstract":"You may be familiar with some of the regular faces you see walking the halls of Parliament – Ministers, MPs, the Speaker, to name a few.","language":"en","title":"Who are the Officers of Parliament? -","title-short":"Who are the Officers of Parliament?","URL":"https://www.parliament.nz/en/visit-and-learn/how-parliament-works/fact-sheets/who-are-the-officers-of-parliament/","author":[{"family":"New Zealand Parliament","given":""}],"accessed":{"date-parts":[["2022",11,7]]},"issued":{"date-parts":[["2019"]]}}}],"schema":"https://github.com/citation-style-language/schema/raw/master/csl-citation.json"} </w:instrText>
      </w:r>
      <w:r w:rsidRPr="00F0646E">
        <w:fldChar w:fldCharType="separate"/>
      </w:r>
      <w:r w:rsidRPr="00F0646E">
        <w:rPr>
          <w:rFonts w:cs="Calibri"/>
        </w:rPr>
        <w:t>(New Zealand Parliament 2019b)</w:t>
      </w:r>
      <w:r w:rsidRPr="00F0646E">
        <w:fldChar w:fldCharType="end"/>
      </w:r>
      <w:r w:rsidRPr="00F0646E">
        <w:t xml:space="preserve">.. The third officer of Parliament is the Parliamentary Commissioner for the Environment, who has the remit to undertake independent reports and provide advice on environmental issues </w:t>
      </w:r>
      <w:r w:rsidRPr="00F0646E">
        <w:fldChar w:fldCharType="begin"/>
      </w:r>
      <w:r w:rsidR="009B0EC4">
        <w:instrText xml:space="preserve"> ADDIN ZOTERO_ITEM CSL_CITATION {"citationID":"bFPW7HdR","properties":{"formattedCitation":"(Parliamentary Commissioner for the Environment 2021)","plainCitation":"(Parliamentary Commissioner for the Environment 2021)","noteIndex":150},"citationItems":[{"id":16975,"uris":["http://zotero.org/groups/4623831/items/XVLLNXFQ"],"itemData":{"id":16975,"type":"webpage","title":"The Commissioner","URL":"https://www.pce.parliament.nz/about-us/the-commissioner","author":[{"family":"Parliamentary Commissioner for the Environment","given":""}],"accessed":{"date-parts":[["2022",11,7]]},"issued":{"date-parts":[["2021"]]}}}],"schema":"https://github.com/citation-style-language/schema/raw/master/csl-citation.json"} </w:instrText>
      </w:r>
      <w:r w:rsidRPr="00F0646E">
        <w:fldChar w:fldCharType="separate"/>
      </w:r>
      <w:r w:rsidRPr="00F0646E">
        <w:rPr>
          <w:rFonts w:cs="Calibri"/>
        </w:rPr>
        <w:t>(Parliamentary Commissioner for the Environment 2021)</w:t>
      </w:r>
      <w:r w:rsidRPr="00F0646E">
        <w:fldChar w:fldCharType="end"/>
      </w:r>
      <w:r w:rsidRPr="00F0646E">
        <w:t>.</w:t>
      </w:r>
    </w:p>
  </w:footnote>
  <w:footnote w:id="152">
    <w:p w14:paraId="06DAF8CE" w14:textId="57C04B37" w:rsidR="009D77FE" w:rsidRPr="00F0646E" w:rsidRDefault="009D77FE" w:rsidP="009D77FE">
      <w:pPr>
        <w:pStyle w:val="FootnoteText"/>
      </w:pPr>
      <w:r w:rsidRPr="009006D7">
        <w:rPr>
          <w:rStyle w:val="FootnoteReference"/>
        </w:rPr>
        <w:footnoteRef/>
      </w:r>
      <w:r w:rsidRPr="00F0646E">
        <w:t xml:space="preserve"> </w:t>
      </w:r>
      <w:r w:rsidRPr="00F0646E">
        <w:tab/>
        <w:t xml:space="preserve">For the background and a summary of the provisions of the Act, see Scott </w:t>
      </w:r>
      <w:r w:rsidRPr="00F0646E">
        <w:fldChar w:fldCharType="begin"/>
      </w:r>
      <w:r w:rsidR="009B0EC4">
        <w:instrText xml:space="preserve"> ADDIN ZOTERO_ITEM CSL_CITATION {"citationID":"atlac53ekq","properties":{"formattedCitation":"(1995)","plainCitation":"(1995)","noteIndex":151},"citationItems":[{"id":17024,"uris":["http://zotero.org/groups/4801058/items/PB88IZ68"],"itemData":{"id":17024,"type":"article-journal","container-title":"Agenda: A Journal of Policy Analysis and Reform","ISSN":"1322-1833","issue":"1","note":"publisher: ANU Press","page":"3-16","source":"JSTOR","title":"New Zealand's Fiscal Responsibility Act","volume":"2","author":[{"family":"Scott","given":"Graham"}],"issued":{"date-parts":[["1995"]]}},"label":"page","suppress-author":true}],"schema":"https://github.com/citation-style-language/schema/raw/master/csl-citation.json"} </w:instrText>
      </w:r>
      <w:r w:rsidRPr="00F0646E">
        <w:fldChar w:fldCharType="separate"/>
      </w:r>
      <w:r w:rsidRPr="00F0646E">
        <w:rPr>
          <w:rFonts w:cs="Calibri"/>
          <w:szCs w:val="24"/>
        </w:rPr>
        <w:t>(1995)</w:t>
      </w:r>
      <w:r w:rsidRPr="00F0646E">
        <w:fldChar w:fldCharType="end"/>
      </w:r>
      <w:r w:rsidR="00672356">
        <w:t xml:space="preserve"> and Buckle </w:t>
      </w:r>
      <w:r w:rsidR="00672356">
        <w:fldChar w:fldCharType="begin"/>
      </w:r>
      <w:r w:rsidR="009B0EC4">
        <w:instrText xml:space="preserve"> ADDIN ZOTERO_ITEM CSL_CITATION {"citationID":"XGkj0vax","properties":{"formattedCitation":"(2018)","plainCitation":"(2018)","noteIndex":151},"citationItems":[{"id":18683,"uris":["http://zotero.org/groups/4801058/items/TM24A6LG"],"itemData":{"id":18683,"type":"report","event-place":"Wellington","genre":"Working Papers in Public Finance","number":"13/2018","publisher":"Chair in Public Finance, Victoria Business School","publisher-place":"Wellington","title":"A quarter of a century of fiscal responsibility: The origins and evolution of fiscal policy governance and institutional arrangements in New Zealand, 1994 to 2018","author":[{"family":"Buckle","given":"Robert"}],"issued":{"date-parts":[["2018"]]}},"label":"page","suppress-author":true}],"schema":"https://github.com/citation-style-language/schema/raw/master/csl-citation.json"} </w:instrText>
      </w:r>
      <w:r w:rsidR="00672356">
        <w:fldChar w:fldCharType="separate"/>
      </w:r>
      <w:r w:rsidR="00672356" w:rsidRPr="00672356">
        <w:rPr>
          <w:rFonts w:cs="Calibri"/>
        </w:rPr>
        <w:t>(2018)</w:t>
      </w:r>
      <w:r w:rsidR="00672356">
        <w:fldChar w:fldCharType="end"/>
      </w:r>
      <w:r w:rsidRPr="00F0646E">
        <w:t xml:space="preserve">. Gill </w:t>
      </w:r>
      <w:r w:rsidRPr="00F0646E">
        <w:fldChar w:fldCharType="begin"/>
      </w:r>
      <w:r w:rsidR="009B0EC4">
        <w:instrText xml:space="preserve"> ADDIN ZOTERO_ITEM CSL_CITATION {"citationID":"a29kgf5anuv","properties":{"formattedCitation":"(2018)","plainCitation":"(2018)","noteIndex":151},"citationItems":[{"id":16075,"uris":["http://zotero.org/groups/4801058/items/CH9FU32F"],"itemData":{"id":16075,"type":"article-journal","abstract":"This paper discusses how New Zealand already has a highly independent fiscal institution in the Treasury. A more limited case can be made for an institution to support the opposition in costing policy proposals as occurs in Australia with the Parliamentary Budget Office. The unexpected success of the FRA highlights how difficult it will be to create the conditions for another independent budget office to succeed in New Zealand.","ISSN":"1176-4384","language":"English","note":"Accepted: 2019-02-13T19:16:08Z\npublisher: New Zealand Institute of Economic Research","source":"think-asia.org","title":"The Fiscal Responsibility Act 1994: The astonishing success of a weak non-binding policy","title-short":"The Fiscal Responsibility Act 1994","URL":"https://think-asia.org/handle/11540/9522","author":[{"family":"Gill","given":"Derek"}],"accessed":{"date-parts":[["2022",9,27]]},"issued":{"date-parts":[["2018",11,30]]}},"label":"page","suppress-author":true}],"schema":"https://github.com/citation-style-language/schema/raw/master/csl-citation.json"} </w:instrText>
      </w:r>
      <w:r w:rsidRPr="00F0646E">
        <w:fldChar w:fldCharType="separate"/>
      </w:r>
      <w:r w:rsidRPr="00F0646E">
        <w:rPr>
          <w:rFonts w:cs="Calibri"/>
          <w:szCs w:val="24"/>
        </w:rPr>
        <w:t>(2018)</w:t>
      </w:r>
      <w:r w:rsidRPr="00F0646E">
        <w:fldChar w:fldCharType="end"/>
      </w:r>
      <w:r w:rsidRPr="00F0646E">
        <w:t xml:space="preserve"> contains a review of the effectiveness of the provisions. For a discussion of similar provisions in other Commonwealth countries, see Wilson </w:t>
      </w:r>
      <w:r w:rsidRPr="00F0646E">
        <w:fldChar w:fldCharType="begin"/>
      </w:r>
      <w:r w:rsidR="009B0EC4">
        <w:instrText xml:space="preserve"> ADDIN ZOTERO_ITEM CSL_CITATION {"citationID":"a1cn4l47j57","properties":{"formattedCitation":"(2017, 2ff)","plainCitation":"(2017, 2ff)","noteIndex":151},"citationItems":[{"id":17021,"uris":["http://zotero.org/groups/4801058/items/8NDBQCNW"],"itemData":{"id":17021,"type":"report","abstract":"We think voters should be given better information about the fiscal consequences of political parties' election promises. We offer some observations and suggestions.","event-place":"Wellington","genre":"NZIER Insight","language":"en-nz","number":"72","publisher":"New Zealand Institute of Economic Research","publisher-place":"Wellington","title":"Keeping the bastards honest","URL":"https://www.nzier.org.nz/publications/keeping-the-bastards-honest-nzier-insight-72","author":[{"family":"Wilson","given":"Peter"}],"accessed":{"date-parts":[["2022",11,14]]},"issued":{"date-parts":[["2017"]]}},"locator":"2ff","label":"page","suppress-author":true}],"schema":"https://github.com/citation-style-language/schema/raw/master/csl-citation.json"} </w:instrText>
      </w:r>
      <w:r w:rsidRPr="00F0646E">
        <w:fldChar w:fldCharType="separate"/>
      </w:r>
      <w:r w:rsidRPr="00F0646E">
        <w:rPr>
          <w:rFonts w:cs="Calibri"/>
          <w:szCs w:val="24"/>
        </w:rPr>
        <w:t>(2017, 2ff)</w:t>
      </w:r>
      <w:r w:rsidRPr="00F0646E">
        <w:fldChar w:fldCharType="end"/>
      </w:r>
      <w:r w:rsidRPr="00F0646E">
        <w:t>.</w:t>
      </w:r>
    </w:p>
  </w:footnote>
  <w:footnote w:id="153">
    <w:p w14:paraId="53F875DE" w14:textId="35C5F587" w:rsidR="006A4998" w:rsidRDefault="006A4998" w:rsidP="006A4998">
      <w:pPr>
        <w:pStyle w:val="FootnoteText"/>
      </w:pPr>
      <w:r w:rsidRPr="009006D7">
        <w:rPr>
          <w:rStyle w:val="FootnoteReference"/>
        </w:rPr>
        <w:footnoteRef/>
      </w:r>
      <w:r>
        <w:t xml:space="preserve"> </w:t>
      </w:r>
      <w:r>
        <w:tab/>
        <w:t xml:space="preserve">For a discussion, see New Zealand Parliamentary Library </w:t>
      </w:r>
      <w:r>
        <w:fldChar w:fldCharType="begin"/>
      </w:r>
      <w:r w:rsidR="009B0EC4">
        <w:instrText xml:space="preserve"> ADDIN ZOTERO_ITEM CSL_CITATION {"citationID":"VrsOI9bR","properties":{"formattedCitation":"(2019)","plainCitation":"(2019)","noteIndex":152},"citationItems":[{"id":18644,"uris":["http://zotero.org/groups/4801058/items/IDJVIEGX"],"itemData":{"id":18644,"type":"report","event-place":"Wellington","genre":"Parliamentary Library Research and Information research paper","language":"en","number":"2019/06","publisher":"New Zealand Parliament","publisher-place":"Wellington","title":"The Budget Policy Statement -","URL":"https://www.parliament.nz/en/pb/library-research-papers/research-papers/the-budget-policy-statement/","author":[{"family":"The New Zealand Parliamentary Library","given":""}],"accessed":{"date-parts":[["2023",1,27]]},"issued":{"date-parts":[["2019"]]}},"label":"page","suppress-author":true}],"schema":"https://github.com/citation-style-language/schema/raw/master/csl-citation.json"} </w:instrText>
      </w:r>
      <w:r>
        <w:fldChar w:fldCharType="separate"/>
      </w:r>
      <w:r w:rsidRPr="003B6047">
        <w:rPr>
          <w:rFonts w:cs="Calibri"/>
        </w:rPr>
        <w:t>(2019)</w:t>
      </w:r>
      <w:r>
        <w:fldChar w:fldCharType="end"/>
      </w:r>
      <w:r>
        <w:t>.</w:t>
      </w:r>
    </w:p>
  </w:footnote>
  <w:footnote w:id="154">
    <w:p w14:paraId="7DCEB61D" w14:textId="656271C1" w:rsidR="006A4998" w:rsidRDefault="006A4998" w:rsidP="006A4998">
      <w:pPr>
        <w:pStyle w:val="FootnoteText"/>
      </w:pPr>
      <w:r w:rsidRPr="009006D7">
        <w:rPr>
          <w:rStyle w:val="FootnoteReference"/>
        </w:rPr>
        <w:footnoteRef/>
      </w:r>
      <w:r>
        <w:t xml:space="preserve"> </w:t>
      </w:r>
      <w:r>
        <w:tab/>
        <w:t>There are two recent examples. The first was the use of proceed</w:t>
      </w:r>
      <w:r w:rsidR="00A732CF">
        <w:t>s</w:t>
      </w:r>
      <w:r>
        <w:t xml:space="preserve"> from the sale of assets in the 1987 to produce a budget surplus, when at the time assets sales were not recorded as operating revenue. This was described by the then Opposition as a ‘fiddle’ </w:t>
      </w:r>
      <w:r>
        <w:fldChar w:fldCharType="begin"/>
      </w:r>
      <w:r w:rsidR="009B0EC4">
        <w:instrText xml:space="preserve"> ADDIN ZOTERO_ITEM CSL_CITATION {"citationID":"sGBgyITn","properties":{"formattedCitation":"(Bassett 2008, 262)","plainCitation":"(Bassett 2008, 262)","noteIndex":153},"citationItems":[{"id":18641,"uris":["http://zotero.org/groups/4801058/items/DYG72699"],"itemData":{"id":18641,"type":"book","call-number":"DU420.34.L36 B37 2008","event-place":"Auckland, N.Z","ISBN":"978-1-86971-094-1","number-of-pages":"616","publisher":"Hodder Moa","publisher-place":"Auckland, N.Z","source":"Library of Congress ISBN","title":"Working with David: inside the Lange cabinet","title-short":"Working with David","author":[{"family":"Bassett","given":"Michael"}],"issued":{"date-parts":[["2008"]]}},"locator":"262","label":"page"}],"schema":"https://github.com/citation-style-language/schema/raw/master/csl-citation.json"} </w:instrText>
      </w:r>
      <w:r>
        <w:fldChar w:fldCharType="separate"/>
      </w:r>
      <w:r w:rsidRPr="000F3A34">
        <w:rPr>
          <w:rFonts w:cs="Calibri"/>
        </w:rPr>
        <w:t>(Bassett 2008, 262)</w:t>
      </w:r>
      <w:r>
        <w:fldChar w:fldCharType="end"/>
      </w:r>
      <w:r>
        <w:t>. The much more significant example is from the 1990 election. The Budget forecast a small surplus of $89 million. However, by the time</w:t>
      </w:r>
      <w:r w:rsidR="00A732CF">
        <w:t xml:space="preserve"> The</w:t>
      </w:r>
      <w:r>
        <w:t xml:space="preserve"> Treasury prepared its Briefing for the Incom</w:t>
      </w:r>
      <w:r w:rsidR="00674904">
        <w:t>ing</w:t>
      </w:r>
      <w:r>
        <w:t xml:space="preserve"> Government in October, the fiscal position had deteriorated significantly, on both the spending and receipts side of the ledger. The Government eventually announced that the Budget would be in deficit to the tune of $1.019 billion. The incoming government was also informed on the day after the election that then majority</w:t>
      </w:r>
      <w:r w:rsidR="00F16D0F">
        <w:t xml:space="preserve"> </w:t>
      </w:r>
      <w:r>
        <w:t>state</w:t>
      </w:r>
      <w:r w:rsidR="00F16D0F">
        <w:t>-</w:t>
      </w:r>
      <w:r>
        <w:t xml:space="preserve">owned Bank of New Zealand required recapitalisation of $620 million. The previous Minister of Finance was aware of this but decided not to inform Cabinet or the Opposition </w:t>
      </w:r>
      <w:r>
        <w:fldChar w:fldCharType="begin"/>
      </w:r>
      <w:r w:rsidR="009B0EC4">
        <w:instrText xml:space="preserve"> ADDIN ZOTERO_ITEM CSL_CITATION {"citationID":"h1fxlc8k","properties":{"formattedCitation":"(Richardson 1995, 74)","plainCitation":"(Richardson 1995, 74)","noteIndex":153},"citationItems":[{"id":18642,"uris":["http://zotero.org/groups/4801058/items/R3FLRZZB"],"itemData":{"id":18642,"type":"book","call-number":"DU420.32 .R53 1995","event-place":"Christchurch, N.Z","ISBN":"978-0-908704-31-6","number-of-pages":"248","publisher":"Shoal Bay Press","publisher-place":"Christchurch, N.Z","source":"Library of Congress ISBN","title":"Making a difference","author":[{"family":"Richardson","given":"Ruth"}],"issued":{"date-parts":[["1995"]]}},"locator":"74","label":"page"}],"schema":"https://github.com/citation-style-language/schema/raw/master/csl-citation.json"} </w:instrText>
      </w:r>
      <w:r>
        <w:fldChar w:fldCharType="separate"/>
      </w:r>
      <w:r w:rsidRPr="000F3A34">
        <w:rPr>
          <w:rFonts w:cs="Calibri"/>
        </w:rPr>
        <w:t>(Richardson 1995, 74)</w:t>
      </w:r>
      <w:r>
        <w:fldChar w:fldCharType="end"/>
      </w:r>
      <w:r>
        <w:t xml:space="preserve">. There are specific fiscal responsibility provisions (Section 26V(b) of the Public Finance Act) which were designed to require ministers to either make decisions like the need to bail out the BNZ before a fiscal and economic update is due or include the relevant circumstances in that update. </w:t>
      </w:r>
    </w:p>
  </w:footnote>
  <w:footnote w:id="155">
    <w:p w14:paraId="7E2D6906" w14:textId="17BD88F8" w:rsidR="006A4998" w:rsidRDefault="006A4998" w:rsidP="006A4998">
      <w:pPr>
        <w:pStyle w:val="FootnoteText"/>
      </w:pPr>
      <w:r w:rsidRPr="009006D7">
        <w:rPr>
          <w:rStyle w:val="FootnoteReference"/>
        </w:rPr>
        <w:footnoteRef/>
      </w:r>
      <w:r>
        <w:t xml:space="preserve"> </w:t>
      </w:r>
      <w:r>
        <w:tab/>
        <w:t xml:space="preserve">See Richardson </w:t>
      </w:r>
      <w:r>
        <w:fldChar w:fldCharType="begin"/>
      </w:r>
      <w:r w:rsidR="009B0EC4">
        <w:instrText xml:space="preserve"> ADDIN ZOTERO_ITEM CSL_CITATION {"citationID":"am9LhuDL","properties":{"formattedCitation":"(1995, 163\\uc0\\u8211{}71)","plainCitation":"(1995, 163–71)","noteIndex":154},"citationItems":[{"id":18642,"uris":["http://zotero.org/groups/4801058/items/R3FLRZZB"],"itemData":{"id":18642,"type":"book","call-number":"DU420.32 .R53 1995","event-place":"Christchurch, N.Z","ISBN":"978-0-908704-31-6","number-of-pages":"248","publisher":"Shoal Bay Press","publisher-place":"Christchurch, N.Z","source":"Library of Congress ISBN","title":"Making a difference","author":[{"family":"Richardson","given":"Ruth"}],"issued":{"date-parts":[["1995"]]}},"locator":"163 - 171","label":"page","suppress-author":true}],"schema":"https://github.com/citation-style-language/schema/raw/master/csl-citation.json"} </w:instrText>
      </w:r>
      <w:r>
        <w:fldChar w:fldCharType="separate"/>
      </w:r>
      <w:r w:rsidRPr="00CD5BB8">
        <w:rPr>
          <w:rFonts w:cs="Calibri"/>
          <w:szCs w:val="24"/>
        </w:rPr>
        <w:t>(1995, 163–71)</w:t>
      </w:r>
      <w:r>
        <w:fldChar w:fldCharType="end"/>
      </w:r>
      <w:r>
        <w:t xml:space="preserve"> for a first-hand discussion of the development of the provisions.</w:t>
      </w:r>
    </w:p>
  </w:footnote>
  <w:footnote w:id="156">
    <w:p w14:paraId="2F22FA00" w14:textId="2208E85E" w:rsidR="006A4998" w:rsidRDefault="006A4998" w:rsidP="006A4998">
      <w:pPr>
        <w:pStyle w:val="FootnoteText"/>
      </w:pPr>
      <w:r w:rsidRPr="009006D7">
        <w:rPr>
          <w:rStyle w:val="FootnoteReference"/>
        </w:rPr>
        <w:footnoteRef/>
      </w:r>
      <w:r>
        <w:t xml:space="preserve"> </w:t>
      </w:r>
      <w:r>
        <w:tab/>
        <w:t xml:space="preserve">See The Treasury </w:t>
      </w:r>
      <w:r>
        <w:fldChar w:fldCharType="begin"/>
      </w:r>
      <w:r w:rsidR="009B0EC4">
        <w:instrText xml:space="preserve"> ADDIN ZOTERO_ITEM CSL_CITATION {"citationID":"q0UClV6g","properties":{"formattedCitation":"(2015, 5)","plainCitation":"(2015, 5)","noteIndex":155},"citationItems":[{"id":18646,"uris":["http://zotero.org/groups/4801058/items/7G27FF9B"],"itemData":{"id":18646,"type":"report","event-place":"Wellington","publisher":"The Treasury","publisher-place":"Wellington","title":"An Introduction to New Zealand’s Fiscal Policy Framework","author":[{"family":"The Treasury","given":""}],"issued":{"date-parts":[["2015"]]}},"locator":"5","label":"page","suppress-author":true}],"schema":"https://github.com/citation-style-language/schema/raw/master/csl-citation.json"} </w:instrText>
      </w:r>
      <w:r>
        <w:fldChar w:fldCharType="separate"/>
      </w:r>
      <w:r w:rsidRPr="00720283">
        <w:rPr>
          <w:rFonts w:cs="Calibri"/>
        </w:rPr>
        <w:t>(2015, 5)</w:t>
      </w:r>
      <w:r>
        <w:fldChar w:fldCharType="end"/>
      </w:r>
      <w:r>
        <w:t xml:space="preserve"> for a description of the principles. </w:t>
      </w:r>
    </w:p>
  </w:footnote>
  <w:footnote w:id="157">
    <w:p w14:paraId="3010C00F" w14:textId="3AF3BA62" w:rsidR="006A4998" w:rsidRDefault="006A4998" w:rsidP="006A4998">
      <w:pPr>
        <w:pStyle w:val="FootnoteText"/>
      </w:pPr>
      <w:r w:rsidRPr="009006D7">
        <w:rPr>
          <w:rStyle w:val="FootnoteReference"/>
        </w:rPr>
        <w:footnoteRef/>
      </w:r>
      <w:r>
        <w:t xml:space="preserve"> </w:t>
      </w:r>
      <w:r>
        <w:tab/>
        <w:t xml:space="preserve">See Wilson and Fry </w:t>
      </w:r>
      <w:r>
        <w:fldChar w:fldCharType="begin"/>
      </w:r>
      <w:r w:rsidR="009B0EC4">
        <w:instrText xml:space="preserve"> ADDIN ZOTERO_ITEM CSL_CITATION {"citationID":"C7uqHEzi","properties":{"formattedCitation":"(2022, 125)","plainCitation":"(2022, 125)","noteIndex":156},"citationItems":[{"id":16863,"uris":["http://zotero.org/groups/4801058/items/U5FGC7MS"],"itemData":{"id":16863,"type":"report","event-place":"Wellington","publisher":"New Zealand Institute of Economic Research.","publisher-place":"Wellington","title":"Planning for Prosperity: Transparent and Public Immigration Targets","author":[{"family":"Wilson","given":"Peter"},{"family":"Fry","given":"Julie"}],"issued":{"date-parts":[["2022"]]}},"locator":"125","label":"page","suppress-author":true}],"schema":"https://github.com/citation-style-language/schema/raw/master/csl-citation.json"} </w:instrText>
      </w:r>
      <w:r>
        <w:fldChar w:fldCharType="separate"/>
      </w:r>
      <w:r w:rsidRPr="006A11D5">
        <w:rPr>
          <w:rFonts w:cs="Calibri"/>
        </w:rPr>
        <w:t>(2022, 125)</w:t>
      </w:r>
      <w:r>
        <w:fldChar w:fldCharType="end"/>
      </w:r>
      <w:r>
        <w:t xml:space="preserve"> for a discussion of how successive finance Ministers have used the flexibility of the provisions to describe what prudent level of debt can be during very different economic circumstances.</w:t>
      </w:r>
      <w:r w:rsidR="00FC3B27">
        <w:t xml:space="preserve"> </w:t>
      </w:r>
    </w:p>
  </w:footnote>
  <w:footnote w:id="158">
    <w:p w14:paraId="0E798042" w14:textId="06A2F7D8" w:rsidR="004C5722" w:rsidRDefault="004C5722">
      <w:pPr>
        <w:pStyle w:val="FootnoteText"/>
      </w:pPr>
      <w:r w:rsidRPr="009006D7">
        <w:rPr>
          <w:rStyle w:val="FootnoteReference"/>
        </w:rPr>
        <w:footnoteRef/>
      </w:r>
      <w:r>
        <w:t xml:space="preserve"> </w:t>
      </w:r>
      <w:r>
        <w:tab/>
      </w:r>
      <w:r w:rsidR="003E783C">
        <w:t xml:space="preserve">While some sections of society have </w:t>
      </w:r>
      <w:r w:rsidR="002B5F64">
        <w:t xml:space="preserve">become better able to represent </w:t>
      </w:r>
      <w:r w:rsidR="005926FB">
        <w:t xml:space="preserve">their views via things like social media, this does not always lead to equitable outcomes. If only the voices of </w:t>
      </w:r>
      <w:r w:rsidR="00922A9D">
        <w:t>people who are</w:t>
      </w:r>
      <w:r w:rsidR="005926FB">
        <w:t xml:space="preserve"> educated and </w:t>
      </w:r>
      <w:r w:rsidR="00922A9D">
        <w:t>well-</w:t>
      </w:r>
      <w:r w:rsidR="00714284">
        <w:t>resourced</w:t>
      </w:r>
      <w:r w:rsidR="005926FB">
        <w:t xml:space="preserve"> are heard, </w:t>
      </w:r>
      <w:r w:rsidR="00714284">
        <w:t xml:space="preserve">marginalised </w:t>
      </w:r>
      <w:r w:rsidR="00862AF4">
        <w:t xml:space="preserve">people will </w:t>
      </w:r>
      <w:r w:rsidR="00714284">
        <w:t>continue to be left out.</w:t>
      </w:r>
      <w:r w:rsidR="002050F2">
        <w:t xml:space="preserve"> </w:t>
      </w:r>
    </w:p>
  </w:footnote>
  <w:footnote w:id="159">
    <w:p w14:paraId="227068E0" w14:textId="0025FE23" w:rsidR="00FA12B5" w:rsidRPr="00F0646E" w:rsidRDefault="00FA12B5" w:rsidP="00FA12B5">
      <w:pPr>
        <w:pStyle w:val="FootnoteText"/>
      </w:pPr>
      <w:r w:rsidRPr="009006D7">
        <w:rPr>
          <w:rStyle w:val="FootnoteReference"/>
        </w:rPr>
        <w:footnoteRef/>
      </w:r>
      <w:r w:rsidRPr="00F0646E">
        <w:t xml:space="preserve"> </w:t>
      </w:r>
      <w:r w:rsidRPr="00F0646E">
        <w:tab/>
        <w:t xml:space="preserve">Local government in New Zealand is a creation of statute, unlike states in the United States and Australia which are separate sovereign </w:t>
      </w:r>
      <w:proofErr w:type="gramStart"/>
      <w:r w:rsidRPr="00F0646E">
        <w:t>governments in their own right</w:t>
      </w:r>
      <w:proofErr w:type="gramEnd"/>
      <w:r w:rsidRPr="00F0646E">
        <w:t>.</w:t>
      </w:r>
    </w:p>
  </w:footnote>
  <w:footnote w:id="160">
    <w:p w14:paraId="4D742E1E" w14:textId="6380EE60" w:rsidR="00FA12B5" w:rsidRPr="00F0646E" w:rsidRDefault="00FA12B5" w:rsidP="00FA12B5">
      <w:pPr>
        <w:pStyle w:val="FootnoteText"/>
      </w:pPr>
      <w:r w:rsidRPr="009006D7">
        <w:rPr>
          <w:rStyle w:val="FootnoteReference"/>
        </w:rPr>
        <w:footnoteRef/>
      </w:r>
      <w:r w:rsidRPr="00F0646E">
        <w:t xml:space="preserve"> </w:t>
      </w:r>
      <w:r w:rsidRPr="00F0646E">
        <w:tab/>
        <w:t>In the United States</w:t>
      </w:r>
      <w:proofErr w:type="gramStart"/>
      <w:r w:rsidRPr="00F0646E">
        <w:t>, in particular, there</w:t>
      </w:r>
      <w:proofErr w:type="gramEnd"/>
      <w:r w:rsidRPr="00F0646E">
        <w:t xml:space="preserve"> is a stri</w:t>
      </w:r>
      <w:r w:rsidRPr="007430A2">
        <w:t xml:space="preserve">ct </w:t>
      </w:r>
      <w:r w:rsidRPr="001B3DB6">
        <w:t>separation of powers</w:t>
      </w:r>
      <w:r w:rsidRPr="007430A2">
        <w:t xml:space="preserve"> at</w:t>
      </w:r>
      <w:r w:rsidRPr="00F0646E">
        <w:t xml:space="preserve"> the federal, state and local level. This needs to be remembered when reviewing literature on accountability that originates from the US. </w:t>
      </w:r>
    </w:p>
  </w:footnote>
  <w:footnote w:id="161">
    <w:p w14:paraId="7D1A1F71" w14:textId="296D855B" w:rsidR="00FA12B5" w:rsidRPr="00F0646E" w:rsidRDefault="00FA12B5" w:rsidP="00FA12B5">
      <w:pPr>
        <w:pStyle w:val="FootnoteText"/>
      </w:pPr>
      <w:r w:rsidRPr="009006D7">
        <w:rPr>
          <w:rStyle w:val="FootnoteReference"/>
        </w:rPr>
        <w:footnoteRef/>
      </w:r>
      <w:r w:rsidRPr="00F0646E">
        <w:t xml:space="preserve"> </w:t>
      </w:r>
      <w:r w:rsidRPr="00F0646E">
        <w:tab/>
        <w:t>Again, this is important when considering contributions by American and European scholars. The US federal Bill of Rights and the European Convention on Human Rights are both binding on governments.</w:t>
      </w:r>
    </w:p>
  </w:footnote>
  <w:footnote w:id="162">
    <w:p w14:paraId="0AF5145E" w14:textId="3E542221" w:rsidR="00721DE8" w:rsidRDefault="00721DE8">
      <w:pPr>
        <w:pStyle w:val="FootnoteText"/>
      </w:pPr>
      <w:r w:rsidRPr="009006D7">
        <w:rPr>
          <w:rStyle w:val="FootnoteReference"/>
        </w:rPr>
        <w:footnoteRef/>
      </w:r>
      <w:r>
        <w:t xml:space="preserve"> </w:t>
      </w:r>
      <w:r>
        <w:tab/>
      </w:r>
      <w:r w:rsidRPr="00721DE8">
        <w:t xml:space="preserve">Institutions like the Productivity Commission, </w:t>
      </w:r>
      <w:r w:rsidR="00CF0399">
        <w:t xml:space="preserve">the Climate Change Commission and the </w:t>
      </w:r>
      <w:r w:rsidR="00F7565D" w:rsidRPr="00F7565D">
        <w:t>Children's Commissioner</w:t>
      </w:r>
      <w:r w:rsidR="00F231B9">
        <w:t>,</w:t>
      </w:r>
      <w:r w:rsidR="00DD6E28">
        <w:t xml:space="preserve"> </w:t>
      </w:r>
      <w:r w:rsidRPr="00721DE8">
        <w:t xml:space="preserve">while created by Parliament and having </w:t>
      </w:r>
      <w:r w:rsidR="003E59DB">
        <w:t>their</w:t>
      </w:r>
      <w:r w:rsidRPr="00721DE8">
        <w:t xml:space="preserve"> budget</w:t>
      </w:r>
      <w:r w:rsidR="003E59DB">
        <w:t>s</w:t>
      </w:r>
      <w:r w:rsidRPr="00721DE8">
        <w:t xml:space="preserve"> set by the Government of the day, have independent role</w:t>
      </w:r>
      <w:r w:rsidR="002E5990">
        <w:t>s</w:t>
      </w:r>
      <w:r w:rsidRPr="00721DE8">
        <w:t xml:space="preserve"> in holding governments to account.</w:t>
      </w:r>
      <w:r w:rsidR="00CF0399">
        <w:t xml:space="preserve"> </w:t>
      </w:r>
    </w:p>
  </w:footnote>
  <w:footnote w:id="163">
    <w:p w14:paraId="6E353D7D" w14:textId="30726941" w:rsidR="00FA12B5" w:rsidRPr="00F0646E" w:rsidRDefault="00FA12B5" w:rsidP="00FA12B5">
      <w:pPr>
        <w:pStyle w:val="FootnoteText"/>
      </w:pPr>
      <w:r w:rsidRPr="009006D7">
        <w:rPr>
          <w:rStyle w:val="FootnoteReference"/>
        </w:rPr>
        <w:footnoteRef/>
      </w:r>
      <w:r w:rsidRPr="00F0646E">
        <w:t xml:space="preserve"> </w:t>
      </w:r>
      <w:r w:rsidRPr="00F0646E">
        <w:tab/>
        <w:t>In its 2017 report on tertiary education, the Productivity Commission said</w:t>
      </w:r>
      <w:r w:rsidR="00096976">
        <w:t>,</w:t>
      </w:r>
      <w:r w:rsidRPr="00F0646E">
        <w:t xml:space="preserve"> </w:t>
      </w:r>
      <w:r w:rsidR="00096976">
        <w:t>“</w:t>
      </w:r>
      <w:r w:rsidRPr="00F0646E">
        <w:t xml:space="preserve">It is also difficult to draw conclusions on how well universities are fulfilling the expectation of s 162 of the Education Act 1989 that they should </w:t>
      </w:r>
      <w:r w:rsidR="00096976">
        <w:t>‘</w:t>
      </w:r>
      <w:r w:rsidRPr="00F0646E">
        <w:t>accept a role as critic and conscience of society</w:t>
      </w:r>
      <w:r w:rsidR="00096976">
        <w:t>’”</w:t>
      </w:r>
      <w:r w:rsidRPr="00F0646E">
        <w:t xml:space="preserve"> </w:t>
      </w:r>
      <w:r w:rsidRPr="00F0646E">
        <w:fldChar w:fldCharType="begin"/>
      </w:r>
      <w:r w:rsidR="009B0EC4">
        <w:instrText xml:space="preserve"> ADDIN ZOTERO_ITEM CSL_CITATION {"citationID":"GHigifk4","properties":{"formattedCitation":"(New Zealand Productivity Commission 2017, 286)","plainCitation":"(New Zealand Productivity Commission 2017, 286)","noteIndex":162},"citationItems":[{"id":16966,"uris":["http://zotero.org/groups/4801058/items/EWPFF4MP"],"itemData":{"id":16966,"type":"report","event-place":"Wellington","publisher":"New Zealand Productivity Commission","publisher-place":"Wellington","title":"New models of tertiary education: Final Report.","URL":"http://www.productivity.govt.nz/inquiry-content/tertiary-education","author":[{"family":"New Zealand Productivity Commission","given":""}],"issued":{"date-parts":[["2017"]]}},"locator":"286","label":"page"}],"schema":"https://github.com/citation-style-language/schema/raw/master/csl-citation.json"} </w:instrText>
      </w:r>
      <w:r w:rsidRPr="00F0646E">
        <w:fldChar w:fldCharType="separate"/>
      </w:r>
      <w:r w:rsidRPr="00F0646E">
        <w:rPr>
          <w:rFonts w:cs="Calibri"/>
        </w:rPr>
        <w:t>(New Zealand Productivity Commission 2017, 286)</w:t>
      </w:r>
      <w:r w:rsidRPr="00F0646E">
        <w:fldChar w:fldCharType="end"/>
      </w:r>
      <w:r w:rsidRPr="00F0646E">
        <w:t>.</w:t>
      </w:r>
    </w:p>
  </w:footnote>
  <w:footnote w:id="164">
    <w:p w14:paraId="0B84E5F7" w14:textId="4FBAE271" w:rsidR="00FA12B5" w:rsidRPr="00F0646E" w:rsidRDefault="00FA12B5" w:rsidP="00FA12B5">
      <w:pPr>
        <w:pStyle w:val="FootnoteText"/>
      </w:pPr>
      <w:r w:rsidRPr="009006D7">
        <w:rPr>
          <w:rStyle w:val="FootnoteReference"/>
        </w:rPr>
        <w:footnoteRef/>
      </w:r>
      <w:r w:rsidRPr="00F0646E">
        <w:t xml:space="preserve"> </w:t>
      </w:r>
      <w:r w:rsidRPr="00F0646E">
        <w:tab/>
        <w:t xml:space="preserve">There are some parts of Parliamentary procedure that require the unanimous agreement of all members present. This is called ‘seeking the leave of the house’ </w:t>
      </w:r>
      <w:r w:rsidRPr="00F0646E">
        <w:fldChar w:fldCharType="begin"/>
      </w:r>
      <w:r w:rsidR="009B0EC4">
        <w:instrText xml:space="preserve"> ADDIN ZOTERO_ITEM CSL_CITATION {"citationID":"amosbgrjo7","properties":{"formattedCitation":"(McGee 2017, 15)","plainCitation":"(McGee 2017, 15)","noteIndex":163},"citationItems":[{"id":16984,"uris":["http://zotero.org/groups/4801058/items/SM5N68W9"],"itemData":{"id":16984,"type":"book","abstract":"Parliamentary Practice in New Zealand is the definitive work on practice and procedure in the New Zealand House of Representatives. The fourth edition incorporates a decade of developments since the third edition in 2005, and reflects many significant changes in parliamentary law, practice and procedure, including: the Parliamentary Privilege Act 2014; how the House and its committees conduct legislative and financial scrutiny; the use of extended sittings by the House; the increased role of the Business Committee to manage the transaction of parliamentary business; how the work of the House and its committees is communicated to the public.This new edition features an attractive design and accessible structure, with extensive indexing and references","edition":"Fourth edition","event-place":"Auckland, New Zealand","ISBN":"978-0-947506-24-7","language":"eng","number-of-pages":"857","publisher":"Oratia Books, Oratia Media Ltd","publisher-place":"Auckland, New Zealand","source":"K10plus ISBN","title":"Parliamentary practice in New Zealand","author":[{"family":"McGee","given":"David G."}],"editor":[{"family":"Harris","given":"Mary"},{"family":"Bagnall","given":"David"},{"family":"Sharma","given":"Pavan"}],"issued":{"date-parts":[["2017"]]}},"locator":"15","label":"page"}],"schema":"https://github.com/citation-style-language/schema/raw/master/csl-citation.json"} </w:instrText>
      </w:r>
      <w:r w:rsidRPr="00F0646E">
        <w:fldChar w:fldCharType="separate"/>
      </w:r>
      <w:r w:rsidRPr="00F0646E">
        <w:rPr>
          <w:rFonts w:cs="Calibri"/>
          <w:szCs w:val="24"/>
        </w:rPr>
        <w:t>(McGee 2017, 15)</w:t>
      </w:r>
      <w:r w:rsidRPr="00F0646E">
        <w:fldChar w:fldCharType="end"/>
      </w:r>
      <w:r w:rsidRPr="00F0646E">
        <w:t xml:space="preserve">. If the Government seeks leave, it can be refused by the Opposition. However, this power is limited, since in many cases, the Government could put the matter to a vote, which </w:t>
      </w:r>
      <w:r w:rsidR="00E07C23">
        <w:t>it</w:t>
      </w:r>
      <w:r w:rsidR="0029715B">
        <w:t xml:space="preserve"> </w:t>
      </w:r>
      <w:r w:rsidRPr="00F0646E">
        <w:t xml:space="preserve">would then win. </w:t>
      </w:r>
    </w:p>
  </w:footnote>
  <w:footnote w:id="165">
    <w:p w14:paraId="0476EA75" w14:textId="77777777" w:rsidR="00FA12B5" w:rsidRPr="00F0646E" w:rsidRDefault="00FA12B5" w:rsidP="00FA12B5">
      <w:pPr>
        <w:pStyle w:val="FootnoteText"/>
      </w:pPr>
      <w:r w:rsidRPr="009006D7">
        <w:rPr>
          <w:rStyle w:val="FootnoteReference"/>
        </w:rPr>
        <w:footnoteRef/>
      </w:r>
      <w:r w:rsidRPr="00F0646E">
        <w:t xml:space="preserve"> </w:t>
      </w:r>
      <w:r w:rsidRPr="00F0646E">
        <w:tab/>
        <w:t>‘The Whips being on’ is a reference to the practice in Westminster Parliaments of members of a governing party being required support the government in Parliamentary votes:</w:t>
      </w:r>
    </w:p>
    <w:p w14:paraId="610D470B" w14:textId="3D8FE550" w:rsidR="00FA12B5" w:rsidRPr="00F0646E" w:rsidRDefault="00FA12B5" w:rsidP="00FA12B5">
      <w:pPr>
        <w:pStyle w:val="FootnoteText"/>
        <w:tabs>
          <w:tab w:val="clear" w:pos="425"/>
        </w:tabs>
        <w:ind w:left="810" w:firstLine="0"/>
      </w:pPr>
      <w:r w:rsidRPr="00F0646E">
        <w:rPr>
          <w:i/>
          <w:iCs/>
        </w:rPr>
        <w:t xml:space="preserve">The term “whipping” was inherited from the British </w:t>
      </w:r>
      <w:proofErr w:type="gramStart"/>
      <w:r w:rsidRPr="00F0646E">
        <w:rPr>
          <w:i/>
          <w:iCs/>
        </w:rPr>
        <w:t>Parliament, and</w:t>
      </w:r>
      <w:proofErr w:type="gramEnd"/>
      <w:r w:rsidRPr="00F0646E">
        <w:rPr>
          <w:i/>
          <w:iCs/>
        </w:rPr>
        <w:t xml:space="preserve"> can be traced back to the 18th century hunting term “whipper-in”, a huntsman’s assistant who drives straying hounds back to the main pack using a whip. The Green Party instead uses the term “musterer”.</w:t>
      </w:r>
      <w:r w:rsidRPr="00F0646E">
        <w:t xml:space="preserve"> </w:t>
      </w:r>
      <w:r w:rsidRPr="00F0646E">
        <w:fldChar w:fldCharType="begin"/>
      </w:r>
      <w:r w:rsidR="009B0EC4">
        <w:instrText xml:space="preserve"> ADDIN ZOTERO_ITEM CSL_CITATION {"citationID":"FueHeadz","properties":{"formattedCitation":"(Parliament of New Zealand 2020)","plainCitation":"(Parliament of New Zealand 2020)","noteIndex":164},"citationItems":[{"id":17009,"uris":["http://zotero.org/groups/4801058/items/9XFEGDWL"],"itemData":{"id":17009,"type":"webpage","abstract":"Parliamentary party whips are members of Parliament (MPs) who make sure their party’s MPs are present in Parliament when they are needed to vote.","language":"en","title":"What is a party whip and what do they do? - New Zealand Parliament","title-short":"What is a party whip and what do they do?","URL":"https://www.parliament.nz/en/get-involved/features/what-is-a-party-whip-and-what-do-they-do/","author":[{"family":"Parliament of New Zealand","given":""}],"accessed":{"date-parts":[["2022",11,14]]},"issued":{"date-parts":[["2020"]]}}}],"schema":"https://github.com/citation-style-language/schema/raw/master/csl-citation.json"} </w:instrText>
      </w:r>
      <w:r w:rsidRPr="00F0646E">
        <w:fldChar w:fldCharType="separate"/>
      </w:r>
      <w:r w:rsidRPr="00F0646E">
        <w:rPr>
          <w:rFonts w:cs="Calibri"/>
          <w:szCs w:val="24"/>
        </w:rPr>
        <w:t>(Parliament of New Zealand 2020)</w:t>
      </w:r>
      <w:r w:rsidRPr="00F0646E">
        <w:fldChar w:fldCharType="end"/>
      </w:r>
      <w:r w:rsidRPr="00F0646E">
        <w:t>.</w:t>
      </w:r>
    </w:p>
  </w:footnote>
  <w:footnote w:id="166">
    <w:p w14:paraId="337D686B" w14:textId="3F970FCC" w:rsidR="00F35E30" w:rsidRPr="00F0646E" w:rsidRDefault="00F35E30" w:rsidP="00F35E30">
      <w:pPr>
        <w:pStyle w:val="FootnoteText"/>
      </w:pPr>
      <w:r w:rsidRPr="009006D7">
        <w:rPr>
          <w:rStyle w:val="FootnoteReference"/>
        </w:rPr>
        <w:footnoteRef/>
      </w:r>
      <w:r w:rsidRPr="00F0646E">
        <w:t xml:space="preserve"> </w:t>
      </w:r>
      <w:r w:rsidRPr="00F0646E">
        <w:tab/>
      </w:r>
      <w:r w:rsidR="00F04724">
        <w:t xml:space="preserve">As </w:t>
      </w:r>
      <w:r w:rsidR="00F04724" w:rsidRPr="009B1A8A">
        <w:t xml:space="preserve">noted in </w:t>
      </w:r>
      <w:r w:rsidR="008524FC">
        <w:t>f</w:t>
      </w:r>
      <w:r w:rsidR="006863AB" w:rsidRPr="008524FC">
        <w:t xml:space="preserve">ootnote </w:t>
      </w:r>
      <w:r w:rsidR="006863AB" w:rsidRPr="008524FC">
        <w:fldChar w:fldCharType="begin"/>
      </w:r>
      <w:r w:rsidR="006863AB" w:rsidRPr="008524FC">
        <w:instrText xml:space="preserve"> NOTEREF _Ref125368994 \h </w:instrText>
      </w:r>
      <w:r w:rsidR="009B1A8A">
        <w:instrText xml:space="preserve"> \* MERGEFORMAT </w:instrText>
      </w:r>
      <w:r w:rsidR="006863AB" w:rsidRPr="008524FC">
        <w:fldChar w:fldCharType="separate"/>
      </w:r>
      <w:r w:rsidR="00E06351">
        <w:t>78</w:t>
      </w:r>
      <w:r w:rsidR="006863AB" w:rsidRPr="008524FC">
        <w:fldChar w:fldCharType="end"/>
      </w:r>
      <w:r w:rsidR="006863AB" w:rsidRPr="008524FC">
        <w:t xml:space="preserve"> in </w:t>
      </w:r>
      <w:r w:rsidR="008524FC">
        <w:t>s</w:t>
      </w:r>
      <w:r w:rsidR="006863AB" w:rsidRPr="008524FC">
        <w:t xml:space="preserve">ection </w:t>
      </w:r>
      <w:r w:rsidR="006863AB" w:rsidRPr="008524FC">
        <w:fldChar w:fldCharType="begin"/>
      </w:r>
      <w:r w:rsidR="006863AB" w:rsidRPr="008524FC">
        <w:instrText xml:space="preserve"> REF _Ref125369044 \r \h </w:instrText>
      </w:r>
      <w:r w:rsidR="009B1A8A">
        <w:instrText xml:space="preserve"> \* MERGEFORMAT </w:instrText>
      </w:r>
      <w:r w:rsidR="006863AB" w:rsidRPr="008524FC">
        <w:fldChar w:fldCharType="separate"/>
      </w:r>
      <w:r w:rsidR="00E06351">
        <w:t>2.5.9</w:t>
      </w:r>
      <w:r w:rsidR="006863AB" w:rsidRPr="008524FC">
        <w:fldChar w:fldCharType="end"/>
      </w:r>
      <w:r w:rsidR="00F04724" w:rsidRPr="008524FC">
        <w:t>,</w:t>
      </w:r>
      <w:r w:rsidR="00F04724" w:rsidRPr="009B1A8A">
        <w:t xml:space="preserve"> we</w:t>
      </w:r>
      <w:r w:rsidRPr="009B1A8A">
        <w:t xml:space="preserve"> prefer</w:t>
      </w:r>
      <w:r w:rsidRPr="00F0646E">
        <w:t xml:space="preserve"> to refer to providing assistance rather than delivering services. In this section we are, however, describing the current social assistance system, which is based on the service provision paradigm.</w:t>
      </w:r>
    </w:p>
  </w:footnote>
  <w:footnote w:id="167">
    <w:p w14:paraId="3124639C" w14:textId="2AC6B0CD" w:rsidR="00263D2A" w:rsidRDefault="00263D2A" w:rsidP="00263D2A">
      <w:pPr>
        <w:pStyle w:val="FootnoteText"/>
      </w:pPr>
      <w:r w:rsidRPr="009006D7">
        <w:rPr>
          <w:rStyle w:val="FootnoteReference"/>
        </w:rPr>
        <w:footnoteRef/>
      </w:r>
      <w:r>
        <w:t xml:space="preserve"> </w:t>
      </w:r>
      <w:r>
        <w:tab/>
        <w:t xml:space="preserve">Although the number of NGOs contracted is reasonably large (about 6,000), the value of contracts, within the whole social assistance system, remains low, at between $6 and $7 billion in 2020/21. </w:t>
      </w:r>
      <w:r w:rsidR="009B1A8A">
        <w:t xml:space="preserve">Of this, </w:t>
      </w:r>
      <w:r>
        <w:t xml:space="preserve">70 percent is from the Ministry of Health (excluding DHBs) and ACC </w:t>
      </w:r>
      <w:r>
        <w:fldChar w:fldCharType="begin"/>
      </w:r>
      <w:r w:rsidR="009B0EC4">
        <w:instrText xml:space="preserve"> ADDIN ZOTERO_ITEM CSL_CITATION {"citationID":"hYA0C9Z6","properties":{"formattedCitation":"(Ministry of Social Development 2022e, 8)","plainCitation":"(Ministry of Social Development 2022e, 8)","noteIndex":166},"citationItems":[{"id":14052,"uris":["http://zotero.org/groups/4623831/items/6KGJ6XLT"],"itemData":{"id":14052,"type":"report","abstract":"This paper describes the Ministry’s proposed approach to releasing a progress update on work to improve the commissioning of social services in New Zealand.","event-place":"Wellington","language":"eng","publisher":"Ministry for Social Development","publisher-place":"Wellington","source":"www.msd.govt.nz","title":"Update on the Future of Social Sector Commissioning work programme","URL":"https://www.msd.govt.nz/about-msd-and-our-work/publications-resources/planning-strategy/social-sector-commissioning/index.html","author":[{"family":"Ministry of Social Development","given":""}],"accessed":{"date-parts":[["2022",4,8]]},"issued":{"date-parts":[["2022"]]}},"locator":"8","label":"page"}],"schema":"https://github.com/citation-style-language/schema/raw/master/csl-citation.json"} </w:instrText>
      </w:r>
      <w:r>
        <w:fldChar w:fldCharType="separate"/>
      </w:r>
      <w:r w:rsidR="00EA64B8" w:rsidRPr="00EA64B8">
        <w:rPr>
          <w:rFonts w:cs="Calibri"/>
        </w:rPr>
        <w:t>(Ministry of Social Development 2022e, 8)</w:t>
      </w:r>
      <w:r>
        <w:fldChar w:fldCharType="end"/>
      </w:r>
      <w:r>
        <w:t xml:space="preserve">. This compares with total spending in that sector of about $68 billion </w:t>
      </w:r>
      <w:r>
        <w:fldChar w:fldCharType="begin"/>
      </w:r>
      <w:r w:rsidR="009B0EC4">
        <w:instrText xml:space="preserve"> ADDIN ZOTERO_ITEM CSL_CITATION {"citationID":"bkcmwizh","properties":{"formattedCitation":"(The Treasury 2022e)","plainCitation":"(The Treasury 2022e)","noteIndex":166},"citationItems":[{"id":18579,"uris":["http://zotero.org/groups/4801058/items/SDABLTDH"],"itemData":{"id":18579,"type":"report","abstract":"Accessible version","event-place":"Wellingon","language":"en","publisher":"The Treasury","publisher-place":"Wellingon","title":"Summary Tables for the Estimates of Appropriations 2022/23","URL":"https://www.treasury.govt.nz/publications/summary-tables/summary-tables-estimates-appropriations-2022-23","author":[{"family":"The Treasury","given":""}],"accessed":{"date-parts":[["2023",1,23]]},"issued":{"date-parts":[["2022",5,19]]}}}],"schema":"https://github.com/citation-style-language/schema/raw/master/csl-citation.json"} </w:instrText>
      </w:r>
      <w:r>
        <w:fldChar w:fldCharType="separate"/>
      </w:r>
      <w:r w:rsidR="00993C0A" w:rsidRPr="00993C0A">
        <w:rPr>
          <w:rFonts w:cs="Calibri"/>
        </w:rPr>
        <w:t>(The Treasury 2022e)</w:t>
      </w:r>
      <w:r>
        <w:fldChar w:fldCharType="end"/>
      </w:r>
      <w:r>
        <w:t>.</w:t>
      </w:r>
    </w:p>
  </w:footnote>
  <w:footnote w:id="168">
    <w:p w14:paraId="14029DA7" w14:textId="1041E158" w:rsidR="00602A62" w:rsidRDefault="00602A62" w:rsidP="00AE4DF0">
      <w:pPr>
        <w:pStyle w:val="FootnoteText"/>
      </w:pPr>
      <w:r w:rsidRPr="009006D7">
        <w:rPr>
          <w:rStyle w:val="FootnoteReference"/>
        </w:rPr>
        <w:footnoteRef/>
      </w:r>
      <w:r>
        <w:t xml:space="preserve"> </w:t>
      </w:r>
      <w:r>
        <w:tab/>
      </w:r>
      <w:r w:rsidR="009050C4">
        <w:t xml:space="preserve">For example, </w:t>
      </w:r>
      <w:r w:rsidRPr="00602A62">
        <w:t>Social Service Providers Aotearoa</w:t>
      </w:r>
      <w:r w:rsidR="00BB240A">
        <w:t xml:space="preserve">, an industry body, </w:t>
      </w:r>
      <w:r w:rsidR="00AE4DF0">
        <w:t xml:space="preserve">are </w:t>
      </w:r>
      <w:r w:rsidR="002752B2">
        <w:t>“</w:t>
      </w:r>
      <w:r w:rsidR="00AE4DF0">
        <w:t xml:space="preserve">committed to contributing to upholding </w:t>
      </w:r>
      <w:proofErr w:type="spellStart"/>
      <w:r w:rsidR="00AE4DF0">
        <w:t>Te</w:t>
      </w:r>
      <w:proofErr w:type="spellEnd"/>
      <w:r w:rsidR="00AE4DF0">
        <w:t xml:space="preserve"> </w:t>
      </w:r>
      <w:proofErr w:type="spellStart"/>
      <w:r w:rsidR="00AE4DF0">
        <w:t>Tiriti</w:t>
      </w:r>
      <w:proofErr w:type="spellEnd"/>
      <w:r w:rsidR="00AE4DF0">
        <w:t xml:space="preserve"> o Waitangi</w:t>
      </w:r>
      <w:r w:rsidR="002752B2">
        <w:t>”</w:t>
      </w:r>
      <w:r w:rsidR="00AE4DF0">
        <w:t xml:space="preserve"> </w:t>
      </w:r>
      <w:r w:rsidR="00AE4DF0">
        <w:fldChar w:fldCharType="begin"/>
      </w:r>
      <w:r w:rsidR="009B0EC4">
        <w:instrText xml:space="preserve"> ADDIN ZOTERO_ITEM CSL_CITATION {"citationID":"177cTSIZ","properties":{"formattedCitation":"(Social Service Providers Aotearoa 2021, 16)","plainCitation":"(Social Service Providers Aotearoa 2021, 16)","noteIndex":167},"citationItems":[{"id":18580,"uris":["http://zotero.org/groups/4801058/items/XQTUATPF"],"itemData":{"id":18580,"type":"report","event-place":"Wellington","publisher":"Social Service Providers Aotearoa","publisher-place":"Wellington","title":"Strategic Plan 2021 - 23","URL":"https://www.sspa.org.nz/about-sspa","author":[{"family":"Social Service Providers Aotearoa","given":""}],"accessed":{"date-parts":[["2023",1,23]]},"issued":{"date-parts":[["2021"]]}},"locator":"16","label":"page"}],"schema":"https://github.com/citation-style-language/schema/raw/master/csl-citation.json"} </w:instrText>
      </w:r>
      <w:r w:rsidR="00AE4DF0">
        <w:fldChar w:fldCharType="separate"/>
      </w:r>
      <w:r w:rsidR="00AE4DF0" w:rsidRPr="00AE4DF0">
        <w:rPr>
          <w:rFonts w:cs="Calibri"/>
        </w:rPr>
        <w:t>(Social Service Providers Aotearoa 2021, 16)</w:t>
      </w:r>
      <w:r w:rsidR="00AE4DF0">
        <w:fldChar w:fldCharType="end"/>
      </w:r>
      <w:r w:rsidR="009050C4">
        <w:t>.</w:t>
      </w:r>
    </w:p>
  </w:footnote>
  <w:footnote w:id="169">
    <w:p w14:paraId="58AD6295" w14:textId="77777777" w:rsidR="00F35E30" w:rsidRPr="00F0646E" w:rsidRDefault="00F35E30" w:rsidP="00F35E30">
      <w:pPr>
        <w:pStyle w:val="FootnoteText"/>
      </w:pPr>
      <w:r w:rsidRPr="009006D7">
        <w:rPr>
          <w:rStyle w:val="FootnoteReference"/>
        </w:rPr>
        <w:footnoteRef/>
      </w:r>
      <w:r w:rsidRPr="00F0646E">
        <w:t xml:space="preserve"> </w:t>
      </w:r>
      <w:r w:rsidRPr="00F0646E">
        <w:tab/>
        <w:t xml:space="preserve">While many NGOs are charities, charitable status is something that is conferred on an existing entity (defined in the Charities Act as any society, institution, or trustees of a trust). Once registered, charitable entities have reporting and governance obligations under the Charities Act in addition to or in substitution for those imposed by their foundational status. </w:t>
      </w:r>
    </w:p>
  </w:footnote>
  <w:footnote w:id="170">
    <w:p w14:paraId="0EABD35C" w14:textId="406F1567" w:rsidR="00F35E30" w:rsidRPr="00F0646E" w:rsidRDefault="00F35E30" w:rsidP="00F35E30">
      <w:pPr>
        <w:pStyle w:val="FootnoteText"/>
      </w:pPr>
      <w:r w:rsidRPr="009006D7">
        <w:rPr>
          <w:rStyle w:val="FootnoteReference"/>
        </w:rPr>
        <w:footnoteRef/>
      </w:r>
      <w:r w:rsidRPr="00F0646E">
        <w:t xml:space="preserve"> </w:t>
      </w:r>
      <w:r w:rsidRPr="00F0646E">
        <w:tab/>
        <w:t xml:space="preserve">Other forms of social enterprises include limited partnerships established in accordance with the Limited Partnerships Act 2008; industrial and provident societies and co-operative companies (the Co-operative Companies Act 1996 and the Industrial and Provident Societies Act 1908). For details, see Department of Internal Affairs </w:t>
      </w:r>
      <w:r w:rsidRPr="00F0646E">
        <w:fldChar w:fldCharType="begin"/>
      </w:r>
      <w:r w:rsidR="009B0EC4">
        <w:instrText xml:space="preserve"> ADDIN ZOTERO_ITEM CSL_CITATION {"citationID":"4IpXyUNu","properties":{"formattedCitation":"(2013)","plainCitation":"(2013)","noteIndex":169},"citationItems":[{"id":16985,"uris":["http://zotero.org/groups/4801058/items/HKYLZXNC"],"itemData":{"id":16985,"type":"report","event-place":"Wellington","publisher":"Department of Internal Affairs","publisher-place":"Wellington","title":"Legal Structures for Social Enterprise","author":[{"family":"Department of Internal Affairs","given":""}],"issued":{"date-parts":[["2013"]]}},"label":"page","suppress-author":true}],"schema":"https://github.com/citation-style-language/schema/raw/master/csl-citation.json"} </w:instrText>
      </w:r>
      <w:r w:rsidRPr="00F0646E">
        <w:fldChar w:fldCharType="separate"/>
      </w:r>
      <w:r w:rsidRPr="00F0646E">
        <w:rPr>
          <w:rFonts w:cs="Calibri"/>
        </w:rPr>
        <w:t>(2013)</w:t>
      </w:r>
      <w:r w:rsidRPr="00F0646E">
        <w:fldChar w:fldCharType="end"/>
      </w:r>
      <w:r w:rsidRPr="00F0646E">
        <w:t>.</w:t>
      </w:r>
    </w:p>
  </w:footnote>
  <w:footnote w:id="171">
    <w:p w14:paraId="70D8331B" w14:textId="77777777" w:rsidR="00F35E30" w:rsidRPr="00F0646E" w:rsidRDefault="00F35E30" w:rsidP="00F35E30">
      <w:pPr>
        <w:pStyle w:val="FootnoteText"/>
      </w:pPr>
      <w:r w:rsidRPr="009006D7">
        <w:rPr>
          <w:rStyle w:val="FootnoteReference"/>
        </w:rPr>
        <w:footnoteRef/>
      </w:r>
      <w:r w:rsidRPr="00F0646E">
        <w:t xml:space="preserve"> </w:t>
      </w:r>
      <w:r w:rsidRPr="00F0646E">
        <w:tab/>
        <w:t xml:space="preserve">Many Māori and iwi-based organisations are founded as trusts for the benefit of different groups of Māori. Provision for establishing some of these trusts are provided for in </w:t>
      </w:r>
      <w:proofErr w:type="spellStart"/>
      <w:r w:rsidRPr="00F0646E">
        <w:t>Te</w:t>
      </w:r>
      <w:proofErr w:type="spellEnd"/>
      <w:r w:rsidRPr="00F0646E">
        <w:t xml:space="preserve"> Ture Whenua Māori Act 1993.</w:t>
      </w:r>
    </w:p>
  </w:footnote>
  <w:footnote w:id="172">
    <w:p w14:paraId="312D85FA" w14:textId="77777777" w:rsidR="00F35E30" w:rsidRPr="00F0646E" w:rsidRDefault="00F35E30" w:rsidP="00F35E30">
      <w:pPr>
        <w:pStyle w:val="FootnoteText"/>
      </w:pPr>
      <w:r w:rsidRPr="009006D7">
        <w:rPr>
          <w:rStyle w:val="FootnoteReference"/>
        </w:rPr>
        <w:footnoteRef/>
      </w:r>
      <w:r w:rsidRPr="00F0646E">
        <w:t xml:space="preserve"> </w:t>
      </w:r>
      <w:r w:rsidRPr="00F0646E">
        <w:tab/>
        <w:t>The tiers are as follows:</w:t>
      </w:r>
    </w:p>
    <w:p w14:paraId="3A798257" w14:textId="77777777" w:rsidR="00F35E30" w:rsidRPr="00F0646E" w:rsidRDefault="00F35E30" w:rsidP="00F35E30">
      <w:pPr>
        <w:keepNext/>
        <w:keepLines/>
        <w:numPr>
          <w:ilvl w:val="3"/>
          <w:numId w:val="0"/>
        </w:numPr>
        <w:spacing w:after="0" w:line="240" w:lineRule="auto"/>
        <w:ind w:left="851"/>
        <w:outlineLvl w:val="3"/>
        <w:rPr>
          <w:rFonts w:eastAsiaTheme="majorEastAsia" w:cstheme="majorBidi"/>
          <w:b/>
          <w:iCs/>
          <w:color w:val="0094C5" w:themeColor="accent1"/>
          <w:sz w:val="16"/>
          <w:szCs w:val="16"/>
        </w:rPr>
      </w:pPr>
      <w:r w:rsidRPr="00F0646E">
        <w:rPr>
          <w:rFonts w:eastAsiaTheme="majorEastAsia" w:cstheme="majorBidi"/>
          <w:b/>
          <w:iCs/>
          <w:color w:val="0094C5" w:themeColor="accent1"/>
          <w:sz w:val="16"/>
          <w:szCs w:val="16"/>
        </w:rPr>
        <w:t>Reporting tiers</w:t>
      </w:r>
    </w:p>
    <w:tbl>
      <w:tblPr>
        <w:tblStyle w:val="TableDefault"/>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501"/>
        <w:gridCol w:w="1501"/>
        <w:gridCol w:w="1501"/>
        <w:gridCol w:w="1501"/>
        <w:gridCol w:w="1501"/>
      </w:tblGrid>
      <w:tr w:rsidR="00483A68" w:rsidRPr="00F0646E" w14:paraId="5973D4E2" w14:textId="77777777" w:rsidTr="00B5519D">
        <w:trPr>
          <w:cnfStyle w:val="100000000000" w:firstRow="1" w:lastRow="0" w:firstColumn="0" w:lastColumn="0" w:oddVBand="0" w:evenVBand="0" w:oddHBand="0" w:evenHBand="0" w:firstRowFirstColumn="0" w:firstRowLastColumn="0" w:lastRowFirstColumn="0" w:lastRowLastColumn="0"/>
        </w:trPr>
        <w:tc>
          <w:tcPr>
            <w:tcW w:w="1501" w:type="dxa"/>
          </w:tcPr>
          <w:p w14:paraId="628A181F" w14:textId="77777777" w:rsidR="00F35E30" w:rsidRPr="00F0646E" w:rsidRDefault="00F35E30" w:rsidP="009D6BE5">
            <w:pPr>
              <w:spacing w:after="0" w:line="240" w:lineRule="auto"/>
              <w:rPr>
                <w:sz w:val="16"/>
                <w:szCs w:val="16"/>
              </w:rPr>
            </w:pPr>
          </w:p>
        </w:tc>
        <w:tc>
          <w:tcPr>
            <w:tcW w:w="1501" w:type="dxa"/>
          </w:tcPr>
          <w:p w14:paraId="66CC5944" w14:textId="77777777" w:rsidR="00F35E30" w:rsidRPr="00E50566" w:rsidRDefault="00F35E30" w:rsidP="009D6BE5">
            <w:pPr>
              <w:spacing w:after="0" w:line="240" w:lineRule="auto"/>
              <w:rPr>
                <w:color w:val="FFFFFF" w:themeColor="background1"/>
                <w:sz w:val="16"/>
                <w:szCs w:val="16"/>
              </w:rPr>
            </w:pPr>
            <w:r w:rsidRPr="00E50566">
              <w:rPr>
                <w:color w:val="FFFFFF" w:themeColor="background1"/>
                <w:sz w:val="16"/>
                <w:szCs w:val="16"/>
              </w:rPr>
              <w:t>Tier One</w:t>
            </w:r>
          </w:p>
        </w:tc>
        <w:tc>
          <w:tcPr>
            <w:tcW w:w="1501" w:type="dxa"/>
          </w:tcPr>
          <w:p w14:paraId="48897725" w14:textId="77777777" w:rsidR="00F35E30" w:rsidRPr="00E50566" w:rsidRDefault="00F35E30" w:rsidP="009D6BE5">
            <w:pPr>
              <w:spacing w:after="0" w:line="240" w:lineRule="auto"/>
              <w:rPr>
                <w:color w:val="FFFFFF" w:themeColor="background1"/>
                <w:sz w:val="16"/>
                <w:szCs w:val="16"/>
              </w:rPr>
            </w:pPr>
            <w:r w:rsidRPr="00E50566">
              <w:rPr>
                <w:color w:val="FFFFFF" w:themeColor="background1"/>
                <w:sz w:val="16"/>
                <w:szCs w:val="16"/>
              </w:rPr>
              <w:t>Tier Two</w:t>
            </w:r>
          </w:p>
        </w:tc>
        <w:tc>
          <w:tcPr>
            <w:tcW w:w="1501" w:type="dxa"/>
          </w:tcPr>
          <w:p w14:paraId="5CACA06E" w14:textId="77777777" w:rsidR="00F35E30" w:rsidRPr="00E50566" w:rsidRDefault="00F35E30" w:rsidP="009D6BE5">
            <w:pPr>
              <w:spacing w:after="0" w:line="240" w:lineRule="auto"/>
              <w:rPr>
                <w:color w:val="FFFFFF" w:themeColor="background1"/>
                <w:sz w:val="16"/>
                <w:szCs w:val="16"/>
              </w:rPr>
            </w:pPr>
            <w:r w:rsidRPr="00E50566">
              <w:rPr>
                <w:color w:val="FFFFFF" w:themeColor="background1"/>
                <w:sz w:val="16"/>
                <w:szCs w:val="16"/>
              </w:rPr>
              <w:t>Tier Three</w:t>
            </w:r>
          </w:p>
        </w:tc>
        <w:tc>
          <w:tcPr>
            <w:tcW w:w="1501" w:type="dxa"/>
          </w:tcPr>
          <w:p w14:paraId="65937B91" w14:textId="77777777" w:rsidR="00F35E30" w:rsidRPr="00E50566" w:rsidRDefault="00F35E30" w:rsidP="009D6BE5">
            <w:pPr>
              <w:spacing w:after="0" w:line="240" w:lineRule="auto"/>
              <w:rPr>
                <w:color w:val="FFFFFF" w:themeColor="background1"/>
                <w:sz w:val="16"/>
                <w:szCs w:val="16"/>
              </w:rPr>
            </w:pPr>
            <w:r w:rsidRPr="00E50566">
              <w:rPr>
                <w:color w:val="FFFFFF" w:themeColor="background1"/>
                <w:sz w:val="16"/>
                <w:szCs w:val="16"/>
              </w:rPr>
              <w:t>Tier Four</w:t>
            </w:r>
          </w:p>
        </w:tc>
      </w:tr>
      <w:tr w:rsidR="007C61F2" w:rsidRPr="00F0646E" w14:paraId="31270F1D" w14:textId="77777777" w:rsidTr="00B5519D">
        <w:tc>
          <w:tcPr>
            <w:tcW w:w="1501" w:type="dxa"/>
          </w:tcPr>
          <w:p w14:paraId="04B53D6A" w14:textId="77777777" w:rsidR="00F35E30" w:rsidRPr="00F0646E" w:rsidRDefault="00F35E30" w:rsidP="009D6BE5">
            <w:pPr>
              <w:spacing w:after="0" w:line="240" w:lineRule="auto"/>
              <w:rPr>
                <w:sz w:val="16"/>
                <w:szCs w:val="16"/>
              </w:rPr>
            </w:pPr>
            <w:r w:rsidRPr="00F0646E">
              <w:rPr>
                <w:sz w:val="16"/>
                <w:szCs w:val="16"/>
              </w:rPr>
              <w:t>Reporting requirement</w:t>
            </w:r>
          </w:p>
        </w:tc>
        <w:tc>
          <w:tcPr>
            <w:tcW w:w="1501" w:type="dxa"/>
          </w:tcPr>
          <w:p w14:paraId="3801D038" w14:textId="77777777" w:rsidR="00F35E30" w:rsidRPr="00F0646E" w:rsidRDefault="00F35E30" w:rsidP="009D6BE5">
            <w:pPr>
              <w:spacing w:after="0" w:line="240" w:lineRule="auto"/>
              <w:rPr>
                <w:sz w:val="16"/>
                <w:szCs w:val="16"/>
              </w:rPr>
            </w:pPr>
            <w:r w:rsidRPr="00F0646E">
              <w:rPr>
                <w:sz w:val="16"/>
                <w:szCs w:val="16"/>
              </w:rPr>
              <w:t>Full standards</w:t>
            </w:r>
          </w:p>
        </w:tc>
        <w:tc>
          <w:tcPr>
            <w:tcW w:w="1501" w:type="dxa"/>
          </w:tcPr>
          <w:p w14:paraId="389DBD79" w14:textId="77777777" w:rsidR="00F35E30" w:rsidRPr="00F0646E" w:rsidRDefault="00F35E30" w:rsidP="009D6BE5">
            <w:pPr>
              <w:spacing w:after="0" w:line="240" w:lineRule="auto"/>
              <w:rPr>
                <w:sz w:val="16"/>
                <w:szCs w:val="16"/>
              </w:rPr>
            </w:pPr>
            <w:r w:rsidRPr="00F0646E">
              <w:rPr>
                <w:sz w:val="16"/>
                <w:szCs w:val="16"/>
              </w:rPr>
              <w:t>Reduced disclosure regime</w:t>
            </w:r>
          </w:p>
        </w:tc>
        <w:tc>
          <w:tcPr>
            <w:tcW w:w="1501" w:type="dxa"/>
          </w:tcPr>
          <w:p w14:paraId="167AAF97" w14:textId="77777777" w:rsidR="00F35E30" w:rsidRPr="00F0646E" w:rsidRDefault="00F35E30" w:rsidP="009D6BE5">
            <w:pPr>
              <w:spacing w:after="0" w:line="240" w:lineRule="auto"/>
              <w:rPr>
                <w:sz w:val="16"/>
                <w:szCs w:val="16"/>
              </w:rPr>
            </w:pPr>
            <w:r w:rsidRPr="00F0646E">
              <w:rPr>
                <w:sz w:val="16"/>
                <w:szCs w:val="16"/>
              </w:rPr>
              <w:t>Simple format report - accrual</w:t>
            </w:r>
          </w:p>
        </w:tc>
        <w:tc>
          <w:tcPr>
            <w:tcW w:w="1501" w:type="dxa"/>
          </w:tcPr>
          <w:p w14:paraId="7BAEE528" w14:textId="77777777" w:rsidR="00F35E30" w:rsidRPr="00F0646E" w:rsidRDefault="00F35E30" w:rsidP="009D6BE5">
            <w:pPr>
              <w:spacing w:after="0" w:line="240" w:lineRule="auto"/>
              <w:rPr>
                <w:sz w:val="16"/>
                <w:szCs w:val="16"/>
              </w:rPr>
            </w:pPr>
            <w:r w:rsidRPr="00F0646E">
              <w:rPr>
                <w:sz w:val="16"/>
                <w:szCs w:val="16"/>
              </w:rPr>
              <w:t>Simple format report- cash</w:t>
            </w:r>
          </w:p>
        </w:tc>
      </w:tr>
      <w:tr w:rsidR="00483A68" w:rsidRPr="00F0646E" w14:paraId="41189682" w14:textId="77777777" w:rsidTr="00B5519D">
        <w:trPr>
          <w:cnfStyle w:val="000000010000" w:firstRow="0" w:lastRow="0" w:firstColumn="0" w:lastColumn="0" w:oddVBand="0" w:evenVBand="0" w:oddHBand="0" w:evenHBand="1" w:firstRowFirstColumn="0" w:firstRowLastColumn="0" w:lastRowFirstColumn="0" w:lastRowLastColumn="0"/>
        </w:trPr>
        <w:tc>
          <w:tcPr>
            <w:tcW w:w="1501" w:type="dxa"/>
          </w:tcPr>
          <w:p w14:paraId="5662F0DB" w14:textId="77777777" w:rsidR="00F35E30" w:rsidRPr="00F0646E" w:rsidRDefault="00F35E30" w:rsidP="009D6BE5">
            <w:pPr>
              <w:spacing w:after="0" w:line="240" w:lineRule="auto"/>
              <w:rPr>
                <w:sz w:val="16"/>
                <w:szCs w:val="16"/>
              </w:rPr>
            </w:pPr>
            <w:r w:rsidRPr="00F0646E">
              <w:rPr>
                <w:sz w:val="16"/>
                <w:szCs w:val="16"/>
              </w:rPr>
              <w:t>Financial threshold</w:t>
            </w:r>
          </w:p>
        </w:tc>
        <w:tc>
          <w:tcPr>
            <w:tcW w:w="1501" w:type="dxa"/>
          </w:tcPr>
          <w:p w14:paraId="2CBEF254" w14:textId="77777777" w:rsidR="00F35E30" w:rsidRPr="00F0646E" w:rsidRDefault="00F35E30" w:rsidP="009D6BE5">
            <w:pPr>
              <w:spacing w:after="0" w:line="240" w:lineRule="auto"/>
              <w:rPr>
                <w:sz w:val="16"/>
                <w:szCs w:val="16"/>
              </w:rPr>
            </w:pPr>
            <w:r w:rsidRPr="00F0646E">
              <w:rPr>
                <w:sz w:val="16"/>
                <w:szCs w:val="16"/>
              </w:rPr>
              <w:t>Over $30 million annual expenses</w:t>
            </w:r>
          </w:p>
        </w:tc>
        <w:tc>
          <w:tcPr>
            <w:tcW w:w="1501" w:type="dxa"/>
          </w:tcPr>
          <w:p w14:paraId="34634227" w14:textId="77777777" w:rsidR="00F35E30" w:rsidRPr="00F0646E" w:rsidRDefault="00F35E30" w:rsidP="009D6BE5">
            <w:pPr>
              <w:spacing w:after="0" w:line="240" w:lineRule="auto"/>
              <w:rPr>
                <w:sz w:val="16"/>
                <w:szCs w:val="16"/>
              </w:rPr>
            </w:pPr>
            <w:r w:rsidRPr="00F0646E">
              <w:rPr>
                <w:sz w:val="16"/>
                <w:szCs w:val="16"/>
              </w:rPr>
              <w:t>Under $30 million annual expenses</w:t>
            </w:r>
          </w:p>
        </w:tc>
        <w:tc>
          <w:tcPr>
            <w:tcW w:w="1501" w:type="dxa"/>
          </w:tcPr>
          <w:p w14:paraId="5EEDB080" w14:textId="77777777" w:rsidR="00F35E30" w:rsidRPr="00F0646E" w:rsidRDefault="00F35E30" w:rsidP="009D6BE5">
            <w:pPr>
              <w:spacing w:after="0" w:line="240" w:lineRule="auto"/>
              <w:rPr>
                <w:sz w:val="16"/>
                <w:szCs w:val="16"/>
              </w:rPr>
            </w:pPr>
            <w:r w:rsidRPr="00F0646E">
              <w:rPr>
                <w:sz w:val="16"/>
                <w:szCs w:val="16"/>
              </w:rPr>
              <w:t>Under $2 million annual expenses</w:t>
            </w:r>
          </w:p>
        </w:tc>
        <w:tc>
          <w:tcPr>
            <w:tcW w:w="1501" w:type="dxa"/>
          </w:tcPr>
          <w:p w14:paraId="5F9912A3" w14:textId="77777777" w:rsidR="00F35E30" w:rsidRPr="00F0646E" w:rsidRDefault="00F35E30" w:rsidP="009D6BE5">
            <w:pPr>
              <w:spacing w:after="0" w:line="240" w:lineRule="auto"/>
              <w:rPr>
                <w:sz w:val="16"/>
                <w:szCs w:val="16"/>
              </w:rPr>
            </w:pPr>
            <w:r w:rsidRPr="00F0646E">
              <w:rPr>
                <w:sz w:val="16"/>
                <w:szCs w:val="16"/>
              </w:rPr>
              <w:t>Under $140,000 annual operating payments</w:t>
            </w:r>
          </w:p>
        </w:tc>
      </w:tr>
    </w:tbl>
    <w:p w14:paraId="7F850478" w14:textId="77777777" w:rsidR="00F35E30" w:rsidRPr="00F0646E" w:rsidRDefault="00F35E30" w:rsidP="00F35E30">
      <w:pPr>
        <w:pStyle w:val="FootnoteText"/>
      </w:pPr>
      <w:r w:rsidRPr="00F0646E">
        <w:tab/>
        <w:t xml:space="preserve">Regardless of size of operations, charities that undertake certain financial trading activity are always included in Tier One. See External Reporting Board Standard A1, sections 7-13. </w:t>
      </w:r>
    </w:p>
  </w:footnote>
  <w:footnote w:id="173">
    <w:p w14:paraId="29543E91" w14:textId="14FB74E3" w:rsidR="00F76ADA" w:rsidRDefault="00F76ADA">
      <w:pPr>
        <w:pStyle w:val="FootnoteText"/>
      </w:pPr>
      <w:r w:rsidRPr="009006D7">
        <w:rPr>
          <w:rStyle w:val="FootnoteReference"/>
        </w:rPr>
        <w:footnoteRef/>
      </w:r>
      <w:r>
        <w:t xml:space="preserve"> </w:t>
      </w:r>
      <w:r>
        <w:tab/>
        <w:t xml:space="preserve">For example, the fiscal responsibility, child poverty, </w:t>
      </w:r>
      <w:r w:rsidR="00706FE1">
        <w:t xml:space="preserve">and </w:t>
      </w:r>
      <w:r>
        <w:t>climate change</w:t>
      </w:r>
      <w:r w:rsidR="00706FE1">
        <w:t xml:space="preserve"> regimes all include very detailed, context-specific reporting against specified criteria</w:t>
      </w:r>
      <w:r w:rsidR="0031340F">
        <w:t xml:space="preserve">. This reporting is not included in any department’s annual report. </w:t>
      </w:r>
    </w:p>
  </w:footnote>
  <w:footnote w:id="174">
    <w:p w14:paraId="7196D31B" w14:textId="68140F3E" w:rsidR="00CC3178" w:rsidRPr="00107BC9" w:rsidRDefault="00CC3178" w:rsidP="00CC3178">
      <w:pPr>
        <w:pStyle w:val="FootnoteText"/>
      </w:pPr>
      <w:r w:rsidRPr="009006D7">
        <w:rPr>
          <w:rStyle w:val="FootnoteReference"/>
        </w:rPr>
        <w:footnoteRef/>
      </w:r>
      <w:r w:rsidRPr="00F0646E">
        <w:t xml:space="preserve"> </w:t>
      </w:r>
      <w:r w:rsidRPr="00107BC9">
        <w:tab/>
        <w:t xml:space="preserve">Kerry Mitchell, personal communication, 7 November 2022. These attitudes are particularly problematic given demonstrated linkages between teacher expectations and outcomes. For example, New Zealand research has shown that </w:t>
      </w:r>
      <w:r w:rsidR="00470087" w:rsidRPr="00107BC9">
        <w:t>modelling</w:t>
      </w:r>
      <w:r w:rsidRPr="00107BC9">
        <w:t xml:space="preserve"> classroom practices based on the behaviours of teachers with high expectations for students can significantly improve student mathematical achievement </w:t>
      </w:r>
      <w:r w:rsidRPr="00107BC9">
        <w:fldChar w:fldCharType="begin"/>
      </w:r>
      <w:r w:rsidR="009B0EC4">
        <w:instrText xml:space="preserve"> ADDIN ZOTERO_ITEM CSL_CITATION {"citationID":"ad8454br3b","properties":{"formattedCitation":"(Rubie-Davies et al. 2015)","plainCitation":"(Rubie-Davies et al. 2015)","noteIndex":173},"citationItems":[{"id":17121,"uris":["http://zotero.org/groups/4801058/items/4VT2B7NN"],"itemData":{"id":17121,"type":"article-journal","abstract":"Since the original Pygmalion study, there have been very few interventions in the teacher expectation field and none that have been randomized control trials designed to change teacher practices to reflect those of high expectation teachers. The current study was designed to address this gap in the literature. Teachers (N=84) were randomly assigned to either intervention or control groups. Those in the intervention group attended four workshops at which were presented the instructional strategies and practices of high expectation teachers. At each workshop, the intervention group planned changed practices to introduce to their classrooms modelled on the behaviours of high expectation teachers. The researchers visited the teachers on three further occasions to ensure fidelity of the implementation. Students in the classes of the intervention group teachers significantly improved their mathematics achievement over one year, showing a rate of improvement beyond that shown by the students of the control group teachers. Teachers reported high levels of satisfaction with their changed practices and overall, there was a demonstrable degree of integrity in the implementation of the intervention as measured by the researchers. Practical guidelines in relation to the intervention and future directions of the project are included.","collection-title":"Examining Innovations—Navigating the Dynamic Complexities of School-Based Intervention Research","container-title":"Contemporary Educational Psychology","DOI":"10.1016/j.cedpsych.2014.03.003","ISSN":"0361-476X","journalAbbreviation":"Contemporary Educational Psychology","language":"en","page":"72-85","source":"ScienceDirect","title":"A teacher expectation intervention: Modelling the practices of high expectation teachers","title-short":"A teacher expectation intervention","volume":"40","author":[{"family":"Rubie-Davies","given":"Christine M."},{"family":"Peterson","given":"Elizabeth R."},{"family":"Sibley","given":"Chris G."},{"family":"Rosenthal","given":"Robert"}],"issued":{"date-parts":[["2015",1,1]]}}}],"schema":"https://github.com/citation-style-language/schema/raw/master/csl-citation.json"} </w:instrText>
      </w:r>
      <w:r w:rsidRPr="00107BC9">
        <w:fldChar w:fldCharType="separate"/>
      </w:r>
      <w:r w:rsidRPr="00F0646E">
        <w:rPr>
          <w:rFonts w:cs="Calibri"/>
          <w:szCs w:val="24"/>
        </w:rPr>
        <w:t>(Rubie-Davies et al. 2015)</w:t>
      </w:r>
      <w:r w:rsidRPr="00107BC9">
        <w:fldChar w:fldCharType="end"/>
      </w:r>
      <w:r w:rsidRPr="00107BC9">
        <w:t>.</w:t>
      </w:r>
    </w:p>
  </w:footnote>
  <w:footnote w:id="175">
    <w:p w14:paraId="1593B2D3" w14:textId="109B010C" w:rsidR="00FC0DBA" w:rsidRDefault="00FC0DBA">
      <w:pPr>
        <w:pStyle w:val="FootnoteText"/>
      </w:pPr>
      <w:r w:rsidRPr="009006D7">
        <w:rPr>
          <w:rStyle w:val="FootnoteReference"/>
        </w:rPr>
        <w:footnoteRef/>
      </w:r>
      <w:r>
        <w:t xml:space="preserve"> </w:t>
      </w:r>
      <w:r>
        <w:tab/>
      </w:r>
      <w:r w:rsidR="001D5038">
        <w:t>T</w:t>
      </w:r>
      <w:r>
        <w:t xml:space="preserve">he fiscal responsibility regime, which we discuss further in section </w:t>
      </w:r>
      <w:r>
        <w:fldChar w:fldCharType="begin"/>
      </w:r>
      <w:r>
        <w:instrText xml:space="preserve"> REF _Ref125834867 \r \h </w:instrText>
      </w:r>
      <w:r>
        <w:fldChar w:fldCharType="separate"/>
      </w:r>
      <w:r w:rsidR="00E06351">
        <w:t>4.6.5</w:t>
      </w:r>
      <w:r>
        <w:fldChar w:fldCharType="end"/>
      </w:r>
      <w:r>
        <w:t xml:space="preserve">, allows </w:t>
      </w:r>
      <w:r w:rsidR="00C47CAC">
        <w:t xml:space="preserve">Ministers </w:t>
      </w:r>
      <w:r>
        <w:t>to adjust to changing economic conditions when setting a ‘prudent’ level of government debt.</w:t>
      </w:r>
    </w:p>
  </w:footnote>
  <w:footnote w:id="176">
    <w:p w14:paraId="6A5DCCF9" w14:textId="1915165D" w:rsidR="001B024C" w:rsidRDefault="001B024C" w:rsidP="001B024C">
      <w:pPr>
        <w:pStyle w:val="FootnoteText"/>
      </w:pPr>
      <w:r w:rsidRPr="009006D7">
        <w:rPr>
          <w:rStyle w:val="FootnoteReference"/>
        </w:rPr>
        <w:footnoteRef/>
      </w:r>
      <w:r>
        <w:t xml:space="preserve"> </w:t>
      </w:r>
      <w:r>
        <w:tab/>
        <w:t xml:space="preserve">A recent example is the Chief Ombudsman’s investigation of the </w:t>
      </w:r>
      <w:r w:rsidRPr="00D673F6">
        <w:t xml:space="preserve">administration of the Managed Isolation </w:t>
      </w:r>
      <w:r>
        <w:t xml:space="preserve">and Quarantine </w:t>
      </w:r>
      <w:r w:rsidRPr="00D673F6">
        <w:t>Allocation System</w:t>
      </w:r>
      <w:r>
        <w:t xml:space="preserve"> </w:t>
      </w:r>
      <w:r>
        <w:fldChar w:fldCharType="begin"/>
      </w:r>
      <w:r w:rsidR="009B0EC4">
        <w:instrText xml:space="preserve"> ADDIN ZOTERO_ITEM CSL_CITATION {"citationID":"Qttmk11a","properties":{"formattedCitation":"(Boshier 2022)","plainCitation":"(Boshier 2022)","noteIndex":175},"citationItems":[{"id":18621,"uris":["http://zotero.org/groups/4801058/items/ZNX7MD4P"],"itemData":{"id":18621,"type":"report","event-place":"Wellingon","language":"en","publisher":"Office of the Ombusdsman","publisher-place":"Wellingon","title":"Chief Ombudsman’s Final opinion on Managed Isolation Allocation System o","URL":"https://www.ombudsman.parliament.nz/resources/chief-ombudsmans-opinion-under-ombudsmen-act","author":[{"family":"Boshier","given":"Peter"}],"accessed":{"date-parts":[["2023",1,26]]},"issued":{"date-parts":[["2022",12,12]]}}}],"schema":"https://github.com/citation-style-language/schema/raw/master/csl-citation.json"} </w:instrText>
      </w:r>
      <w:r>
        <w:fldChar w:fldCharType="separate"/>
      </w:r>
      <w:r w:rsidRPr="00332190">
        <w:rPr>
          <w:rFonts w:cs="Calibri"/>
        </w:rPr>
        <w:t>(</w:t>
      </w:r>
      <w:proofErr w:type="spellStart"/>
      <w:r w:rsidRPr="00332190">
        <w:rPr>
          <w:rFonts w:cs="Calibri"/>
        </w:rPr>
        <w:t>Boshier</w:t>
      </w:r>
      <w:proofErr w:type="spellEnd"/>
      <w:r w:rsidRPr="00332190">
        <w:rPr>
          <w:rFonts w:cs="Calibri"/>
        </w:rPr>
        <w:t xml:space="preserve"> 2022)</w:t>
      </w:r>
      <w:r>
        <w:fldChar w:fldCharType="end"/>
      </w:r>
      <w:r w:rsidR="00410D42">
        <w:t>. This investigation looked at the quality of policy advice as well has how the system was administered.</w:t>
      </w:r>
    </w:p>
  </w:footnote>
  <w:footnote w:id="177">
    <w:p w14:paraId="2B8D4BB1" w14:textId="77777777" w:rsidR="001B024C" w:rsidRPr="00E74C22" w:rsidRDefault="001B024C" w:rsidP="001B024C">
      <w:pPr>
        <w:pStyle w:val="FootnoteText"/>
      </w:pPr>
      <w:r w:rsidRPr="009006D7">
        <w:rPr>
          <w:rStyle w:val="FootnoteReference"/>
        </w:rPr>
        <w:footnoteRef/>
      </w:r>
      <w:r w:rsidRPr="00E74C22">
        <w:t xml:space="preserve"> </w:t>
      </w:r>
      <w:r w:rsidRPr="00E74C22">
        <w:tab/>
        <w:t xml:space="preserve">Successive governments have produced multitudes of documents </w:t>
      </w:r>
      <w:r>
        <w:t>that profess</w:t>
      </w:r>
      <w:r w:rsidRPr="00E74C22">
        <w:t xml:space="preserve"> to contain policy outcomes. On closer inspection, these often turn out to be highly aspirational statements made at a high level of generality. </w:t>
      </w:r>
    </w:p>
  </w:footnote>
  <w:footnote w:id="178">
    <w:p w14:paraId="669D99F8" w14:textId="15C7BEFD" w:rsidR="001B024C" w:rsidRPr="00E74C22" w:rsidRDefault="001B024C" w:rsidP="001B024C">
      <w:pPr>
        <w:pStyle w:val="FootnoteText"/>
      </w:pPr>
      <w:r w:rsidRPr="009006D7">
        <w:rPr>
          <w:rStyle w:val="FootnoteReference"/>
        </w:rPr>
        <w:footnoteRef/>
      </w:r>
      <w:r w:rsidRPr="00E74C22">
        <w:t xml:space="preserve"> </w:t>
      </w:r>
      <w:r w:rsidRPr="00E74C22">
        <w:tab/>
        <w:t xml:space="preserve">In technical terms, </w:t>
      </w:r>
      <w:r w:rsidR="00AB7BE8">
        <w:t>this is</w:t>
      </w:r>
      <w:r w:rsidRPr="00E74C22">
        <w:t xml:space="preserve"> ‘a relationship-based, co-production process that facilitates the desired changes’.</w:t>
      </w:r>
    </w:p>
  </w:footnote>
  <w:footnote w:id="179">
    <w:p w14:paraId="5D66E273" w14:textId="0EA3D736" w:rsidR="00C745C4" w:rsidRPr="00E74C22" w:rsidRDefault="00C745C4" w:rsidP="00C745C4">
      <w:pPr>
        <w:pStyle w:val="FootnoteText"/>
      </w:pPr>
      <w:r w:rsidRPr="009006D7">
        <w:rPr>
          <w:rStyle w:val="FootnoteReference"/>
        </w:rPr>
        <w:footnoteRef/>
      </w:r>
      <w:r w:rsidRPr="00E74C22">
        <w:t xml:space="preserve"> </w:t>
      </w:r>
      <w:r w:rsidRPr="00E74C22">
        <w:tab/>
        <w:t>We do not see a system of multiple accountabilities as being inconsistent with the principal/agent model that underlies much of the theory of accountability</w:t>
      </w:r>
      <w:r>
        <w:t>.</w:t>
      </w:r>
      <w:r w:rsidRPr="00E74C22">
        <w:t xml:space="preserve"> Principals have multiple agents and, in practice, will operate the network of accountability relationships they require to </w:t>
      </w:r>
      <w:r>
        <w:t>address</w:t>
      </w:r>
      <w:r w:rsidRPr="00E74C22">
        <w:t xml:space="preserve"> the princip</w:t>
      </w:r>
      <w:r>
        <w:t>al</w:t>
      </w:r>
      <w:r w:rsidRPr="00E74C22">
        <w:t xml:space="preserve">/agent problem. Also see O’Kelly and </w:t>
      </w:r>
      <w:proofErr w:type="spellStart"/>
      <w:r w:rsidRPr="00E74C22">
        <w:t>Dubnick</w:t>
      </w:r>
      <w:proofErr w:type="spellEnd"/>
      <w:r w:rsidRPr="00E74C22">
        <w:t xml:space="preserve"> </w:t>
      </w:r>
      <w:r w:rsidRPr="00E74C22">
        <w:fldChar w:fldCharType="begin"/>
      </w:r>
      <w:r w:rsidR="009B0EC4">
        <w:instrText xml:space="preserve"> ADDIN ZOTERO_ITEM CSL_CITATION {"citationID":"QAff5Aux","properties":{"formattedCitation":"(2020)","plainCitation":"(2020)","noteIndex":178},"citationItems":[{"id":16082,"uris":["http://zotero.org/groups/4801058/items/4ZVCRV6T"],"itemData":{"id":16082,"type":"chapter","abstract":"In this chapter, we address the many different meanings that accountability harbors and examine the effects of such complex and multifaceted interpretations in the light of governance quality. We seek to develop a ‘relational’ perspective on accountability and on the so-called ‘unaccountability.’ We focus on Mark Bovens’s use of the forum metaphor in his accountability model, arguing that his relational perspective is too narrow. We advocate instead a far broader and more fundamental engagement with the idea of relational accountability. Expanding the metaphors, we point to two other accountability spaces: ‘agora,’ a primordial accountability space and ‘bazaar,’ an emergent accountability space rooted in ground-level exchange between different actors. Assertions about ‘unaccountability,’ we argue, very often reflect a failure to appreciate the fundamentally relational nature of accountability: those who use such assertions as bases for action aimed at making situations, processes, or people ‘more accountable’ in fact seek to assert or impose a certain form of relationship—one that is hierarchical and monopolistic—and reflect therefore a drive to power and domination. This represents a violation of accountability at the cost of the overall quality of governance.","container-title":"Quality of Governance: Values and Violations","event-place":"Cham","ISBN":"978-3-030-21522-4","language":"en","note":"DOI: 10.1007/978-3-030-21522-4_3","page":"45-79","publisher":"Springer International Publishing","publisher-place":"Cham","source":"Springer Link","title":"Dissecting the Semantics of Accountability and Its Misuse","URL":"https://doi.org/10.1007/978-3-030-21522-4_3","author":[{"family":"O’Kelly","given":"Ciarán"},{"family":"Dubnick","given":"Melvin J."}],"editor":[{"family":"Paanakker","given":"Hester"},{"family":"Masters","given":"Adam"},{"family":"Huberts","given":"Leo"}],"accessed":{"date-parts":[["2022",9,20]]},"issued":{"date-parts":[["2020"]]}},"label":"page","suppress-author":true}],"schema":"https://github.com/citation-style-language/schema/raw/master/csl-citation.json"} </w:instrText>
      </w:r>
      <w:r w:rsidRPr="00E74C22">
        <w:fldChar w:fldCharType="separate"/>
      </w:r>
      <w:r w:rsidRPr="00E74C22">
        <w:rPr>
          <w:rFonts w:cs="Calibri"/>
        </w:rPr>
        <w:t>(2020)</w:t>
      </w:r>
      <w:r w:rsidRPr="00E74C22">
        <w:fldChar w:fldCharType="end"/>
      </w:r>
      <w:r w:rsidRPr="00E74C22">
        <w:t xml:space="preserve"> for a detailed discussion of how accountability systems can operate in non-linear ways.</w:t>
      </w:r>
    </w:p>
  </w:footnote>
  <w:footnote w:id="180">
    <w:p w14:paraId="39A3CD10" w14:textId="5790D580" w:rsidR="00D00F51" w:rsidRPr="009006D7" w:rsidRDefault="00D00F51" w:rsidP="00D00F51">
      <w:pPr>
        <w:pStyle w:val="FootnoteText"/>
        <w:rPr>
          <w:rStyle w:val="FootnoteReference"/>
        </w:rPr>
      </w:pPr>
    </w:p>
  </w:footnote>
  <w:footnote w:id="181">
    <w:p w14:paraId="51C22ACF" w14:textId="0F9BCBC8" w:rsidR="00462CBF" w:rsidRDefault="00462CBF">
      <w:pPr>
        <w:pStyle w:val="FootnoteText"/>
      </w:pPr>
      <w:r w:rsidRPr="009006D7">
        <w:rPr>
          <w:rStyle w:val="FootnoteReference"/>
        </w:rPr>
        <w:footnoteRef/>
      </w:r>
      <w:r>
        <w:t xml:space="preserve"> </w:t>
      </w:r>
      <w:r>
        <w:tab/>
      </w:r>
      <w:r w:rsidRPr="00347879">
        <w:t xml:space="preserve">The current </w:t>
      </w:r>
      <w:r w:rsidRPr="00C43E54">
        <w:t>Royal</w:t>
      </w:r>
      <w:r w:rsidRPr="00347879">
        <w:t xml:space="preserve"> Commission into Abuse in </w:t>
      </w:r>
      <w:r w:rsidRPr="00C43E54">
        <w:t xml:space="preserve">State </w:t>
      </w:r>
      <w:r w:rsidRPr="00347879">
        <w:t>Care is an example of public catharsis, as it gives a forum for people who have been abused to describe what happen</w:t>
      </w:r>
      <w:r>
        <w:t>ed</w:t>
      </w:r>
      <w:r w:rsidRPr="00347879">
        <w:t xml:space="preserve"> to them.</w:t>
      </w:r>
    </w:p>
  </w:footnote>
  <w:footnote w:id="182">
    <w:p w14:paraId="5E4218EF" w14:textId="77777777" w:rsidR="001B024C" w:rsidRPr="00E74C22" w:rsidRDefault="001B024C" w:rsidP="001B024C">
      <w:pPr>
        <w:pStyle w:val="FootnoteText"/>
      </w:pPr>
      <w:r w:rsidRPr="009006D7">
        <w:rPr>
          <w:rStyle w:val="FootnoteReference"/>
        </w:rPr>
        <w:footnoteRef/>
      </w:r>
      <w:r w:rsidRPr="00E74C22">
        <w:t xml:space="preserve"> </w:t>
      </w:r>
      <w:r w:rsidRPr="00E74C22">
        <w:tab/>
        <w:t>While the phrase can be translated to mean “enhancing the authority and power of the people”, the Group adopted the term to mean restoring dignity to people so they can participate meaningfully with their families and communities (Welfare Experts Advisory Group 2019, 62).</w:t>
      </w:r>
    </w:p>
  </w:footnote>
  <w:footnote w:id="183">
    <w:p w14:paraId="5E1C1958" w14:textId="184FA42E" w:rsidR="0010306D" w:rsidRDefault="0010306D">
      <w:pPr>
        <w:pStyle w:val="FootnoteText"/>
      </w:pPr>
      <w:r w:rsidRPr="009006D7">
        <w:rPr>
          <w:rStyle w:val="FootnoteReference"/>
        </w:rPr>
        <w:footnoteRef/>
      </w:r>
      <w:r w:rsidRPr="002E14A6">
        <w:t xml:space="preserve"> </w:t>
      </w:r>
      <w:r w:rsidRPr="002E14A6">
        <w:tab/>
        <w:t xml:space="preserve">We deliberately did not include specific accountability relationship between the Crown and </w:t>
      </w:r>
      <w:proofErr w:type="gramStart"/>
      <w:r w:rsidRPr="002E14A6">
        <w:t>iwi, since</w:t>
      </w:r>
      <w:proofErr w:type="gramEnd"/>
      <w:r w:rsidRPr="002E14A6">
        <w:t xml:space="preserve"> that is a matter for further discussion and debate between the Treaty partners.</w:t>
      </w:r>
    </w:p>
  </w:footnote>
  <w:footnote w:id="184">
    <w:p w14:paraId="70DDB820" w14:textId="3B30480E" w:rsidR="006313A4" w:rsidRDefault="006313A4">
      <w:pPr>
        <w:pStyle w:val="FootnoteText"/>
      </w:pPr>
      <w:r w:rsidRPr="009006D7">
        <w:rPr>
          <w:rStyle w:val="FootnoteReference"/>
        </w:rPr>
        <w:footnoteRef/>
      </w:r>
      <w:r>
        <w:t xml:space="preserve"> </w:t>
      </w:r>
      <w:r w:rsidR="00D13386">
        <w:tab/>
        <w:t xml:space="preserve">Following a review of </w:t>
      </w:r>
      <w:r w:rsidR="00292F92" w:rsidRPr="00292F92">
        <w:t>Child, Youth and Family</w:t>
      </w:r>
      <w:r w:rsidR="00C81F68">
        <w:t xml:space="preserve"> services</w:t>
      </w:r>
      <w:r w:rsidR="00292F92">
        <w:t xml:space="preserve">, the </w:t>
      </w:r>
      <w:r w:rsidR="00A80376">
        <w:t>then</w:t>
      </w:r>
      <w:r w:rsidR="00292F92">
        <w:t xml:space="preserve"> government </w:t>
      </w:r>
      <w:r w:rsidR="00115AF1">
        <w:t>established the</w:t>
      </w:r>
      <w:r w:rsidR="004C52AD" w:rsidRPr="004C52AD">
        <w:t xml:space="preserve"> </w:t>
      </w:r>
      <w:bookmarkStart w:id="245" w:name="_Hlk126138777"/>
      <w:r w:rsidR="004C52AD" w:rsidRPr="004C52AD">
        <w:t xml:space="preserve">Ministry for Vulnerable Children, </w:t>
      </w:r>
      <w:proofErr w:type="spellStart"/>
      <w:r w:rsidR="004C52AD" w:rsidRPr="004C52AD">
        <w:t>Oranga</w:t>
      </w:r>
      <w:proofErr w:type="spellEnd"/>
      <w:r w:rsidR="004C52AD" w:rsidRPr="004C52AD">
        <w:t xml:space="preserve"> Tamariki</w:t>
      </w:r>
      <w:bookmarkEnd w:id="245"/>
      <w:r w:rsidR="004C52AD">
        <w:t xml:space="preserve"> in April 2017. </w:t>
      </w:r>
      <w:r w:rsidR="00115AF1">
        <w:t xml:space="preserve">The Ministry reported to a Minister for Vulnerable Children. </w:t>
      </w:r>
      <w:r w:rsidR="00C35284">
        <w:t xml:space="preserve">The </w:t>
      </w:r>
      <w:r w:rsidR="002C2DC5">
        <w:t xml:space="preserve">intention was </w:t>
      </w:r>
      <w:r w:rsidR="00606B17">
        <w:t xml:space="preserve">to create a </w:t>
      </w:r>
      <w:r w:rsidR="00115AF1">
        <w:t>“</w:t>
      </w:r>
      <w:r w:rsidR="00606B17" w:rsidRPr="00606B17">
        <w:t>single point of accountability which w</w:t>
      </w:r>
      <w:r w:rsidR="0073013D">
        <w:t>ould</w:t>
      </w:r>
      <w:r w:rsidR="00606B17" w:rsidRPr="00606B17">
        <w:t xml:space="preserve"> ensure that government agencies work together to provide coherent and complete services to these children, young people and their families</w:t>
      </w:r>
      <w:r w:rsidR="00115AF1">
        <w:t>”</w:t>
      </w:r>
      <w:r w:rsidR="00606B17">
        <w:t xml:space="preserve"> </w:t>
      </w:r>
      <w:r w:rsidR="00606B17">
        <w:fldChar w:fldCharType="begin"/>
      </w:r>
      <w:r w:rsidR="009B0EC4">
        <w:instrText xml:space="preserve"> ADDIN ZOTERO_ITEM CSL_CITATION {"citationID":"IGpGhcMa","properties":{"formattedCitation":"(Ministry of Social Development 2017)","plainCitation":"(Ministry of Social Development 2017)","noteIndex":183},"citationItems":[{"id":18694,"uris":["http://zotero.org/groups/4801058/items/35EF97E5"],"itemData":{"id":18694,"type":"webpage","abstract":"New childrens agency established the Ministry for Vulnerable Children, Oranga Tamariki - Ministry of Social Development.","language":"eng","title":"New childrens agency established the Ministry for Vulnerable Children, Oranga Tamariki -","URL":"https://www.msd.govt.nz/about-msd-and-our-work/work-programmes/investing-in-children/new-childrens-agency-established.html","author":[{"family":"Ministry of Social Development","given":""}],"accessed":{"date-parts":[["2023",2,1]]},"issued":{"date-parts":[["2017"]]}}}],"schema":"https://github.com/citation-style-language/schema/raw/master/csl-citation.json"} </w:instrText>
      </w:r>
      <w:r w:rsidR="00606B17">
        <w:fldChar w:fldCharType="separate"/>
      </w:r>
      <w:r w:rsidR="00606B17" w:rsidRPr="00606B17">
        <w:rPr>
          <w:rFonts w:cs="Calibri"/>
        </w:rPr>
        <w:t>(Ministry of Social Development 2017)</w:t>
      </w:r>
      <w:r w:rsidR="00606B17">
        <w:fldChar w:fldCharType="end"/>
      </w:r>
      <w:r w:rsidR="00606B17" w:rsidRPr="00606B17">
        <w:t>.</w:t>
      </w:r>
      <w:r w:rsidR="002C2DC5">
        <w:t xml:space="preserve"> </w:t>
      </w:r>
      <w:r w:rsidR="003F5CD2">
        <w:t xml:space="preserve">In 2019, the current government </w:t>
      </w:r>
      <w:r w:rsidR="00CD1125">
        <w:t xml:space="preserve">refocused the </w:t>
      </w:r>
      <w:r w:rsidR="00ED7FEA">
        <w:t xml:space="preserve">Ministry, renamed </w:t>
      </w:r>
      <w:r w:rsidR="00ED7FEA" w:rsidRPr="00ED7FEA">
        <w:t xml:space="preserve">Ministry </w:t>
      </w:r>
      <w:r w:rsidR="00ED7FEA">
        <w:t>for</w:t>
      </w:r>
      <w:r w:rsidR="00ED7FEA" w:rsidRPr="00ED7FEA">
        <w:t xml:space="preserve"> Children, </w:t>
      </w:r>
      <w:proofErr w:type="spellStart"/>
      <w:r w:rsidR="00ED7FEA" w:rsidRPr="00ED7FEA">
        <w:t>Oranga</w:t>
      </w:r>
      <w:proofErr w:type="spellEnd"/>
      <w:r w:rsidR="00ED7FEA" w:rsidRPr="00ED7FEA">
        <w:t xml:space="preserve"> Tamariki</w:t>
      </w:r>
      <w:r w:rsidR="007F489E">
        <w:t xml:space="preserve"> on care and protection</w:t>
      </w:r>
      <w:r w:rsidR="00ED7FEA">
        <w:t xml:space="preserve"> </w:t>
      </w:r>
      <w:r w:rsidR="00ED7FEA">
        <w:fldChar w:fldCharType="begin"/>
      </w:r>
      <w:r w:rsidR="009B0EC4">
        <w:instrText xml:space="preserve"> ADDIN ZOTERO_ITEM CSL_CITATION {"citationID":"7EQEfdeu","properties":{"formattedCitation":"(Government of New Zealand 2019)","plainCitation":"(Government of New Zealand 2019)","noteIndex":183},"citationItems":[{"id":18693,"uris":["http://zotero.org/groups/4801058/items/MJPJFYJM"],"itemData":{"id":18693,"type":"webpage","abstract":"The Wellbeing Budget will continue the Government’s drive to make New Zealand into the best place in the world to be a child, Prime Minister Jacinda Ardern says.","container-title":"The Beehive","language":"en","title":"Improving child wellbeing","URL":"https://www.beehive.govt.nz/release/improving-child-wellbeing","author":[{"family":"Government of New Zealand","given":""}],"accessed":{"date-parts":[["2023",2,1]]},"issued":{"date-parts":[["2019"]]}}}],"schema":"https://github.com/citation-style-language/schema/raw/master/csl-citation.json"} </w:instrText>
      </w:r>
      <w:r w:rsidR="00ED7FEA">
        <w:fldChar w:fldCharType="separate"/>
      </w:r>
      <w:r w:rsidR="00ED7FEA" w:rsidRPr="00ED7FEA">
        <w:rPr>
          <w:rFonts w:cs="Calibri"/>
        </w:rPr>
        <w:t>(Government of New Zealand 2019)</w:t>
      </w:r>
      <w:r w:rsidR="00ED7FEA">
        <w:fldChar w:fldCharType="end"/>
      </w:r>
      <w:r w:rsidR="00CD1125">
        <w:t>.</w:t>
      </w:r>
      <w:r w:rsidR="008D3426">
        <w:t xml:space="preserve"> It now reports to a Minister of Children.</w:t>
      </w:r>
      <w:r w:rsidR="003F5CD2">
        <w:t xml:space="preserve"> </w:t>
      </w:r>
      <w:r w:rsidR="008D3426">
        <w:t xml:space="preserve">Following a further review, and a Waitangi Tribunal inquiry, in 2021 Cabinet agreed a Future Direction Plan for </w:t>
      </w:r>
      <w:proofErr w:type="spellStart"/>
      <w:r w:rsidR="008D3426" w:rsidRPr="008D3426">
        <w:t>Oranga</w:t>
      </w:r>
      <w:proofErr w:type="spellEnd"/>
      <w:r w:rsidR="008D3426" w:rsidRPr="008D3426">
        <w:t xml:space="preserve"> Tamariki</w:t>
      </w:r>
      <w:r w:rsidR="008D3426">
        <w:t xml:space="preserve"> </w:t>
      </w:r>
      <w:r w:rsidR="008D3426">
        <w:fldChar w:fldCharType="begin"/>
      </w:r>
      <w:r w:rsidR="009B0EC4">
        <w:instrText xml:space="preserve"> ADDIN ZOTERO_ITEM CSL_CITATION {"citationID":"ImTDzWmN","properties":{"formattedCitation":"(Oranga Tamariki 2023)","plainCitation":"(Oranga Tamariki 2023)","noteIndex":183},"citationItems":[{"id":18692,"uris":["http://zotero.org/groups/4801058/items/2GDVMHUA"],"itemData":{"id":18692,"type":"webpage","abstract":"Since inception in 2017, Oranga Tamariki has been working to transform the care and protection system and improve outcomes for tamariki Māori and their whānau. Change is happening but there is still a lot to do. Read about our progress.","container-title":"Oranga Tamariki — Ministry for Children","language":"en","title":"New ways of working","URL":"https://www.orangatamariki.govt.nz/about-us/how-we-work/new-ways-of-working/","author":[{"family":"Oranga Tamariki","given":""}],"accessed":{"date-parts":[["2023",2,1]]},"issued":{"date-parts":[["2023",1,30]]}}}],"schema":"https://github.com/citation-style-language/schema/raw/master/csl-citation.json"} </w:instrText>
      </w:r>
      <w:r w:rsidR="008D3426">
        <w:fldChar w:fldCharType="separate"/>
      </w:r>
      <w:r w:rsidR="008D3426" w:rsidRPr="008D3426">
        <w:rPr>
          <w:rFonts w:cs="Calibri"/>
        </w:rPr>
        <w:t>(</w:t>
      </w:r>
      <w:proofErr w:type="spellStart"/>
      <w:r w:rsidR="008D3426" w:rsidRPr="008D3426">
        <w:rPr>
          <w:rFonts w:cs="Calibri"/>
        </w:rPr>
        <w:t>Oranga</w:t>
      </w:r>
      <w:proofErr w:type="spellEnd"/>
      <w:r w:rsidR="008D3426" w:rsidRPr="008D3426">
        <w:rPr>
          <w:rFonts w:cs="Calibri"/>
        </w:rPr>
        <w:t xml:space="preserve"> Tamariki 2023)</w:t>
      </w:r>
      <w:r w:rsidR="008D3426">
        <w:fldChar w:fldCharType="end"/>
      </w:r>
      <w:r w:rsidR="008D3426">
        <w:t>.</w:t>
      </w:r>
    </w:p>
  </w:footnote>
  <w:footnote w:id="185">
    <w:p w14:paraId="28C36A88" w14:textId="084310DF" w:rsidR="001B024C" w:rsidRPr="00E74C22" w:rsidRDefault="001B024C" w:rsidP="001B024C">
      <w:pPr>
        <w:pStyle w:val="FootnoteText"/>
      </w:pPr>
      <w:r w:rsidRPr="009006D7">
        <w:rPr>
          <w:rStyle w:val="FootnoteReference"/>
        </w:rPr>
        <w:footnoteRef/>
      </w:r>
      <w:r w:rsidRPr="00E74C22">
        <w:t xml:space="preserve"> </w:t>
      </w:r>
      <w:r w:rsidRPr="00E74C22">
        <w:tab/>
      </w:r>
      <w:r w:rsidR="009169F2" w:rsidRPr="009169F2">
        <w:t xml:space="preserve">There are also many people who, while they will need some form of social assistance to lead lives they value, are likely to benefit most from traditional, specialist services provided by mainstream providers such as the Ministry for Social Development, </w:t>
      </w:r>
      <w:proofErr w:type="spellStart"/>
      <w:r w:rsidR="009169F2" w:rsidRPr="009169F2">
        <w:t>Te</w:t>
      </w:r>
      <w:proofErr w:type="spellEnd"/>
      <w:r w:rsidR="009169F2" w:rsidRPr="009169F2">
        <w:t xml:space="preserve"> </w:t>
      </w:r>
      <w:proofErr w:type="spellStart"/>
      <w:r w:rsidR="009169F2" w:rsidRPr="009169F2">
        <w:t>Whatu</w:t>
      </w:r>
      <w:proofErr w:type="spellEnd"/>
      <w:r w:rsidR="009169F2" w:rsidRPr="009169F2">
        <w:t xml:space="preserve"> </w:t>
      </w:r>
      <w:proofErr w:type="gramStart"/>
      <w:r w:rsidR="009169F2" w:rsidRPr="009169F2">
        <w:t>Ora</w:t>
      </w:r>
      <w:proofErr w:type="gramEnd"/>
      <w:r w:rsidR="009169F2" w:rsidRPr="009169F2">
        <w:t xml:space="preserve"> and </w:t>
      </w:r>
      <w:proofErr w:type="spellStart"/>
      <w:r w:rsidR="009169F2" w:rsidRPr="009169F2">
        <w:t>Kāinga</w:t>
      </w:r>
      <w:proofErr w:type="spellEnd"/>
      <w:r w:rsidR="009169F2" w:rsidRPr="009169F2">
        <w:t xml:space="preserve"> Ora. While the focus in this report is on addressing persistent disadvantage, improvement in all areas of social service delivery is warranted.</w:t>
      </w:r>
      <w:r w:rsidR="009169F2">
        <w:t xml:space="preserve"> </w:t>
      </w:r>
      <w:r w:rsidRPr="00E74C22">
        <w:t xml:space="preserve">The Productivity Commission’s </w:t>
      </w:r>
      <w:r w:rsidRPr="00E74C22">
        <w:rPr>
          <w:i/>
          <w:iCs/>
        </w:rPr>
        <w:t>More effective social services</w:t>
      </w:r>
      <w:r w:rsidRPr="00E74C22">
        <w:t xml:space="preserve"> report contained many recommendations about the system as a whole, including several directed at improving services available to the whole population </w:t>
      </w:r>
      <w:r w:rsidRPr="00E74C22">
        <w:fldChar w:fldCharType="begin"/>
      </w:r>
      <w:r w:rsidR="009B0EC4">
        <w:instrText xml:space="preserve"> ADDIN ZOTERO_ITEM CSL_CITATION {"citationID":"Y61UFiWt","properties":{"formattedCitation":"(New Zealand Productivity Commission 2015)","plainCitation":"(New Zealand Productivity Commission 2015)","noteIndex":184},"citationItems":[{"id":14096,"uris":["http://zotero.org/groups/4623831/items/XXV9BK5F"],"itemData":{"id":14096,"type":"report","event-place":"Wellington","language":"English","note":"OCLC: 921943108","publisher":"New Zealand Productivity Commission","publisher-place":"Wellington","source":"Open WorldCat","title":"More effective social services","URL":"http://www.productivity.govt.nz/sites/default/files/social-services-final-report-main.pdf","author":[{"literal":"New Zealand Productivity Commission"}],"accessed":{"date-parts":[["2022",4,4]]},"issued":{"date-parts":[["2015"]]}}}],"schema":"https://github.com/citation-style-language/schema/raw/master/csl-citation.json"} </w:instrText>
      </w:r>
      <w:r w:rsidRPr="00E74C22">
        <w:fldChar w:fldCharType="separate"/>
      </w:r>
      <w:r w:rsidRPr="00E74C22">
        <w:rPr>
          <w:rFonts w:cs="Calibri"/>
        </w:rPr>
        <w:t>(New Zealand Productivity Commission 2015)</w:t>
      </w:r>
      <w:r w:rsidRPr="00E74C22">
        <w:fldChar w:fldCharType="end"/>
      </w:r>
      <w:r w:rsidRPr="00E74C22">
        <w:t xml:space="preserve">. </w:t>
      </w:r>
    </w:p>
  </w:footnote>
  <w:footnote w:id="186">
    <w:p w14:paraId="44020EBE" w14:textId="2618C42B" w:rsidR="009767B8" w:rsidRDefault="009767B8">
      <w:pPr>
        <w:pStyle w:val="FootnoteText"/>
      </w:pPr>
      <w:r w:rsidRPr="009006D7">
        <w:rPr>
          <w:rStyle w:val="FootnoteReference"/>
        </w:rPr>
        <w:footnoteRef/>
      </w:r>
      <w:r>
        <w:t xml:space="preserve"> </w:t>
      </w:r>
      <w:r>
        <w:tab/>
      </w:r>
      <w:r w:rsidR="00D61D82">
        <w:t xml:space="preserve">Timothy </w:t>
      </w:r>
      <w:proofErr w:type="spellStart"/>
      <w:r>
        <w:t>Besley</w:t>
      </w:r>
      <w:proofErr w:type="spellEnd"/>
      <w:r>
        <w:t xml:space="preserve"> and </w:t>
      </w:r>
      <w:proofErr w:type="spellStart"/>
      <w:r w:rsidR="00AC18FD" w:rsidRPr="00AC18FD">
        <w:t>Maitreesh</w:t>
      </w:r>
      <w:proofErr w:type="spellEnd"/>
      <w:r w:rsidR="00AC18FD" w:rsidRPr="00AC18FD">
        <w:t xml:space="preserve"> </w:t>
      </w:r>
      <w:proofErr w:type="spellStart"/>
      <w:r w:rsidR="000D30B8">
        <w:t>Ghatak</w:t>
      </w:r>
      <w:proofErr w:type="spellEnd"/>
      <w:r w:rsidR="000D30B8">
        <w:t xml:space="preserve"> suggest that in the provision of services </w:t>
      </w:r>
      <w:r w:rsidR="0093679D" w:rsidRPr="0093679D">
        <w:t>whose consumption yields collective benefits</w:t>
      </w:r>
      <w:r w:rsidR="000D30B8">
        <w:t xml:space="preserve">, the appropriate structure is to have multiple </w:t>
      </w:r>
      <w:r w:rsidR="00C4457F">
        <w:t xml:space="preserve">providers with different missions, use choice to match workers, providers and customers and </w:t>
      </w:r>
      <w:r w:rsidR="00D61D82">
        <w:t>make limited use of monetary incentives</w:t>
      </w:r>
      <w:r w:rsidR="000D30B8">
        <w:t xml:space="preserve"> </w:t>
      </w:r>
      <w:r>
        <w:fldChar w:fldCharType="begin"/>
      </w:r>
      <w:r w:rsidR="009B0EC4">
        <w:instrText xml:space="preserve"> ADDIN ZOTERO_ITEM CSL_CITATION {"citationID":"nSJs2ude","properties":{"formattedCitation":"(Besley and Ghatak 2003)","plainCitation":"(Besley and Ghatak 2003)","noteIndex":185},"citationItems":[{"id":18686,"uris":["http://zotero.org/groups/4801058/items/AA7XILNK"],"itemData":{"id":18686,"type":"article-journal","abstract":"This paper discusses a theoretical framework to study the issues of competition and incentives without relying on the standard profit‐oriented ‘market’ model in the context of the debates about public‐service reform in the UK. It uses the idea that the production of public services coheres around a mission, and discusses how decentralized service provision can raise productivity by matching motivated workers to their preferred missions. Our focus on competition and incentives cuts across traditional debates about public versus private ownership and allows for the possibility of involving private non‐profit organizations. We also address concerns about the consequences of allowing more flexibility in mission design and competition on inequality.","container-title":"Oxford Review of Economic Policy","DOI":"10.1093/oxrep/19.2.235","ISSN":"0266-903X","issue":"2","journalAbbreviation":"Oxford Review of Economic Policy","page":"235-249","source":"Silverchair","title":"Incentives, Choice, and Accountability in the Provision of Public Services","volume":"19","author":[{"family":"Besley","given":"Timothy"},{"family":"Ghatak","given":"Maitreesh"}],"issued":{"date-parts":[["2003",6,1]]}}}],"schema":"https://github.com/citation-style-language/schema/raw/master/csl-citation.json"} </w:instrText>
      </w:r>
      <w:r>
        <w:fldChar w:fldCharType="separate"/>
      </w:r>
      <w:r w:rsidRPr="009767B8">
        <w:rPr>
          <w:rFonts w:cs="Calibri"/>
        </w:rPr>
        <w:t>(</w:t>
      </w:r>
      <w:proofErr w:type="spellStart"/>
      <w:r w:rsidRPr="009767B8">
        <w:rPr>
          <w:rFonts w:cs="Calibri"/>
        </w:rPr>
        <w:t>Besley</w:t>
      </w:r>
      <w:proofErr w:type="spellEnd"/>
      <w:r w:rsidRPr="009767B8">
        <w:rPr>
          <w:rFonts w:cs="Calibri"/>
        </w:rPr>
        <w:t xml:space="preserve"> and </w:t>
      </w:r>
      <w:proofErr w:type="spellStart"/>
      <w:r w:rsidRPr="009767B8">
        <w:rPr>
          <w:rFonts w:cs="Calibri"/>
        </w:rPr>
        <w:t>Ghatak</w:t>
      </w:r>
      <w:proofErr w:type="spellEnd"/>
      <w:r w:rsidRPr="009767B8">
        <w:rPr>
          <w:rFonts w:cs="Calibri"/>
        </w:rPr>
        <w:t xml:space="preserve"> 2003)</w:t>
      </w:r>
      <w:r>
        <w:fldChar w:fldCharType="end"/>
      </w:r>
      <w:r w:rsidR="0093679D">
        <w:t>.</w:t>
      </w:r>
    </w:p>
  </w:footnote>
  <w:footnote w:id="187">
    <w:p w14:paraId="413DE964" w14:textId="459D35C5" w:rsidR="009821AC" w:rsidRDefault="009821AC" w:rsidP="00DF4AC0">
      <w:pPr>
        <w:pStyle w:val="FootnoteText"/>
      </w:pPr>
      <w:r w:rsidRPr="009006D7">
        <w:rPr>
          <w:rStyle w:val="FootnoteReference"/>
        </w:rPr>
        <w:footnoteRef/>
      </w:r>
      <w:r>
        <w:t xml:space="preserve"> </w:t>
      </w:r>
      <w:r>
        <w:tab/>
      </w:r>
      <w:r w:rsidRPr="001D2482">
        <w:t xml:space="preserve">Whānau Ora </w:t>
      </w:r>
      <w:r>
        <w:t xml:space="preserve">is still very small within the context of the </w:t>
      </w:r>
      <w:r w:rsidR="00DF4AC0">
        <w:t>social sector</w:t>
      </w:r>
      <w:r>
        <w:t xml:space="preserve">. In the current fiscal year, funding to the three commissioning bodies totals about $135 million </w:t>
      </w:r>
      <w:r>
        <w:fldChar w:fldCharType="begin"/>
      </w:r>
      <w:r w:rsidR="009B0EC4">
        <w:instrText xml:space="preserve"> ADDIN ZOTERO_ITEM CSL_CITATION {"citationID":"S8DzCED8","properties":{"formattedCitation":"(The Treasury 2022c)","plainCitation":"(The Treasury 2022c)","noteIndex":186},"citationItems":[{"id":18712,"uris":["http://zotero.org/groups/4801058/items/MICMNFFC"],"itemData":{"id":18712,"type":"webpage","abstract":"The Budget Data consists of two Excel workbooks, containing data as published in the Estimates of Appropriations 2022/23:","language":"en","title":"Budget 2022 Data from the Estimates of Appropriations 2022/23","URL":"https://www.treasury.govt.nz/publications/data/budget-2022-data-estimates-appropriations-2022-23","author":[{"family":"The Treasury","given":""}],"accessed":{"date-parts":[["2023",2,8]]},"issued":{"date-parts":[["2022",5,19]]}}}],"schema":"https://github.com/citation-style-language/schema/raw/master/csl-citation.json"} </w:instrText>
      </w:r>
      <w:r>
        <w:fldChar w:fldCharType="separate"/>
      </w:r>
      <w:r w:rsidRPr="00993C0A">
        <w:rPr>
          <w:rFonts w:cs="Calibri"/>
        </w:rPr>
        <w:t>(The Treasury 2022c)</w:t>
      </w:r>
      <w:r>
        <w:fldChar w:fldCharType="end"/>
      </w:r>
      <w:r>
        <w:t>. To put this into focus, the Winter Energy Payment is budgeted to cost $518 million, while the largest single program</w:t>
      </w:r>
      <w:r w:rsidR="001D6ACA">
        <w:t>me</w:t>
      </w:r>
      <w:r>
        <w:t xml:space="preserve"> of any Government department, New Zealand Superannuation, has a budget of $19.5 billion</w:t>
      </w:r>
      <w:r w:rsidRPr="00DE5E9A">
        <w:t xml:space="preserve"> </w:t>
      </w:r>
      <w:r>
        <w:t>(ibid.)</w:t>
      </w:r>
      <w:r w:rsidR="00DF4AC0">
        <w:t>.</w:t>
      </w:r>
    </w:p>
  </w:footnote>
  <w:footnote w:id="188">
    <w:p w14:paraId="50DCBF12" w14:textId="135186E6" w:rsidR="00EA64B8" w:rsidRDefault="00EA64B8">
      <w:pPr>
        <w:pStyle w:val="FootnoteText"/>
      </w:pPr>
      <w:r w:rsidRPr="009006D7">
        <w:rPr>
          <w:rStyle w:val="FootnoteReference"/>
        </w:rPr>
        <w:footnoteRef/>
      </w:r>
      <w:r>
        <w:t xml:space="preserve"> </w:t>
      </w:r>
      <w:r>
        <w:tab/>
        <w:t xml:space="preserve">For more details, see Ministry of Social Development </w:t>
      </w:r>
      <w:r>
        <w:fldChar w:fldCharType="begin"/>
      </w:r>
      <w:r w:rsidR="00CB784E">
        <w:instrText xml:space="preserve"> ADDIN ZOTERO_ITEM CSL_CITATION {"citationID":"pJY7dqLB","properties":{"formattedCitation":"(2022c; 2022d)","plainCitation":"(2022c; 2022d)","noteIndex":187},"citationItems":[{"id":18715,"uris":["http://zotero.org/groups/4801058/items/ETRLA3FU"],"itemData":{"id":18715,"type":"report","event-place":"Wellington","publisher":"Ministry of Social Development","publisher-place":"Wellington","title":"Social Sector Commissioning 2022–2028 Action Plan","author":[{"family":"Ministry of Social Development","given":""}],"issued":{"date-parts":[["2022"]]}},"label":"page","suppress-author":true},{"id":18714,"uris":["http://zotero.org/groups/4801058/items/THH5KL5D"],"itemData":{"id":18714,"type":"report","event-place":"Wellington","publisher":"Ministry of Social Development","publisher-place":"Wellington","title":"Social Sector Commissioning Progress, Principles  and Next Steps","URL":"https://www.msd.govt.nz/documents/about-msd-and-our-work/publications-resources/planning-strategy/social-sector-commissioning/msd-social-sector-commissioning.pdf","author":[{"family":"Ministry of Social Development","given":""}],"issued":{"date-parts":[["2022"]]}},"label":"page","suppress-author":true}],"schema":"https://github.com/citation-style-language/schema/raw/master/csl-citation.json"} </w:instrText>
      </w:r>
      <w:r>
        <w:fldChar w:fldCharType="separate"/>
      </w:r>
      <w:r w:rsidR="001C2129" w:rsidRPr="001C2129">
        <w:rPr>
          <w:rFonts w:cs="Calibri"/>
        </w:rPr>
        <w:t>(2022c; 2022d)</w:t>
      </w:r>
      <w:r>
        <w:fldChar w:fldCharType="end"/>
      </w:r>
      <w:r w:rsidR="001C2129">
        <w:t>.</w:t>
      </w:r>
    </w:p>
  </w:footnote>
  <w:footnote w:id="189">
    <w:p w14:paraId="24169E22" w14:textId="0F325B8B" w:rsidR="006732A1" w:rsidRDefault="006732A1">
      <w:pPr>
        <w:pStyle w:val="FootnoteText"/>
      </w:pPr>
      <w:r w:rsidRPr="009006D7">
        <w:rPr>
          <w:rStyle w:val="FootnoteReference"/>
        </w:rPr>
        <w:footnoteRef/>
      </w:r>
      <w:r>
        <w:t xml:space="preserve"> </w:t>
      </w:r>
      <w:r>
        <w:tab/>
        <w:t>Fo</w:t>
      </w:r>
      <w:r w:rsidR="0033249A">
        <w:t>r</w:t>
      </w:r>
      <w:r>
        <w:t xml:space="preserve"> example, </w:t>
      </w:r>
      <w:r w:rsidRPr="006732A1">
        <w:t xml:space="preserve">Whānau Ora is a </w:t>
      </w:r>
      <w:r w:rsidR="0033249A">
        <w:t>“</w:t>
      </w:r>
      <w:r w:rsidRPr="006732A1">
        <w:t xml:space="preserve">culturally-grounded, holistic </w:t>
      </w:r>
      <w:r w:rsidRPr="00C21C29">
        <w:rPr>
          <w:b/>
          <w:bCs/>
        </w:rPr>
        <w:t>approach</w:t>
      </w:r>
      <w:r w:rsidRPr="006732A1">
        <w:t xml:space="preserve"> to improving the wellbeing of whānau as a group, and addressing individual needs within the context of whānau</w:t>
      </w:r>
      <w:r w:rsidR="0051053B">
        <w:t>”</w:t>
      </w:r>
      <w:r w:rsidR="00915C70">
        <w:t xml:space="preserve"> </w:t>
      </w:r>
      <w:r w:rsidR="00915C70">
        <w:fldChar w:fldCharType="begin"/>
      </w:r>
      <w:r w:rsidR="009B0EC4">
        <w:instrText xml:space="preserve"> ADDIN ZOTERO_ITEM CSL_CITATION {"citationID":"yAXB9NdI","properties":{"formattedCitation":"(Te Puni K\\uc0\\u333{}kiri 2016, emphasis added)","plainCitation":"(Te Puni Kōkiri 2016, emphasis added)","noteIndex":188},"citationItems":[{"id":18716,"uris":["http://zotero.org/groups/4801058/items/KIXXA9X5"],"itemData":{"id":18716,"type":"report","event-place":"Wellington","publisher":"Te Puni Kōkiri","publisher-place":"Wellington","title":"The Whānau Ora Outcomes Framework","URL":"https://www.tpk.govt.nz/docs/tpk-wo-outcomesframework-aug2016.pdf","author":[{"family":"Te Puni Kōkiri","given":""}],"issued":{"date-parts":[["2016"]]}},"label":"page","suffix":", emphasis added"}],"schema":"https://github.com/citation-style-language/schema/raw/master/csl-citation.json"} </w:instrText>
      </w:r>
      <w:r w:rsidR="00915C70">
        <w:fldChar w:fldCharType="separate"/>
      </w:r>
      <w:r w:rsidR="00915C70" w:rsidRPr="00915C70">
        <w:rPr>
          <w:rFonts w:cs="Calibri"/>
          <w:szCs w:val="24"/>
        </w:rPr>
        <w:t>(</w:t>
      </w:r>
      <w:proofErr w:type="spellStart"/>
      <w:r w:rsidR="00915C70" w:rsidRPr="00915C70">
        <w:rPr>
          <w:rFonts w:cs="Calibri"/>
          <w:szCs w:val="24"/>
        </w:rPr>
        <w:t>Te</w:t>
      </w:r>
      <w:proofErr w:type="spellEnd"/>
      <w:r w:rsidR="00915C70" w:rsidRPr="00915C70">
        <w:rPr>
          <w:rFonts w:cs="Calibri"/>
          <w:szCs w:val="24"/>
        </w:rPr>
        <w:t xml:space="preserve"> </w:t>
      </w:r>
      <w:proofErr w:type="spellStart"/>
      <w:r w:rsidR="00915C70" w:rsidRPr="00915C70">
        <w:rPr>
          <w:rFonts w:cs="Calibri"/>
          <w:szCs w:val="24"/>
        </w:rPr>
        <w:t>Puni</w:t>
      </w:r>
      <w:proofErr w:type="spellEnd"/>
      <w:r w:rsidR="00915C70" w:rsidRPr="00915C70">
        <w:rPr>
          <w:rFonts w:cs="Calibri"/>
          <w:szCs w:val="24"/>
        </w:rPr>
        <w:t xml:space="preserve"> </w:t>
      </w:r>
      <w:proofErr w:type="spellStart"/>
      <w:r w:rsidR="00915C70" w:rsidRPr="00915C70">
        <w:rPr>
          <w:rFonts w:cs="Calibri"/>
          <w:szCs w:val="24"/>
        </w:rPr>
        <w:t>Kōkiri</w:t>
      </w:r>
      <w:proofErr w:type="spellEnd"/>
      <w:r w:rsidR="00915C70" w:rsidRPr="00915C70">
        <w:rPr>
          <w:rFonts w:cs="Calibri"/>
          <w:szCs w:val="24"/>
        </w:rPr>
        <w:t xml:space="preserve"> 2016, emphasis added)</w:t>
      </w:r>
      <w:r w:rsidR="00915C70">
        <w:fldChar w:fldCharType="end"/>
      </w:r>
      <w:r w:rsidRPr="006732A1">
        <w:t>.</w:t>
      </w:r>
      <w:r>
        <w:t xml:space="preserve"> It is </w:t>
      </w:r>
      <w:r w:rsidR="00B02468">
        <w:t xml:space="preserve">a way of doing things, </w:t>
      </w:r>
      <w:r w:rsidR="00AB2AA4">
        <w:t xml:space="preserve">with a range of national, </w:t>
      </w:r>
      <w:proofErr w:type="gramStart"/>
      <w:r w:rsidR="00AB2AA4">
        <w:t>local</w:t>
      </w:r>
      <w:proofErr w:type="gramEnd"/>
      <w:r w:rsidR="00AB2AA4">
        <w:t xml:space="preserve"> and iwi-based organisation working together.</w:t>
      </w:r>
      <w:r w:rsidR="0011654F">
        <w:t xml:space="preserve"> Funding</w:t>
      </w:r>
      <w:r w:rsidR="0011654F" w:rsidRPr="0011654F">
        <w:t xml:space="preserve"> </w:t>
      </w:r>
      <w:r w:rsidR="0011654F">
        <w:t xml:space="preserve">for </w:t>
      </w:r>
      <w:r w:rsidR="0011654F" w:rsidRPr="0011654F">
        <w:t>Whānau Ora</w:t>
      </w:r>
      <w:r w:rsidR="0011654F">
        <w:t xml:space="preserve"> is appropriated to </w:t>
      </w:r>
      <w:proofErr w:type="spellStart"/>
      <w:r w:rsidR="0011654F">
        <w:t>Te</w:t>
      </w:r>
      <w:proofErr w:type="spellEnd"/>
      <w:r w:rsidR="0011654F">
        <w:t xml:space="preserve"> </w:t>
      </w:r>
      <w:proofErr w:type="spellStart"/>
      <w:r w:rsidR="0011654F">
        <w:t>Puni</w:t>
      </w:r>
      <w:proofErr w:type="spellEnd"/>
      <w:r w:rsidR="0011654F">
        <w:t xml:space="preserve"> </w:t>
      </w:r>
      <w:proofErr w:type="spellStart"/>
      <w:r w:rsidR="0011654F" w:rsidRPr="0011654F">
        <w:t>Kōkiri</w:t>
      </w:r>
      <w:proofErr w:type="spellEnd"/>
      <w:r w:rsidR="0011654F">
        <w:t xml:space="preserve">, which </w:t>
      </w:r>
      <w:r w:rsidR="00BC43AD">
        <w:t xml:space="preserve">in turn has engaged three </w:t>
      </w:r>
      <w:r w:rsidR="00BC43AD" w:rsidRPr="00BC43AD">
        <w:t>Whānau Ora commissioning bodies</w:t>
      </w:r>
      <w:r w:rsidR="00BC43AD">
        <w:t>, wh</w:t>
      </w:r>
      <w:r w:rsidR="0051053B">
        <w:t>ich</w:t>
      </w:r>
      <w:r w:rsidR="00BC43AD">
        <w:t xml:space="preserve"> employ staff and in turn </w:t>
      </w:r>
      <w:r w:rsidR="003D17CE">
        <w:t xml:space="preserve">work with </w:t>
      </w:r>
      <w:r w:rsidR="00FB5064">
        <w:t>partner</w:t>
      </w:r>
      <w:r w:rsidR="003D17CE">
        <w:t xml:space="preserve"> organisations across the motu who provide services to whānau. </w:t>
      </w:r>
      <w:r w:rsidR="00AB7114">
        <w:t>(</w:t>
      </w:r>
      <w:r w:rsidR="002C50F4">
        <w:t>For</w:t>
      </w:r>
      <w:r w:rsidR="00AB7114">
        <w:t xml:space="preserve"> clarity, the </w:t>
      </w:r>
      <w:r w:rsidR="00AB7114" w:rsidRPr="00AB7114">
        <w:t>Whānau Ora Commissioning Agency</w:t>
      </w:r>
      <w:r w:rsidR="00AB7114">
        <w:t xml:space="preserve"> is </w:t>
      </w:r>
      <w:r w:rsidR="00104BD9">
        <w:t xml:space="preserve">the trading name of </w:t>
      </w:r>
      <w:proofErr w:type="spellStart"/>
      <w:r w:rsidR="00104BD9" w:rsidRPr="00104BD9">
        <w:t>Te</w:t>
      </w:r>
      <w:proofErr w:type="spellEnd"/>
      <w:r w:rsidR="00104BD9" w:rsidRPr="00104BD9">
        <w:t xml:space="preserve"> </w:t>
      </w:r>
      <w:proofErr w:type="spellStart"/>
      <w:r w:rsidR="00104BD9" w:rsidRPr="00104BD9">
        <w:t>Pou</w:t>
      </w:r>
      <w:proofErr w:type="spellEnd"/>
      <w:r w:rsidR="00104BD9" w:rsidRPr="00104BD9">
        <w:t xml:space="preserve"> Matakana Limited</w:t>
      </w:r>
      <w:r w:rsidR="00104BD9">
        <w:t xml:space="preserve">, </w:t>
      </w:r>
      <w:r w:rsidR="00AB7114">
        <w:t xml:space="preserve">a </w:t>
      </w:r>
      <w:r w:rsidR="002C50F4">
        <w:t xml:space="preserve">registered </w:t>
      </w:r>
      <w:r w:rsidR="00310C5C">
        <w:t xml:space="preserve">charity </w:t>
      </w:r>
      <w:r w:rsidR="00104BD9">
        <w:t xml:space="preserve">that is the largest of three </w:t>
      </w:r>
      <w:r w:rsidR="00104BD9" w:rsidRPr="00104BD9">
        <w:t>Whānau Ora</w:t>
      </w:r>
      <w:r w:rsidR="006656D7">
        <w:t xml:space="preserve"> commissioning bodies.</w:t>
      </w:r>
      <w:r w:rsidR="00AE5BDC">
        <w:t xml:space="preserve"> It operates in </w:t>
      </w:r>
      <w:r w:rsidR="00FB5064">
        <w:t>the North Island.</w:t>
      </w:r>
      <w:r w:rsidR="006656D7">
        <w:t xml:space="preserve"> The other two are </w:t>
      </w:r>
      <w:proofErr w:type="spellStart"/>
      <w:r w:rsidR="00F13562" w:rsidRPr="00F13562">
        <w:t>Te</w:t>
      </w:r>
      <w:proofErr w:type="spellEnd"/>
      <w:r w:rsidR="00F13562" w:rsidRPr="00F13562">
        <w:t xml:space="preserve"> </w:t>
      </w:r>
      <w:proofErr w:type="spellStart"/>
      <w:r w:rsidR="00F13562" w:rsidRPr="00F13562">
        <w:t>Pūtahitanga</w:t>
      </w:r>
      <w:proofErr w:type="spellEnd"/>
      <w:r w:rsidR="00F13562" w:rsidRPr="00F13562">
        <w:t xml:space="preserve"> o </w:t>
      </w:r>
      <w:proofErr w:type="spellStart"/>
      <w:r w:rsidR="00F13562" w:rsidRPr="00F13562">
        <w:t>Te</w:t>
      </w:r>
      <w:proofErr w:type="spellEnd"/>
      <w:r w:rsidR="00F13562" w:rsidRPr="00F13562">
        <w:t xml:space="preserve"> Waipounamu</w:t>
      </w:r>
      <w:r w:rsidR="00FB5064">
        <w:t xml:space="preserve"> (South Island)</w:t>
      </w:r>
      <w:r w:rsidR="00F13562">
        <w:t xml:space="preserve"> and </w:t>
      </w:r>
      <w:r w:rsidR="00F13562" w:rsidRPr="00F13562">
        <w:t>Pasifika Futures</w:t>
      </w:r>
      <w:r w:rsidR="00FB5064">
        <w:t>, which works with Pacific families across the whole country</w:t>
      </w:r>
      <w:r w:rsidR="003D17CE">
        <w:t>)</w:t>
      </w:r>
      <w:r w:rsidR="00F13562">
        <w:t>.</w:t>
      </w:r>
    </w:p>
  </w:footnote>
  <w:footnote w:id="190">
    <w:p w14:paraId="1B88D500" w14:textId="4AB28146" w:rsidR="00041F3E" w:rsidRDefault="00041F3E">
      <w:pPr>
        <w:pStyle w:val="FootnoteText"/>
      </w:pPr>
      <w:r w:rsidRPr="009006D7">
        <w:rPr>
          <w:rStyle w:val="FootnoteReference"/>
        </w:rPr>
        <w:footnoteRef/>
      </w:r>
      <w:r>
        <w:t xml:space="preserve"> </w:t>
      </w:r>
      <w:r>
        <w:tab/>
        <w:t xml:space="preserve">See </w:t>
      </w:r>
      <w:r w:rsidR="009851DE">
        <w:t>Section 7C</w:t>
      </w:r>
      <w:r w:rsidR="006E734F">
        <w:t xml:space="preserve"> of</w:t>
      </w:r>
      <w:r w:rsidR="009851DE">
        <w:t xml:space="preserve"> the Public Finance Act.</w:t>
      </w:r>
    </w:p>
  </w:footnote>
  <w:footnote w:id="191">
    <w:p w14:paraId="6E12FA11" w14:textId="21003060" w:rsidR="002E4E55" w:rsidRDefault="002E4E55">
      <w:pPr>
        <w:pStyle w:val="FootnoteText"/>
      </w:pPr>
      <w:r w:rsidRPr="009006D7">
        <w:rPr>
          <w:rStyle w:val="FootnoteReference"/>
        </w:rPr>
        <w:footnoteRef/>
      </w:r>
      <w:r>
        <w:t xml:space="preserve"> </w:t>
      </w:r>
      <w:r>
        <w:tab/>
        <w:t>This name emphasises both their leadership role, but also that they are there to work in a community to help whānau achieve better lives.</w:t>
      </w:r>
    </w:p>
  </w:footnote>
  <w:footnote w:id="192">
    <w:p w14:paraId="0175461C" w14:textId="3D1A5BA1" w:rsidR="00E95631" w:rsidRPr="002E14A6" w:rsidRDefault="00E95631" w:rsidP="00E95631">
      <w:pPr>
        <w:pStyle w:val="FootnoteText"/>
        <w:rPr>
          <w:lang w:val="en-US"/>
        </w:rPr>
      </w:pPr>
      <w:r w:rsidRPr="009006D7">
        <w:rPr>
          <w:rStyle w:val="FootnoteReference"/>
        </w:rPr>
        <w:footnoteRef/>
      </w:r>
      <w:r w:rsidRPr="002E14A6">
        <w:t xml:space="preserve"> </w:t>
      </w:r>
      <w:r w:rsidRPr="002E14A6">
        <w:rPr>
          <w:lang w:val="en-US"/>
        </w:rPr>
        <w:tab/>
        <w:t xml:space="preserve">In the absence of such a structure, committed communities have often worked together to address service gaps. </w:t>
      </w:r>
      <w:proofErr w:type="spellStart"/>
      <w:r w:rsidRPr="002E14A6">
        <w:rPr>
          <w:lang w:val="en-US"/>
        </w:rPr>
        <w:t>Tauawhi</w:t>
      </w:r>
      <w:proofErr w:type="spellEnd"/>
      <w:r w:rsidRPr="002E14A6">
        <w:rPr>
          <w:lang w:val="en-US"/>
        </w:rPr>
        <w:t xml:space="preserve">, the </w:t>
      </w:r>
      <w:proofErr w:type="spellStart"/>
      <w:r w:rsidRPr="002E14A6">
        <w:rPr>
          <w:lang w:val="en-US"/>
        </w:rPr>
        <w:t>Tairāwhiti</w:t>
      </w:r>
      <w:proofErr w:type="spellEnd"/>
      <w:r w:rsidRPr="002E14A6">
        <w:rPr>
          <w:lang w:val="en-US"/>
        </w:rPr>
        <w:t xml:space="preserve"> Men’s Centre </w:t>
      </w:r>
      <w:r w:rsidRPr="002E14A6">
        <w:fldChar w:fldCharType="begin"/>
      </w:r>
      <w:r w:rsidR="009B0EC4">
        <w:instrText xml:space="preserve"> ADDIN ZOTERO_ITEM CSL_CITATION {"citationID":"vUPfho0t","properties":{"formattedCitation":"(see Presbyterian Support East Coast 2020)","plainCitation":"(see Presbyterian Support East Coast 2020)","noteIndex":191},"citationItems":[{"id":18652,"uris":["http://zotero.org/groups/4801058/items/EHP2GRET"],"itemData":{"id":18652,"type":"report","abstract":"Tauawhi Mens’ Centre opened in Gisborne on 2 July 2010. Since then its history has been shaped by the hundreds of men who have climbed the stairs ...","language":"en","title":"Ten Years of Tauawhi: Creating a Community of Caring Men","title-short":"Ten Years of Tauawhi","URL":"https://issuu.com/psec.nz/docs/psec_tauawhi_booklet_nov20_digital_final","author":[{"family":"Presbyterian Support East Coast","given":""}],"accessed":{"date-parts":[["2023",1,29]]},"issued":{"date-parts":[["2020"]]}},"label":"page","prefix":"see"}],"schema":"https://github.com/citation-style-language/schema/raw/master/csl-citation.json"} </w:instrText>
      </w:r>
      <w:r w:rsidRPr="002E14A6">
        <w:fldChar w:fldCharType="separate"/>
      </w:r>
      <w:r w:rsidRPr="002E14A6">
        <w:rPr>
          <w:rFonts w:cs="Calibri"/>
        </w:rPr>
        <w:t>(see Presbyterian Support East Coast 2020)</w:t>
      </w:r>
      <w:r w:rsidRPr="002E14A6">
        <w:fldChar w:fldCharType="end"/>
      </w:r>
      <w:r w:rsidRPr="002E14A6">
        <w:rPr>
          <w:lang w:val="en-US"/>
        </w:rPr>
        <w:t xml:space="preserve"> is one example of this.</w:t>
      </w:r>
    </w:p>
  </w:footnote>
  <w:footnote w:id="193">
    <w:p w14:paraId="0B0F5D2B" w14:textId="32B91DA4" w:rsidR="00E95631" w:rsidRPr="002E14A6" w:rsidRDefault="00E95631" w:rsidP="00E95631">
      <w:pPr>
        <w:pStyle w:val="FootnoteText"/>
      </w:pPr>
      <w:r w:rsidRPr="009006D7">
        <w:rPr>
          <w:rStyle w:val="FootnoteReference"/>
        </w:rPr>
        <w:footnoteRef/>
      </w:r>
      <w:r w:rsidRPr="002E14A6">
        <w:t xml:space="preserve"> </w:t>
      </w:r>
      <w:r w:rsidRPr="002E14A6">
        <w:rPr>
          <w:lang w:val="en-US"/>
        </w:rPr>
        <w:tab/>
      </w:r>
      <w:r w:rsidRPr="002E14A6">
        <w:t>The ‘five cars in the driveway’ phenomenon occurs when a whānau is visited by representatives of multiple agencies, who will often ask the same questions as they seek to determine what assistance their agency can provide. For people who have experienced trauma, this risks multiple triggering events. See Ryall (2010) and Gisborne Herald (2017) for examples.</w:t>
      </w:r>
    </w:p>
  </w:footnote>
  <w:footnote w:id="194">
    <w:p w14:paraId="6775E88D" w14:textId="77777777" w:rsidR="00E95631" w:rsidRDefault="00E95631" w:rsidP="00E95631">
      <w:pPr>
        <w:pStyle w:val="FootnoteText"/>
      </w:pPr>
      <w:r w:rsidRPr="009006D7">
        <w:rPr>
          <w:rStyle w:val="FootnoteReference"/>
        </w:rPr>
        <w:footnoteRef/>
      </w:r>
      <w:r w:rsidRPr="002E14A6">
        <w:t xml:space="preserve"> </w:t>
      </w:r>
      <w:r w:rsidRPr="002E14A6">
        <w:tab/>
        <w:t xml:space="preserve">While representatives of state agencies exercising special powers like police and </w:t>
      </w:r>
      <w:proofErr w:type="spellStart"/>
      <w:r w:rsidRPr="002E14A6">
        <w:t>Oranga</w:t>
      </w:r>
      <w:proofErr w:type="spellEnd"/>
      <w:r w:rsidRPr="002E14A6">
        <w:t xml:space="preserve"> Tamariki may be involved from time to time, systems would need be put in place to at least allow co-ordination with the </w:t>
      </w:r>
      <w:r>
        <w:t>lead community worker</w:t>
      </w:r>
      <w:r w:rsidRPr="002E14A6">
        <w:t>.</w:t>
      </w:r>
      <w:r>
        <w:t xml:space="preserve"> </w:t>
      </w:r>
    </w:p>
  </w:footnote>
  <w:footnote w:id="195">
    <w:p w14:paraId="5424E404" w14:textId="592B5B52" w:rsidR="00D051F5" w:rsidRDefault="00D051F5">
      <w:pPr>
        <w:pStyle w:val="FootnoteText"/>
      </w:pPr>
      <w:r w:rsidRPr="009006D7">
        <w:rPr>
          <w:rStyle w:val="FootnoteReference"/>
        </w:rPr>
        <w:footnoteRef/>
      </w:r>
      <w:r>
        <w:t xml:space="preserve"> </w:t>
      </w:r>
      <w:r>
        <w:tab/>
      </w:r>
      <w:r w:rsidR="00E86F87">
        <w:t>In</w:t>
      </w:r>
      <w:r>
        <w:t xml:space="preserve"> </w:t>
      </w:r>
      <w:r w:rsidR="00E86F87">
        <w:t xml:space="preserve">Fry and </w:t>
      </w:r>
      <w:r>
        <w:t xml:space="preserve">Wilson </w:t>
      </w:r>
      <w:r>
        <w:fldChar w:fldCharType="begin"/>
      </w:r>
      <w:r w:rsidR="009B0EC4">
        <w:instrText xml:space="preserve"> ADDIN ZOTERO_ITEM CSL_CITATION {"citationID":"Jo4nCH3j","properties":{"formattedCitation":"(2022a)","plainCitation":"(2022a)","noteIndex":194},"citationItems":[{"id":16954,"uris":["http://zotero.org/groups/4801058/items/S8BG46RV"],"itemData":{"id":16954,"type":"report","event-place":"Wellington","publisher":"New Zealand Institute of Economic Research","publisher-place":"Wellington","title":"Ki te kotahi te kakaho ka whati, Ki te kapuia e kore e whati","author":[{"family":"Fry","given":"Julie"},{"family":"Wilson","given":"Peter"}],"issued":{"date-parts":[["2022"]]}},"label":"page","suppress-author":true}],"schema":"https://github.com/citation-style-language/schema/raw/master/csl-citation.json"} </w:instrText>
      </w:r>
      <w:r>
        <w:fldChar w:fldCharType="separate"/>
      </w:r>
      <w:r w:rsidRPr="00D051F5">
        <w:rPr>
          <w:rFonts w:cs="Calibri"/>
        </w:rPr>
        <w:t>(2022a)</w:t>
      </w:r>
      <w:r>
        <w:fldChar w:fldCharType="end"/>
      </w:r>
      <w:r w:rsidR="00E86F87">
        <w:t xml:space="preserve">, we discuss in more detail the boundary between services </w:t>
      </w:r>
      <w:r w:rsidR="00B03FB4">
        <w:t>provided by the central government and what can be devolved.</w:t>
      </w:r>
    </w:p>
  </w:footnote>
  <w:footnote w:id="196">
    <w:p w14:paraId="193B6FAC" w14:textId="46A3C23A" w:rsidR="00280196" w:rsidRDefault="00280196">
      <w:pPr>
        <w:pStyle w:val="FootnoteText"/>
      </w:pPr>
      <w:r w:rsidRPr="009006D7">
        <w:rPr>
          <w:rStyle w:val="FootnoteReference"/>
        </w:rPr>
        <w:footnoteRef/>
      </w:r>
      <w:r>
        <w:t xml:space="preserve"> </w:t>
      </w:r>
      <w:r>
        <w:tab/>
        <w:t>A</w:t>
      </w:r>
      <w:r w:rsidR="002557A1">
        <w:t>s a</w:t>
      </w:r>
      <w:r>
        <w:t xml:space="preserve">n example of the measurement approach we have in mind, see the work of </w:t>
      </w:r>
      <w:r w:rsidR="00726FF5" w:rsidRPr="00726FF5">
        <w:t xml:space="preserve">Trust </w:t>
      </w:r>
      <w:proofErr w:type="spellStart"/>
      <w:r w:rsidR="00726FF5" w:rsidRPr="00726FF5">
        <w:t>Tairāwhiti</w:t>
      </w:r>
      <w:proofErr w:type="spellEnd"/>
      <w:r w:rsidR="00726FF5">
        <w:t xml:space="preserve"> in measuring the outcomes of program</w:t>
      </w:r>
      <w:r w:rsidR="002557A1">
        <w:t>me</w:t>
      </w:r>
      <w:r w:rsidR="00726FF5">
        <w:t xml:space="preserve">s to </w:t>
      </w:r>
      <w:r w:rsidR="00B44B5A">
        <w:t xml:space="preserve">support </w:t>
      </w:r>
      <w:r w:rsidR="00726FF5" w:rsidRPr="00726FF5">
        <w:t xml:space="preserve">He </w:t>
      </w:r>
      <w:proofErr w:type="spellStart"/>
      <w:r w:rsidR="00726FF5" w:rsidRPr="00726FF5">
        <w:t>Rangitapu</w:t>
      </w:r>
      <w:proofErr w:type="spellEnd"/>
      <w:r w:rsidR="00726FF5" w:rsidRPr="00726FF5">
        <w:t xml:space="preserve"> He Tohu Ora</w:t>
      </w:r>
      <w:r w:rsidR="00B44B5A">
        <w:t>, its wellbeing framework</w:t>
      </w:r>
      <w:r w:rsidR="00CA3C2F">
        <w:t xml:space="preserve"> </w:t>
      </w:r>
      <w:r w:rsidR="00CA3C2F">
        <w:fldChar w:fldCharType="begin"/>
      </w:r>
      <w:r w:rsidR="009B0EC4">
        <w:instrText xml:space="preserve"> ADDIN ZOTERO_ITEM CSL_CITATION {"citationID":"nNd2oCVH","properties":{"formattedCitation":"(Trust Tair\\uc0\\u257{}whiti 2023)","plainCitation":"(Trust Tairāwhiti 2023)","noteIndex":195},"citationItems":[{"id":18718,"uris":["http://zotero.org/groups/4801058/items/EMY3VR67"],"itemData":{"id":18718,"type":"webpage","container-title":"Trust Tairāwhiti","language":"en-NZ","title":"He Tohu Ora - Tairāwhiti Wellbeing","URL":"https://trusttairawhiti.nz/about-us/he-tohu-ora-tairawhiti-wellbeing/","author":[{"family":"Trust Tairāwhiti","given":""}],"accessed":{"date-parts":[["2023",2,8]]},"issued":{"date-parts":[["2023"]]}}}],"schema":"https://github.com/citation-style-language/schema/raw/master/csl-citation.json"} </w:instrText>
      </w:r>
      <w:r w:rsidR="00CA3C2F">
        <w:fldChar w:fldCharType="separate"/>
      </w:r>
      <w:r w:rsidR="00CA3C2F" w:rsidRPr="00CA3C2F">
        <w:rPr>
          <w:rFonts w:cs="Calibri"/>
          <w:szCs w:val="24"/>
        </w:rPr>
        <w:t xml:space="preserve">(Trust </w:t>
      </w:r>
      <w:proofErr w:type="spellStart"/>
      <w:r w:rsidR="00CA3C2F" w:rsidRPr="00CA3C2F">
        <w:rPr>
          <w:rFonts w:cs="Calibri"/>
          <w:szCs w:val="24"/>
        </w:rPr>
        <w:t>Tairāwhiti</w:t>
      </w:r>
      <w:proofErr w:type="spellEnd"/>
      <w:r w:rsidR="00CA3C2F" w:rsidRPr="00CA3C2F">
        <w:rPr>
          <w:rFonts w:cs="Calibri"/>
          <w:szCs w:val="24"/>
        </w:rPr>
        <w:t xml:space="preserve"> 2023)</w:t>
      </w:r>
      <w:r w:rsidR="00CA3C2F">
        <w:fldChar w:fldCharType="end"/>
      </w:r>
      <w:r w:rsidR="000A26FD">
        <w:t>.</w:t>
      </w:r>
    </w:p>
  </w:footnote>
  <w:footnote w:id="197">
    <w:p w14:paraId="4B230A86" w14:textId="5F9942D7" w:rsidR="00A966A1" w:rsidRPr="00C21C29" w:rsidRDefault="00A966A1">
      <w:pPr>
        <w:pStyle w:val="FootnoteText"/>
        <w:rPr>
          <w:lang w:val="en-US"/>
        </w:rPr>
      </w:pPr>
      <w:r w:rsidRPr="009006D7">
        <w:rPr>
          <w:rStyle w:val="FootnoteReference"/>
        </w:rPr>
        <w:footnoteRef/>
      </w:r>
      <w:r>
        <w:t xml:space="preserve"> </w:t>
      </w:r>
      <w:r>
        <w:rPr>
          <w:lang w:val="en-US"/>
        </w:rPr>
        <w:tab/>
        <w:t>As noted, t</w:t>
      </w:r>
      <w:r w:rsidRPr="00A966A1">
        <w:rPr>
          <w:lang w:val="en-US"/>
        </w:rPr>
        <w:t xml:space="preserve">he Whānau Ora commissioning agencies, Manaaki </w:t>
      </w:r>
      <w:proofErr w:type="spellStart"/>
      <w:r w:rsidRPr="00A966A1">
        <w:rPr>
          <w:lang w:val="en-US"/>
        </w:rPr>
        <w:t>Tairāwhiti</w:t>
      </w:r>
      <w:proofErr w:type="spellEnd"/>
      <w:r w:rsidRPr="00A966A1">
        <w:rPr>
          <w:lang w:val="en-US"/>
        </w:rPr>
        <w:t xml:space="preserve"> and the South Auckland Social Wellbeing Board are </w:t>
      </w:r>
      <w:r>
        <w:rPr>
          <w:lang w:val="en-US"/>
        </w:rPr>
        <w:t>already working in this way. We envisage their powers to improve assistance will continue to develop over time in conjunction with the development of other PBIs.</w:t>
      </w:r>
    </w:p>
  </w:footnote>
  <w:footnote w:id="198">
    <w:p w14:paraId="0B45D4E5" w14:textId="5091C452" w:rsidR="00530B8F" w:rsidRPr="00530B8F" w:rsidRDefault="00530B8F">
      <w:pPr>
        <w:pStyle w:val="FootnoteText"/>
        <w:rPr>
          <w:lang w:val="mi-NZ"/>
        </w:rPr>
      </w:pPr>
      <w:r w:rsidRPr="009006D7">
        <w:rPr>
          <w:rStyle w:val="FootnoteReference"/>
        </w:rPr>
        <w:footnoteRef/>
      </w:r>
      <w:r>
        <w:t xml:space="preserve"> </w:t>
      </w:r>
      <w:r>
        <w:rPr>
          <w:lang w:val="mi-NZ"/>
        </w:rPr>
        <w:tab/>
      </w:r>
      <w:r w:rsidRPr="00530B8F">
        <w:t xml:space="preserve">Some of the issues that will need to be addressed include the level of resourcing required </w:t>
      </w:r>
      <w:r w:rsidR="007A0CCF">
        <w:rPr>
          <w:lang w:val="en-US"/>
        </w:rPr>
        <w:fldChar w:fldCharType="begin"/>
      </w:r>
      <w:r w:rsidR="00E00B95">
        <w:rPr>
          <w:lang w:val="en-US"/>
        </w:rPr>
        <w:instrText xml:space="preserve"> ADDIN ZOTERO_ITEM CSL_CITATION {"citationID":"xiL9C7LT","properties":{"formattedCitation":"(Fry 2022, 11)","plainCitation":"(Fry 2022, 11)","noteIndex":197},"citationItems":[{"id":18461,"uris":["http://zotero.org/groups/4801058/items/Y4XY6L7J"],"itemData":{"id":18461,"type":"report","event-place":"Wellington","publisher":"Productivity Commission","publisher-place":"Wellington","title":"Together alone: A review of joined-up social services","URL":"https://www.productivity.govt.nz/assets/Documents/Together-alone_A-review-of-joined-up-social-services.pdf","author":[{"family":"Fry","given":"Julie"}],"accessed":{"date-parts":[["2023",1,15]]},"issued":{"date-parts":[["2022"]]}},"locator":"11","label":"page"}],"schema":"https://github.com/citation-style-language/schema/raw/master/csl-citation.json"} </w:instrText>
      </w:r>
      <w:r w:rsidR="007A0CCF">
        <w:rPr>
          <w:lang w:val="en-US"/>
        </w:rPr>
        <w:fldChar w:fldCharType="separate"/>
      </w:r>
      <w:r w:rsidR="007A0CCF" w:rsidRPr="00A72024">
        <w:rPr>
          <w:rFonts w:cs="Calibri"/>
        </w:rPr>
        <w:t>(Fry 2022, 11)</w:t>
      </w:r>
      <w:r w:rsidR="007A0CCF">
        <w:rPr>
          <w:lang w:val="en-US"/>
        </w:rPr>
        <w:fldChar w:fldCharType="end"/>
      </w:r>
      <w:r w:rsidRPr="00530B8F">
        <w:t>; whether more localised commissioning models would be more effective, particularly in the North Island</w:t>
      </w:r>
      <w:r w:rsidR="00F910AC">
        <w:rPr>
          <w:lang w:val="en-US"/>
        </w:rPr>
        <w:t xml:space="preserve"> </w:t>
      </w:r>
      <w:r w:rsidR="00F910AC">
        <w:rPr>
          <w:lang w:val="en-US"/>
        </w:rPr>
        <w:fldChar w:fldCharType="begin"/>
      </w:r>
      <w:r w:rsidR="00E00B95">
        <w:rPr>
          <w:lang w:val="en-US"/>
        </w:rPr>
        <w:instrText xml:space="preserve"> ADDIN ZOTERO_ITEM CSL_CITATION {"citationID":"79xjiVLq","properties":{"formattedCitation":"(Rangi et al. 2018, 5\\uc0\\u8211{}6)","plainCitation":"(Rangi et al. 2018, 5–6)","noteIndex":197},"citationItems":[{"id":18723,"uris":["http://zotero.org/groups/4801058/items/8H7AXXQ5"],"itemData":{"id":18723,"type":"report","title":"The Whānau Ora Review Report – Tipu Mātoro ki te Ao","author":[{"family":"Rangi","given":"Caren"},{"family":"Hodges","given":"Tania"},{"family":"Kupenga","given":"Te Rau"},{"family":"Matahaere-Atariki","given":"Donna"},{"family":"Ngārimu","given":"Kim"},{"family":"Steele","given":"Brenda"}],"issued":{"date-parts":[["2018"]]}},"locator":"5-6","label":"page"}],"schema":"https://github.com/citation-style-language/schema/raw/master/csl-citation.json"} </w:instrText>
      </w:r>
      <w:r w:rsidR="00F910AC">
        <w:rPr>
          <w:lang w:val="en-US"/>
        </w:rPr>
        <w:fldChar w:fldCharType="separate"/>
      </w:r>
      <w:r w:rsidR="00F910AC" w:rsidRPr="00464AA7">
        <w:rPr>
          <w:rFonts w:cs="Calibri"/>
          <w:szCs w:val="24"/>
        </w:rPr>
        <w:t>(Rangi et al. 2018, 5–6)</w:t>
      </w:r>
      <w:r w:rsidR="00F910AC">
        <w:rPr>
          <w:lang w:val="en-US"/>
        </w:rPr>
        <w:fldChar w:fldCharType="end"/>
      </w:r>
      <w:r w:rsidRPr="00530B8F">
        <w:t xml:space="preserve">; and how to respond to mainstream departments failing to deliver on their core functions and “expecting Whānau Ora to pick up the slack” </w:t>
      </w:r>
      <w:r w:rsidR="00D70DB2">
        <w:fldChar w:fldCharType="begin"/>
      </w:r>
      <w:r w:rsidR="00E00B95">
        <w:instrText xml:space="preserve"> ADDIN ZOTERO_ITEM CSL_CITATION {"citationID":"YcPpWv4R","properties":{"formattedCitation":"(Fry 2022, 35)","plainCitation":"(Fry 2022, 35)","noteIndex":197},"citationItems":[{"id":18461,"uris":["http://zotero.org/groups/4801058/items/Y4XY6L7J"],"itemData":{"id":18461,"type":"report","event-place":"Wellington","publisher":"Productivity Commission","publisher-place":"Wellington","title":"Together alone: A review of joined-up social services","URL":"https://www.productivity.govt.nz/assets/Documents/Together-alone_A-review-of-joined-up-social-services.pdf","author":[{"family":"Fry","given":"Julie"}],"accessed":{"date-parts":[["2023",1,15]]},"issued":{"date-parts":[["2022"]]}},"locator":"35","label":"page"}],"schema":"https://github.com/citation-style-language/schema/raw/master/csl-citation.json"} </w:instrText>
      </w:r>
      <w:r w:rsidR="00D70DB2">
        <w:fldChar w:fldCharType="separate"/>
      </w:r>
      <w:r w:rsidR="00D70DB2" w:rsidRPr="00C56480">
        <w:rPr>
          <w:rFonts w:cs="Calibri"/>
        </w:rPr>
        <w:t>(Fry 2022, 35)</w:t>
      </w:r>
      <w:r w:rsidR="00D70DB2">
        <w:fldChar w:fldCharType="end"/>
      </w:r>
      <w:r w:rsidR="00D70DB2">
        <w:t>.</w:t>
      </w:r>
    </w:p>
  </w:footnote>
  <w:footnote w:id="199">
    <w:p w14:paraId="5188265F" w14:textId="3A6A227A" w:rsidR="00C56480" w:rsidRPr="00C21C29" w:rsidRDefault="00C56480">
      <w:pPr>
        <w:pStyle w:val="FootnoteText"/>
        <w:rPr>
          <w:lang w:val="en-US"/>
        </w:rPr>
      </w:pPr>
      <w:r w:rsidRPr="009006D7">
        <w:rPr>
          <w:rStyle w:val="FootnoteReference"/>
        </w:rPr>
        <w:footnoteRef/>
      </w:r>
      <w:r w:rsidRPr="0038304B">
        <w:t xml:space="preserve"> </w:t>
      </w:r>
      <w:r w:rsidRPr="0038304B">
        <w:rPr>
          <w:lang w:val="en-US"/>
        </w:rPr>
        <w:tab/>
        <w:t xml:space="preserve">In practice, there might be situations where agencies need to </w:t>
      </w:r>
      <w:r w:rsidR="00E67B0D" w:rsidRPr="0038304B">
        <w:rPr>
          <w:lang w:val="en-US"/>
        </w:rPr>
        <w:t>f</w:t>
      </w:r>
      <w:r w:rsidRPr="0038304B">
        <w:rPr>
          <w:lang w:val="en-US"/>
        </w:rPr>
        <w:t xml:space="preserve">und </w:t>
      </w:r>
      <w:r w:rsidR="0038304B" w:rsidRPr="0038304B">
        <w:rPr>
          <w:lang w:val="en-US"/>
        </w:rPr>
        <w:t xml:space="preserve">repeat their efforts </w:t>
      </w:r>
      <w:r w:rsidRPr="0038304B">
        <w:rPr>
          <w:lang w:val="en-US"/>
        </w:rPr>
        <w:t>‘if assistance is</w:t>
      </w:r>
      <w:r w:rsidRPr="00C56480">
        <w:rPr>
          <w:lang w:val="en-US"/>
        </w:rPr>
        <w:t xml:space="preserve"> not delivered effectively.  </w:t>
      </w:r>
    </w:p>
  </w:footnote>
  <w:footnote w:id="200">
    <w:p w14:paraId="40CBF4DF" w14:textId="114079C0" w:rsidR="001B024C" w:rsidRPr="00E74C22" w:rsidRDefault="001B024C" w:rsidP="001B024C">
      <w:pPr>
        <w:pStyle w:val="FootnoteText"/>
      </w:pPr>
      <w:r w:rsidRPr="009006D7">
        <w:rPr>
          <w:rStyle w:val="FootnoteReference"/>
        </w:rPr>
        <w:footnoteRef/>
      </w:r>
      <w:r w:rsidRPr="00E74C22">
        <w:t xml:space="preserve"> </w:t>
      </w:r>
      <w:r w:rsidRPr="00E74C22">
        <w:tab/>
      </w:r>
      <w:r>
        <w:t>T</w:t>
      </w:r>
      <w:r w:rsidRPr="00E74C22">
        <w:t xml:space="preserve">his regime could be either a stand-alone Act or incorporated in an existing transparency and reporting regime. For example, the Public Finance (Wellbeing) Amendment Act 2020 inserted wellbeing provisions into the pre-existing fiscal responsibility provisions of the Public Finance </w:t>
      </w:r>
      <w:r w:rsidR="00BF6FFC" w:rsidRPr="00E74C22">
        <w:t>Act,</w:t>
      </w:r>
      <w:r w:rsidRPr="00E74C22">
        <w:t xml:space="preserve"> and they could be modified to incorporate our approach.</w:t>
      </w:r>
      <w:r>
        <w:t xml:space="preserve"> We would not favour inserting these provisions in the Social Security Act 2018, as that would diminish the cross-portfolio nature of the scheme we propose.</w:t>
      </w:r>
    </w:p>
  </w:footnote>
  <w:footnote w:id="201">
    <w:p w14:paraId="1DCD82A0" w14:textId="20E52899" w:rsidR="00640439" w:rsidRDefault="00640439">
      <w:pPr>
        <w:pStyle w:val="FootnoteText"/>
      </w:pPr>
      <w:r w:rsidRPr="009006D7">
        <w:rPr>
          <w:rStyle w:val="FootnoteReference"/>
        </w:rPr>
        <w:footnoteRef/>
      </w:r>
      <w:r>
        <w:t xml:space="preserve"> </w:t>
      </w:r>
      <w:r>
        <w:tab/>
        <w:t>Jonathon Boston and his colleagues proposed a ‘Social Responsibility Act’ in 1996, which was also designed to apply the concepts of the fiscal responsibility provisions to social policy</w:t>
      </w:r>
      <w:r w:rsidR="001D712A">
        <w:t xml:space="preserve"> </w:t>
      </w:r>
      <w:r w:rsidR="001D712A">
        <w:fldChar w:fldCharType="begin"/>
      </w:r>
      <w:r w:rsidR="00E00B95">
        <w:instrText xml:space="preserve"> ADDIN ZOTERO_ITEM CSL_CITATION {"citationID":"lPy259a6","properties":{"formattedCitation":"(Boston, St John, and Stephens 1996)","plainCitation":"(Boston, St John, and Stephens 1996)","noteIndex":200},"citationItems":[{"id":18682,"uris":["http://zotero.org/groups/4801058/items/A63QKDQW"],"itemData":{"id":18682,"type":"article-journal","container-title":"Social Policy Journal of New Zealand,","issue":"7","page":"2-6","title":"The Quest for Social Responsibility","author":[{"family":"Boston","given":"Jonathan"},{"family":"St John","given":"Susan"},{"family":"Stephens","given":"Bob"}],"issued":{"date-parts":[["1996"]]}}}],"schema":"https://github.com/citation-style-language/schema/raw/master/csl-citation.json"} </w:instrText>
      </w:r>
      <w:r w:rsidR="001D712A">
        <w:fldChar w:fldCharType="separate"/>
      </w:r>
      <w:r w:rsidR="001D712A" w:rsidRPr="001D712A">
        <w:rPr>
          <w:rFonts w:cs="Calibri"/>
        </w:rPr>
        <w:t>(Boston, St John, and Stephens 1996)</w:t>
      </w:r>
      <w:r w:rsidR="001D712A">
        <w:fldChar w:fldCharType="end"/>
      </w:r>
      <w:r>
        <w:t xml:space="preserve">.  </w:t>
      </w:r>
    </w:p>
  </w:footnote>
  <w:footnote w:id="202">
    <w:p w14:paraId="6D1FA5D3" w14:textId="2331A00C" w:rsidR="0060641D" w:rsidRDefault="0060641D">
      <w:pPr>
        <w:pStyle w:val="FootnoteText"/>
      </w:pPr>
      <w:r w:rsidRPr="009006D7">
        <w:rPr>
          <w:rStyle w:val="FootnoteReference"/>
        </w:rPr>
        <w:footnoteRef/>
      </w:r>
      <w:r>
        <w:t xml:space="preserve"> </w:t>
      </w:r>
      <w:r>
        <w:tab/>
        <w:t xml:space="preserve">For example, the Child Poverty Reduction Act, which is the responsibility of a separate </w:t>
      </w:r>
      <w:r w:rsidR="00E303E4">
        <w:t>m</w:t>
      </w:r>
      <w:r>
        <w:t>inister</w:t>
      </w:r>
      <w:r w:rsidR="00D20F82">
        <w:t>,</w:t>
      </w:r>
      <w:r w:rsidR="00E303E4">
        <w:t xml:space="preserve"> includes elements of an accountability regime, but it has a </w:t>
      </w:r>
      <w:r w:rsidR="008B29B8">
        <w:t>f</w:t>
      </w:r>
      <w:r w:rsidR="00E303E4">
        <w:t>ocus on children</w:t>
      </w:r>
      <w:r w:rsidR="008B29B8">
        <w:t xml:space="preserve">. </w:t>
      </w:r>
      <w:r w:rsidR="00D20F82">
        <w:t xml:space="preserve">Likewise, the Children’s Act, the responsibility of another </w:t>
      </w:r>
      <w:r w:rsidR="000B2EAC">
        <w:t>m</w:t>
      </w:r>
      <w:r w:rsidR="00D20F82">
        <w:t xml:space="preserve">inister, also sets up some accountability-like </w:t>
      </w:r>
      <w:r w:rsidR="000B2EAC">
        <w:t>strategy</w:t>
      </w:r>
      <w:r w:rsidR="003F57FE">
        <w:t xml:space="preserve"> development obligations on the government. </w:t>
      </w:r>
      <w:r w:rsidR="00D20F82">
        <w:t xml:space="preserve"> </w:t>
      </w:r>
    </w:p>
  </w:footnote>
  <w:footnote w:id="203">
    <w:p w14:paraId="6B7DDE5C" w14:textId="769CD2D6" w:rsidR="001B024C" w:rsidRPr="00E74C22" w:rsidRDefault="001B024C" w:rsidP="001B024C">
      <w:pPr>
        <w:pStyle w:val="FootnoteText"/>
      </w:pPr>
      <w:r w:rsidRPr="009006D7">
        <w:rPr>
          <w:rStyle w:val="FootnoteReference"/>
        </w:rPr>
        <w:footnoteRef/>
      </w:r>
      <w:r w:rsidRPr="00E74C22">
        <w:t xml:space="preserve"> </w:t>
      </w:r>
      <w:r w:rsidRPr="00E74C22">
        <w:tab/>
        <w:t>Given the cross-portfolio nature of persistent disadvantage, we recommend that responsibility for this report not be vested in a department that is also a provider of services. Candidates include The Treasury, possibly as a subset of the Wellbeing report now required to be published under Section 26NB of the Public Finance Act</w:t>
      </w:r>
      <w:r w:rsidR="00E23D27">
        <w:t>;</w:t>
      </w:r>
      <w:r w:rsidRPr="00E74C22">
        <w:t xml:space="preserve"> the Department of the Prime Minister and Cabinet</w:t>
      </w:r>
      <w:r w:rsidR="00E23D27">
        <w:t>;</w:t>
      </w:r>
      <w:r w:rsidRPr="00E74C22">
        <w:t xml:space="preserve"> or the Government Statistician (noting his reporting responsibilities under the Child Poverty Reduction Act).</w:t>
      </w:r>
    </w:p>
  </w:footnote>
  <w:footnote w:id="204">
    <w:p w14:paraId="56C856F9" w14:textId="4057C9BE" w:rsidR="001B024C" w:rsidRPr="00E74C22" w:rsidRDefault="001B024C" w:rsidP="001B024C">
      <w:pPr>
        <w:pStyle w:val="FootnoteText"/>
      </w:pPr>
      <w:r w:rsidRPr="009006D7">
        <w:rPr>
          <w:rStyle w:val="FootnoteReference"/>
        </w:rPr>
        <w:footnoteRef/>
      </w:r>
      <w:r w:rsidRPr="00E74C22">
        <w:t xml:space="preserve"> </w:t>
      </w:r>
      <w:r w:rsidRPr="00E74C22">
        <w:tab/>
        <w:t xml:space="preserve">Many indicators of persistent disadvantage do not change rapidly and measuring them accurately requires long-run time series </w:t>
      </w:r>
      <w:r w:rsidR="00A003D2">
        <w:t xml:space="preserve">and </w:t>
      </w:r>
      <w:r w:rsidRPr="00E74C22">
        <w:t>panel data, preferably covering the progress of a cohort of people. Annual reporting may not be necessary. We note that the Wellbeing report is produced on a four-year publication cycle and that may be an appropriate model.</w:t>
      </w:r>
    </w:p>
  </w:footnote>
  <w:footnote w:id="205">
    <w:p w14:paraId="5EBD697E" w14:textId="63FB507C" w:rsidR="001B024C" w:rsidRPr="00E74C22" w:rsidRDefault="001B024C" w:rsidP="001B024C">
      <w:pPr>
        <w:pStyle w:val="FootnoteText"/>
      </w:pPr>
      <w:r w:rsidRPr="009006D7">
        <w:rPr>
          <w:rStyle w:val="FootnoteReference"/>
        </w:rPr>
        <w:footnoteRef/>
      </w:r>
      <w:r w:rsidRPr="00E74C22">
        <w:t xml:space="preserve"> </w:t>
      </w:r>
      <w:r w:rsidRPr="00E74C22">
        <w:tab/>
        <w:t xml:space="preserve">Reflecting the multi-dimensional nature of persistent disadvantage, the group of agencies is likely to be large. Some examples include: the Health and Disability Commissioner; the Human Rights Commission; the Children's Commissioner; </w:t>
      </w:r>
      <w:proofErr w:type="spellStart"/>
      <w:r w:rsidRPr="00E74C22">
        <w:t>Kāinga</w:t>
      </w:r>
      <w:proofErr w:type="spellEnd"/>
      <w:r w:rsidRPr="00E74C22">
        <w:t xml:space="preserve"> Ora – Homes and Communities; </w:t>
      </w:r>
      <w:proofErr w:type="spellStart"/>
      <w:r w:rsidRPr="00E74C22">
        <w:t>Te</w:t>
      </w:r>
      <w:proofErr w:type="spellEnd"/>
      <w:r w:rsidRPr="00E74C22">
        <w:t xml:space="preserve"> </w:t>
      </w:r>
      <w:proofErr w:type="spellStart"/>
      <w:r w:rsidRPr="00E74C22">
        <w:t>Whatu</w:t>
      </w:r>
      <w:proofErr w:type="spellEnd"/>
      <w:r w:rsidRPr="00E74C22">
        <w:t xml:space="preserve"> Ora - Health New Zealand; </w:t>
      </w:r>
      <w:proofErr w:type="spellStart"/>
      <w:r w:rsidRPr="00E74C22">
        <w:t>Te</w:t>
      </w:r>
      <w:proofErr w:type="spellEnd"/>
      <w:r w:rsidRPr="00E74C22">
        <w:t xml:space="preserve"> Aka </w:t>
      </w:r>
      <w:proofErr w:type="spellStart"/>
      <w:r w:rsidRPr="00E74C22">
        <w:t>Whai</w:t>
      </w:r>
      <w:proofErr w:type="spellEnd"/>
      <w:r w:rsidRPr="00E74C22">
        <w:t xml:space="preserve"> Ora - Māori Health Authority; </w:t>
      </w:r>
      <w:r w:rsidR="00B46F93">
        <w:t xml:space="preserve">and </w:t>
      </w:r>
      <w:r w:rsidRPr="00E74C22">
        <w:t>the Retirement Commissioner.</w:t>
      </w:r>
    </w:p>
  </w:footnote>
  <w:footnote w:id="206">
    <w:p w14:paraId="2384FB37" w14:textId="472B991A" w:rsidR="001B024C" w:rsidRPr="00E74C22" w:rsidRDefault="001B024C" w:rsidP="001B024C">
      <w:pPr>
        <w:pStyle w:val="FootnoteText"/>
      </w:pPr>
      <w:r w:rsidRPr="009006D7">
        <w:rPr>
          <w:rStyle w:val="FootnoteReference"/>
        </w:rPr>
        <w:footnoteRef/>
      </w:r>
      <w:r w:rsidRPr="00E74C22">
        <w:t xml:space="preserve"> </w:t>
      </w:r>
      <w:r w:rsidRPr="00E74C22">
        <w:tab/>
        <w:t>In doing so, ministers should respect the cultural norms of</w:t>
      </w:r>
      <w:r>
        <w:t xml:space="preserve"> the people they are consulting with (for example, hui hosted by Māori should be resourced according to tikanga, including around the provision of kai and </w:t>
      </w:r>
      <w:proofErr w:type="spellStart"/>
      <w:r>
        <w:t>koha</w:t>
      </w:r>
      <w:proofErr w:type="spellEnd"/>
      <w:r>
        <w:t>)</w:t>
      </w:r>
      <w:r w:rsidRPr="00E74C22">
        <w:t>.</w:t>
      </w:r>
    </w:p>
  </w:footnote>
  <w:footnote w:id="207">
    <w:p w14:paraId="3FA62ACC" w14:textId="77777777" w:rsidR="001B024C" w:rsidRPr="00E74C22" w:rsidRDefault="001B024C" w:rsidP="001B024C">
      <w:pPr>
        <w:pStyle w:val="FootnoteText"/>
      </w:pPr>
      <w:r w:rsidRPr="009006D7">
        <w:rPr>
          <w:rStyle w:val="FootnoteReference"/>
        </w:rPr>
        <w:footnoteRef/>
      </w:r>
      <w:r w:rsidRPr="00E74C22">
        <w:t xml:space="preserve"> </w:t>
      </w:r>
      <w:r w:rsidRPr="00E74C22">
        <w:tab/>
        <w:t>The Marsden Fund administered by the Royal Society of New Zealand is a possible model. Whatever model is used, the scope of research should be wide and not just on publishable academic research.</w:t>
      </w:r>
    </w:p>
  </w:footnote>
  <w:footnote w:id="208">
    <w:p w14:paraId="64C4A854" w14:textId="77777777" w:rsidR="001B024C" w:rsidRPr="00E74C22" w:rsidRDefault="001B024C" w:rsidP="001B024C">
      <w:pPr>
        <w:pStyle w:val="FootnoteText"/>
      </w:pPr>
      <w:r w:rsidRPr="009006D7">
        <w:rPr>
          <w:rStyle w:val="FootnoteReference"/>
        </w:rPr>
        <w:footnoteRef/>
      </w:r>
      <w:r w:rsidRPr="00E74C22">
        <w:t xml:space="preserve"> </w:t>
      </w:r>
      <w:r w:rsidRPr="00E74C22">
        <w:tab/>
        <w:t>Section 26KA of the Public Finance ACT, which relates to the contents of the Fiscal Strategy Report, provides that the report may include details pf the outcomes sought from new or reallocated expenditure, but not in respect of existing programmes.</w:t>
      </w:r>
    </w:p>
  </w:footnote>
  <w:footnote w:id="209">
    <w:p w14:paraId="0F076856" w14:textId="098B104C" w:rsidR="008E2590" w:rsidRDefault="008E2590">
      <w:pPr>
        <w:pStyle w:val="FootnoteText"/>
      </w:pPr>
      <w:r w:rsidRPr="009006D7">
        <w:rPr>
          <w:rStyle w:val="FootnoteReference"/>
        </w:rPr>
        <w:footnoteRef/>
      </w:r>
      <w:r>
        <w:t xml:space="preserve"> </w:t>
      </w:r>
      <w:r>
        <w:tab/>
      </w:r>
      <w:r w:rsidR="00032971">
        <w:t xml:space="preserve">According to </w:t>
      </w:r>
      <w:r w:rsidR="00FC3B27">
        <w:t>Mark</w:t>
      </w:r>
      <w:r w:rsidR="00032971">
        <w:t xml:space="preserve"> Hopkins, </w:t>
      </w:r>
      <w:r w:rsidR="00032971" w:rsidRPr="00170C42">
        <w:t>“</w:t>
      </w:r>
      <w:r w:rsidRPr="00852078">
        <w:rPr>
          <w:color w:val="30353F"/>
        </w:rPr>
        <w:t>Zero-based</w:t>
      </w:r>
      <w:r w:rsidRPr="00852078">
        <w:rPr>
          <w:color w:val="30353F"/>
          <w:spacing w:val="-4"/>
        </w:rPr>
        <w:t xml:space="preserve"> </w:t>
      </w:r>
      <w:r w:rsidRPr="00852078">
        <w:rPr>
          <w:color w:val="30353F"/>
        </w:rPr>
        <w:t>budgeting</w:t>
      </w:r>
      <w:r w:rsidRPr="00852078">
        <w:rPr>
          <w:color w:val="30353F"/>
          <w:spacing w:val="-6"/>
        </w:rPr>
        <w:t xml:space="preserve"> </w:t>
      </w:r>
      <w:r w:rsidRPr="00852078">
        <w:rPr>
          <w:color w:val="30353F"/>
        </w:rPr>
        <w:t>is</w:t>
      </w:r>
      <w:r w:rsidRPr="00852078">
        <w:rPr>
          <w:color w:val="30353F"/>
          <w:spacing w:val="-7"/>
        </w:rPr>
        <w:t xml:space="preserve"> </w:t>
      </w:r>
      <w:r w:rsidRPr="00852078">
        <w:rPr>
          <w:color w:val="30353F"/>
        </w:rPr>
        <w:t>a</w:t>
      </w:r>
      <w:r w:rsidRPr="00852078">
        <w:rPr>
          <w:color w:val="30353F"/>
          <w:spacing w:val="-4"/>
        </w:rPr>
        <w:t xml:space="preserve"> </w:t>
      </w:r>
      <w:r w:rsidRPr="00852078">
        <w:rPr>
          <w:color w:val="30353F"/>
        </w:rPr>
        <w:t>budgeting</w:t>
      </w:r>
      <w:r w:rsidRPr="00852078">
        <w:rPr>
          <w:color w:val="30353F"/>
          <w:spacing w:val="-4"/>
        </w:rPr>
        <w:t xml:space="preserve"> </w:t>
      </w:r>
      <w:r w:rsidRPr="00852078">
        <w:rPr>
          <w:color w:val="30353F"/>
        </w:rPr>
        <w:t>process</w:t>
      </w:r>
      <w:r w:rsidRPr="00852078">
        <w:rPr>
          <w:color w:val="30353F"/>
          <w:spacing w:val="-4"/>
        </w:rPr>
        <w:t xml:space="preserve"> </w:t>
      </w:r>
      <w:r w:rsidRPr="00852078">
        <w:rPr>
          <w:color w:val="30353F"/>
        </w:rPr>
        <w:t>that</w:t>
      </w:r>
      <w:r w:rsidRPr="00852078">
        <w:rPr>
          <w:color w:val="30353F"/>
          <w:spacing w:val="-4"/>
        </w:rPr>
        <w:t xml:space="preserve"> </w:t>
      </w:r>
      <w:r w:rsidRPr="00852078">
        <w:rPr>
          <w:color w:val="30353F"/>
        </w:rPr>
        <w:t>allocates</w:t>
      </w:r>
      <w:r w:rsidRPr="00852078">
        <w:rPr>
          <w:color w:val="30353F"/>
          <w:spacing w:val="-4"/>
        </w:rPr>
        <w:t xml:space="preserve"> </w:t>
      </w:r>
      <w:r w:rsidRPr="00852078">
        <w:rPr>
          <w:color w:val="30353F"/>
        </w:rPr>
        <w:t>funding</w:t>
      </w:r>
      <w:r w:rsidRPr="00852078">
        <w:rPr>
          <w:color w:val="30353F"/>
          <w:spacing w:val="-6"/>
        </w:rPr>
        <w:t xml:space="preserve"> </w:t>
      </w:r>
      <w:r w:rsidRPr="00852078">
        <w:rPr>
          <w:color w:val="30353F"/>
        </w:rPr>
        <w:t>based</w:t>
      </w:r>
      <w:r w:rsidRPr="00852078">
        <w:rPr>
          <w:color w:val="30353F"/>
          <w:spacing w:val="-6"/>
        </w:rPr>
        <w:t xml:space="preserve"> </w:t>
      </w:r>
      <w:r w:rsidRPr="00852078">
        <w:rPr>
          <w:color w:val="30353F"/>
        </w:rPr>
        <w:t>on program efficiency and necessity rather than budget histor</w:t>
      </w:r>
      <w:r w:rsidR="00170C42" w:rsidRPr="00852078">
        <w:rPr>
          <w:color w:val="30353F"/>
        </w:rPr>
        <w:t>y”</w:t>
      </w:r>
      <w:r w:rsidR="00FC3B27">
        <w:rPr>
          <w:color w:val="30353F"/>
        </w:rPr>
        <w:t xml:space="preserve"> </w:t>
      </w:r>
      <w:r w:rsidRPr="00852078">
        <w:rPr>
          <w:color w:val="30353F"/>
        </w:rPr>
        <w:fldChar w:fldCharType="begin"/>
      </w:r>
      <w:r w:rsidR="00E00B95">
        <w:rPr>
          <w:color w:val="30353F"/>
        </w:rPr>
        <w:instrText xml:space="preserve"> ADDIN ZOTERO_ITEM CSL_CITATION {"citationID":"dZ8O4ni3","properties":{"formattedCitation":"(Hopkins 2015, 1)","plainCitation":"(Hopkins 2015, 1)","noteIndex":208},"citationItems":[{"id":15368,"uris":["http://zotero.org/groups/4623831/items/2LWGNWHR"],"itemData":{"id":15368,"type":"report","abstract":"When successful, zero-based budgeting can produce radical savings. When unsuccessful, the costs to an organization can be considerable.","language":"en","publisher":"Deloitte","title":"Zero-based budgeting: Zero or hero?","title-short":"Zero-based budgeting","URL":"https://www2.deloitte.com/global/en/pages/operations/articles/gx-zero-based-budgeting.html","author":[{"family":"Hopkins","given":"Mark"}],"accessed":{"date-parts":[["2022",7,5]]},"issued":{"date-parts":[["2015"]]}},"locator":"1","label":"page"}],"schema":"https://github.com/citation-style-language/schema/raw/master/csl-citation.json"} </w:instrText>
      </w:r>
      <w:r w:rsidRPr="00852078">
        <w:rPr>
          <w:color w:val="30353F"/>
        </w:rPr>
        <w:fldChar w:fldCharType="separate"/>
      </w:r>
      <w:r w:rsidRPr="00170C42">
        <w:rPr>
          <w:rFonts w:cs="Calibri"/>
        </w:rPr>
        <w:t>(Hopkins 2015, 1)</w:t>
      </w:r>
      <w:r w:rsidRPr="00852078">
        <w:rPr>
          <w:color w:val="30353F"/>
        </w:rPr>
        <w:fldChar w:fldCharType="end"/>
      </w:r>
      <w:r w:rsidR="00170C42" w:rsidRPr="00852078">
        <w:rPr>
          <w:color w:val="30353F"/>
        </w:rPr>
        <w:t>.</w:t>
      </w:r>
    </w:p>
  </w:footnote>
  <w:footnote w:id="210">
    <w:p w14:paraId="24709207" w14:textId="693A496D" w:rsidR="00735512" w:rsidRDefault="00735512">
      <w:pPr>
        <w:pStyle w:val="FootnoteText"/>
      </w:pPr>
      <w:r w:rsidRPr="009006D7">
        <w:rPr>
          <w:rStyle w:val="FootnoteReference"/>
        </w:rPr>
        <w:footnoteRef/>
      </w:r>
      <w:r>
        <w:t xml:space="preserve"> </w:t>
      </w:r>
      <w:r>
        <w:tab/>
        <w:t xml:space="preserve">See Tan </w:t>
      </w:r>
      <w:r>
        <w:fldChar w:fldCharType="begin"/>
      </w:r>
      <w:r w:rsidR="00E00B95">
        <w:instrText xml:space="preserve"> ADDIN ZOTERO_ITEM CSL_CITATION {"citationID":"cmRJIOCm","properties":{"formattedCitation":"(2023)","plainCitation":"(2023)","noteIndex":209},"citationItems":[{"id":18650,"uris":["http://zotero.org/groups/4801058/items/BDYV5L4L"],"itemData":{"id":18650,"type":"article-newspaper","abstract":"Shannan Hill had her first drink at 11 and was hooked on meth by 18.","container-title":"NZ Herald","language":"en_NZ","note":"section: New Zealand","title":"'Found with no heartbeat': How P almost killed me - and how I fought back","title-short":"'Found with no heartbeat'","URL":"https://www.nzherald.co.nz/nz/she-was-a-slave-to-drugs-until-the-drug-court-took-her-out-of-jail/PTDKFKT6RZA7JJW5SC7U7VROQQ/","author":[{"family":"Tan","given":"Qiuyi Tan"}],"accessed":{"date-parts":[["2023",1,28]]},"issued":{"date-parts":[["2023",1,28]]}},"label":"page","suppress-author":true}],"schema":"https://github.com/citation-style-language/schema/raw/master/csl-citation.json"} </w:instrText>
      </w:r>
      <w:r>
        <w:fldChar w:fldCharType="separate"/>
      </w:r>
      <w:r w:rsidRPr="00735512">
        <w:rPr>
          <w:rFonts w:cs="Calibri"/>
        </w:rPr>
        <w:t>(2023)</w:t>
      </w:r>
      <w:r>
        <w:fldChar w:fldCharType="end"/>
      </w:r>
      <w:r>
        <w:t xml:space="preserve"> for a description of how recovery from substance abuse is for life.</w:t>
      </w:r>
    </w:p>
  </w:footnote>
  <w:footnote w:id="211">
    <w:p w14:paraId="47A5FECE" w14:textId="69592D55" w:rsidR="00DD77B1" w:rsidRDefault="00DD77B1">
      <w:pPr>
        <w:pStyle w:val="FootnoteText"/>
      </w:pPr>
      <w:r w:rsidRPr="009006D7">
        <w:rPr>
          <w:rStyle w:val="FootnoteReference"/>
        </w:rPr>
        <w:footnoteRef/>
      </w:r>
      <w:r>
        <w:t xml:space="preserve"> </w:t>
      </w:r>
      <w:r>
        <w:tab/>
        <w:t xml:space="preserve">Under the Child Poverty Reduction Act, for example, </w:t>
      </w:r>
      <w:r w:rsidR="00DE0BB5">
        <w:t>the Government Statistician</w:t>
      </w:r>
      <w:r w:rsidR="002540C9" w:rsidRPr="002540C9">
        <w:t xml:space="preserve"> decides how </w:t>
      </w:r>
      <w:r w:rsidR="003C3158">
        <w:t xml:space="preserve">required </w:t>
      </w:r>
      <w:r w:rsidR="002540C9" w:rsidRPr="002540C9">
        <w:t xml:space="preserve">statistics </w:t>
      </w:r>
      <w:r w:rsidR="002540C9">
        <w:t xml:space="preserve">are </w:t>
      </w:r>
      <w:r w:rsidR="002540C9" w:rsidRPr="002540C9">
        <w:t>to be produced</w:t>
      </w:r>
      <w:r w:rsidR="002540C9">
        <w:t xml:space="preserve">. The Crown accounts </w:t>
      </w:r>
      <w:r w:rsidR="002C46F8">
        <w:t>issued under the Public Finance Act are prepared using externally set accounting standards.</w:t>
      </w:r>
      <w:r w:rsidR="00FC3B27">
        <w:t xml:space="preserve"> </w:t>
      </w:r>
    </w:p>
  </w:footnote>
  <w:footnote w:id="212">
    <w:p w14:paraId="0FF356AA" w14:textId="09F4CF83" w:rsidR="00E9707C" w:rsidRDefault="00E9707C">
      <w:pPr>
        <w:pStyle w:val="FootnoteText"/>
      </w:pPr>
      <w:r w:rsidRPr="009006D7">
        <w:rPr>
          <w:rStyle w:val="FootnoteReference"/>
        </w:rPr>
        <w:footnoteRef/>
      </w:r>
      <w:r>
        <w:t xml:space="preserve"> </w:t>
      </w:r>
      <w:r>
        <w:tab/>
        <w:t>We use the term ‘department’ in</w:t>
      </w:r>
      <w:r w:rsidR="00064079">
        <w:t xml:space="preserve"> </w:t>
      </w:r>
      <w:r>
        <w:t xml:space="preserve">a generic sense. There are </w:t>
      </w:r>
      <w:proofErr w:type="gramStart"/>
      <w:r>
        <w:t>a number of</w:t>
      </w:r>
      <w:proofErr w:type="gramEnd"/>
      <w:r>
        <w:t xml:space="preserve"> </w:t>
      </w:r>
      <w:r w:rsidR="00064079">
        <w:t xml:space="preserve">possible structures under the Public Service Act that could be used. </w:t>
      </w:r>
    </w:p>
  </w:footnote>
  <w:footnote w:id="213">
    <w:p w14:paraId="39EE94C2" w14:textId="0FD38059" w:rsidR="005A55A2" w:rsidRDefault="005A55A2">
      <w:pPr>
        <w:pStyle w:val="FootnoteText"/>
      </w:pPr>
      <w:r w:rsidRPr="009006D7">
        <w:rPr>
          <w:rStyle w:val="FootnoteReference"/>
        </w:rPr>
        <w:footnoteRef/>
      </w:r>
      <w:r>
        <w:t xml:space="preserve"> </w:t>
      </w:r>
      <w:r>
        <w:tab/>
        <w:t>Some of these roles are currently undertaken in other department and agencies, like MSD and the Social Wellbeing Agency. These</w:t>
      </w:r>
      <w:r w:rsidR="002D0091">
        <w:t xml:space="preserve"> roles</w:t>
      </w:r>
      <w:r>
        <w:t xml:space="preserve"> could be transferred to the new department.</w:t>
      </w:r>
    </w:p>
  </w:footnote>
  <w:footnote w:id="214">
    <w:p w14:paraId="317C69FD" w14:textId="395C18C0" w:rsidR="00045F83" w:rsidRDefault="00045F83">
      <w:pPr>
        <w:pStyle w:val="FootnoteText"/>
      </w:pPr>
      <w:r w:rsidRPr="009006D7">
        <w:rPr>
          <w:rStyle w:val="FootnoteReference"/>
        </w:rPr>
        <w:footnoteRef/>
      </w:r>
      <w:r>
        <w:t xml:space="preserve"> </w:t>
      </w:r>
      <w:r>
        <w:tab/>
        <w:t xml:space="preserve">MSD is currently hosting </w:t>
      </w:r>
      <w:r w:rsidR="00323CAB">
        <w:t xml:space="preserve">a social sector commissioning initiative that is working on developing a series of relational contracts between departments and NGOs. </w:t>
      </w:r>
      <w:r w:rsidR="00D07228">
        <w:t xml:space="preserve">While this work has some common elements to what we propose, our idea is that </w:t>
      </w:r>
      <w:r w:rsidR="00B9242D">
        <w:t xml:space="preserve">PBIs should have greater authority in deciding what they do on a </w:t>
      </w:r>
      <w:r w:rsidR="00DF63ED">
        <w:t>whānau-by-whānau</w:t>
      </w:r>
      <w:r w:rsidR="00347BB9">
        <w:t xml:space="preserve"> basis</w:t>
      </w:r>
      <w:r w:rsidR="00873878">
        <w:t xml:space="preserve">. See Ministry of Social Development  </w:t>
      </w:r>
      <w:r w:rsidR="009B0EC4">
        <w:fldChar w:fldCharType="begin"/>
      </w:r>
      <w:r w:rsidR="00CB784E">
        <w:instrText xml:space="preserve"> ADDIN ZOTERO_ITEM CSL_CITATION {"citationID":"tT1htg0r","properties":{"formattedCitation":"(2022c; 2022d)","plainCitation":"(2022c; 2022d)","noteIndex":213},"citationItems":[{"id":18715,"uris":["http://zotero.org/groups/4801058/items/ETRLA3FU"],"itemData":{"id":18715,"type":"report","event-place":"Wellington","publisher":"Ministry of Social Development","publisher-place":"Wellington","title":"Social Sector Commissioning 2022–2028 Action Plan","author":[{"family":"Ministry of Social Development","given":""}],"issued":{"date-parts":[["2022"]]}},"label":"page","suppress-author":true},{"id":18714,"uris":["http://zotero.org/groups/4801058/items/THH5KL5D"],"itemData":{"id":18714,"type":"report","event-place":"Wellington","publisher":"Ministry of Social Development","publisher-place":"Wellington","title":"Social Sector Commissioning Progress, Principles  and Next Steps","URL":"https://www.msd.govt.nz/documents/about-msd-and-our-work/publications-resources/planning-strategy/social-sector-commissioning/msd-social-sector-commissioning.pdf","author":[{"family":"Ministry of Social Development","given":""}],"issued":{"date-parts":[["2022"]]}},"label":"page","suppress-author":true}],"schema":"https://github.com/citation-style-language/schema/raw/master/csl-citation.json"} </w:instrText>
      </w:r>
      <w:r w:rsidR="009B0EC4">
        <w:fldChar w:fldCharType="separate"/>
      </w:r>
      <w:r w:rsidR="002C3CA6" w:rsidRPr="002C3CA6">
        <w:rPr>
          <w:rFonts w:cs="Calibri"/>
        </w:rPr>
        <w:t>(2022c; 2022d)</w:t>
      </w:r>
      <w:r w:rsidR="009B0EC4">
        <w:fldChar w:fldCharType="end"/>
      </w:r>
    </w:p>
  </w:footnote>
  <w:footnote w:id="215">
    <w:p w14:paraId="7B32E690" w14:textId="4A78B554" w:rsidR="00BA44C1" w:rsidRDefault="00BA44C1">
      <w:pPr>
        <w:pStyle w:val="FootnoteText"/>
      </w:pPr>
      <w:r w:rsidRPr="009006D7">
        <w:rPr>
          <w:rStyle w:val="FootnoteReference"/>
        </w:rPr>
        <w:footnoteRef/>
      </w:r>
      <w:r>
        <w:t xml:space="preserve"> </w:t>
      </w:r>
      <w:r>
        <w:tab/>
        <w:t>The Productivity Commission</w:t>
      </w:r>
      <w:r w:rsidR="00AF5AD9" w:rsidRPr="00AF5AD9">
        <w:t xml:space="preserve"> </w:t>
      </w:r>
      <w:r w:rsidR="00AF5AD9">
        <w:t xml:space="preserve">said that it saw merit in </w:t>
      </w:r>
      <w:r w:rsidR="00886055">
        <w:t xml:space="preserve">creating </w:t>
      </w:r>
      <w:r w:rsidR="002D0091">
        <w:t>“</w:t>
      </w:r>
      <w:r w:rsidR="00AF5AD9" w:rsidRPr="00AF5AD9">
        <w:t>a functional leadership role</w:t>
      </w:r>
      <w:r w:rsidR="002D0091">
        <w:t>”</w:t>
      </w:r>
      <w:r w:rsidR="00AF5AD9" w:rsidRPr="00AF5AD9">
        <w:t xml:space="preserve"> for social sector commissioning</w:t>
      </w:r>
      <w:r w:rsidR="00870A0F">
        <w:t xml:space="preserve"> to drive </w:t>
      </w:r>
      <w:r w:rsidR="005739BB">
        <w:t>best practice</w:t>
      </w:r>
      <w:r w:rsidR="00870A0F">
        <w:t xml:space="preserve">. It also </w:t>
      </w:r>
      <w:r w:rsidR="0054375C">
        <w:t>suggest</w:t>
      </w:r>
      <w:r w:rsidR="002D0091">
        <w:t>ed</w:t>
      </w:r>
      <w:r w:rsidR="00870A0F">
        <w:t xml:space="preserve"> </w:t>
      </w:r>
      <w:r w:rsidR="0054375C">
        <w:t xml:space="preserve">a </w:t>
      </w:r>
      <w:r w:rsidR="00AF5AD9" w:rsidRPr="00AF5AD9">
        <w:t>de-coupl</w:t>
      </w:r>
      <w:r w:rsidR="0054375C">
        <w:t xml:space="preserve">ing of </w:t>
      </w:r>
      <w:r w:rsidR="00AF5AD9" w:rsidRPr="00AF5AD9">
        <w:t>procurement and commissioning</w:t>
      </w:r>
      <w:r w:rsidR="002D0091" w:rsidRPr="002D0091">
        <w:t xml:space="preserve"> </w:t>
      </w:r>
      <w:r w:rsidR="002D0091">
        <w:fldChar w:fldCharType="begin"/>
      </w:r>
      <w:r w:rsidR="00E00B95">
        <w:instrText xml:space="preserve"> ADDIN ZOTERO_ITEM CSL_CITATION {"citationID":"aMSF6Ura","properties":{"formattedCitation":"(New Zealand Productivity Commission 2022a, 91)","plainCitation":"(New Zealand Productivity Commission 2022a, 91)","noteIndex":214},"citationItems":[{"id":16621,"uris":["http://zotero.org/groups/4801058/items/WYNPCXJD"],"itemData":{"id":16621,"type":"report","event-place":"Wellington","publisher":"New Zealand Productivity Commission","publisher-place":"Wellington","title":"Fair Chance for All Interim Report - Breaking the Cycle of Persistent Disadvantage","author":[{"family":"New Zealand Productivity Commission","given":""}],"issued":{"date-parts":[["2022"]]}},"locator":"91","label":"page"}],"schema":"https://github.com/citation-style-language/schema/raw/master/csl-citation.json"} </w:instrText>
      </w:r>
      <w:r w:rsidR="002D0091">
        <w:fldChar w:fldCharType="separate"/>
      </w:r>
      <w:r w:rsidR="002D0091" w:rsidRPr="0054375C">
        <w:rPr>
          <w:rFonts w:cs="Calibri"/>
        </w:rPr>
        <w:t>(New Zealand Productivity Commission 2022a, 91)</w:t>
      </w:r>
      <w:r w:rsidR="002D0091">
        <w:fldChar w:fldCharType="end"/>
      </w:r>
      <w:r w:rsidR="002D0091" w:rsidRPr="00AF5AD9">
        <w:t>.</w:t>
      </w:r>
      <w:r w:rsidR="002D0091">
        <w:t xml:space="preserve"> “</w:t>
      </w:r>
      <w:r w:rsidR="00AF5AD9" w:rsidRPr="00AF5AD9">
        <w:t>The former is rules</w:t>
      </w:r>
      <w:r w:rsidR="00870A0F">
        <w:t xml:space="preserve"> </w:t>
      </w:r>
      <w:r w:rsidR="00AF5AD9" w:rsidRPr="00AF5AD9">
        <w:t>based and buys things, the second is principles and relationships-based and commissions long-term services, frequently involving elements of devolution</w:t>
      </w:r>
      <w:r w:rsidR="002D0091">
        <w:t>” (ibid.).</w:t>
      </w:r>
      <w:r w:rsidR="0054375C">
        <w:t xml:space="preserve"> </w:t>
      </w:r>
    </w:p>
  </w:footnote>
  <w:footnote w:id="216">
    <w:p w14:paraId="37D1E37A" w14:textId="4E11E0AE" w:rsidR="00640517" w:rsidRDefault="00640517">
      <w:pPr>
        <w:pStyle w:val="FootnoteText"/>
      </w:pPr>
      <w:r w:rsidRPr="009006D7">
        <w:rPr>
          <w:rStyle w:val="FootnoteReference"/>
        </w:rPr>
        <w:footnoteRef/>
      </w:r>
      <w:r>
        <w:t xml:space="preserve"> </w:t>
      </w:r>
      <w:r>
        <w:tab/>
      </w:r>
      <w:r w:rsidRPr="00640517">
        <w:t>Adding this second set of accountabilities does not mean that people experiencing persistent disadvantage should be able to direct front-line staff as if they were their employer.</w:t>
      </w:r>
    </w:p>
  </w:footnote>
  <w:footnote w:id="217">
    <w:p w14:paraId="00B7B7DE" w14:textId="104CDB04" w:rsidR="00A04C87" w:rsidRDefault="00A04C87">
      <w:pPr>
        <w:pStyle w:val="FootnoteText"/>
      </w:pPr>
      <w:r w:rsidRPr="009006D7">
        <w:rPr>
          <w:rStyle w:val="FootnoteReference"/>
        </w:rPr>
        <w:footnoteRef/>
      </w:r>
      <w:r>
        <w:t xml:space="preserve"> </w:t>
      </w:r>
      <w:r>
        <w:tab/>
        <w:t>For example, agencies preparing contract</w:t>
      </w:r>
      <w:r w:rsidR="00EE26F3">
        <w:t>s</w:t>
      </w:r>
      <w:r>
        <w:t xml:space="preserve"> with NGOs should </w:t>
      </w:r>
      <w:r w:rsidR="00590540">
        <w:t xml:space="preserve">inquire about the nature of the organisations, its legal status and what other regulatory or </w:t>
      </w:r>
      <w:r w:rsidR="00E01611">
        <w:t>accountability</w:t>
      </w:r>
      <w:r w:rsidR="00590540">
        <w:t xml:space="preserve"> </w:t>
      </w:r>
      <w:r w:rsidR="00E01611">
        <w:t>arrangements apply to it. The terms of any contract should not require a</w:t>
      </w:r>
      <w:r w:rsidR="0054141C">
        <w:t>n</w:t>
      </w:r>
      <w:r w:rsidR="00E01611">
        <w:t xml:space="preserve"> NGO to provide information to the agency that it already provides to another regulator. Agencies should be responsible for </w:t>
      </w:r>
      <w:r w:rsidR="00E64549">
        <w:t>accessing this information</w:t>
      </w:r>
      <w:r w:rsidR="00E01611">
        <w:t xml:space="preserve"> </w:t>
      </w:r>
      <w:r w:rsidR="00E64549">
        <w:t xml:space="preserve">directly themselves from the appropriate sources. Charities, for example, are required to submit detailed information about their activities on the Charities register, which is made public on </w:t>
      </w:r>
      <w:r w:rsidR="00AC7B33">
        <w:t>Charities Service</w:t>
      </w:r>
      <w:r w:rsidR="006658EB">
        <w:t>’</w:t>
      </w:r>
      <w:r w:rsidR="00AC7B33">
        <w:t xml:space="preserve">s </w:t>
      </w:r>
      <w:r w:rsidR="006658EB">
        <w:t xml:space="preserve">website. NZIER’s page is here: </w:t>
      </w:r>
      <w:r w:rsidR="006658EB" w:rsidRPr="006658EB">
        <w:t>https://register.charities.govt.nz/Charity/CC33555</w:t>
      </w:r>
      <w:r w:rsidR="006658EB">
        <w:t>.</w:t>
      </w:r>
    </w:p>
  </w:footnote>
  <w:footnote w:id="218">
    <w:p w14:paraId="2FF16EF0" w14:textId="77777777" w:rsidR="00605F35" w:rsidRPr="00F0646E" w:rsidRDefault="00605F35" w:rsidP="00605F35">
      <w:pPr>
        <w:pStyle w:val="FootnoteText"/>
      </w:pPr>
      <w:r w:rsidRPr="009006D7">
        <w:rPr>
          <w:rStyle w:val="FootnoteReference"/>
        </w:rPr>
        <w:footnoteRef/>
      </w:r>
      <w:r w:rsidRPr="00F0646E">
        <w:t xml:space="preserve"> </w:t>
      </w:r>
      <w:r w:rsidRPr="00F0646E">
        <w:tab/>
        <w:t xml:space="preserve">Amartya Sen was born in India. Much of his work on the capability approach was completed while he was at Oxford, Cambridge, </w:t>
      </w:r>
      <w:proofErr w:type="gramStart"/>
      <w:r w:rsidRPr="00F0646E">
        <w:t>Cornell</w:t>
      </w:r>
      <w:proofErr w:type="gramEnd"/>
      <w:r w:rsidRPr="00F0646E">
        <w:t xml:space="preserve"> and Harvard universities. The other pioneer of the capability approach is the American philosopher, Martha Nussbaum.</w:t>
      </w:r>
    </w:p>
  </w:footnote>
  <w:footnote w:id="219">
    <w:p w14:paraId="5C39B14C" w14:textId="2E999023" w:rsidR="00605F35" w:rsidRPr="00F0646E" w:rsidRDefault="00605F35" w:rsidP="00605F35">
      <w:pPr>
        <w:pStyle w:val="FootnoteText"/>
      </w:pPr>
      <w:r w:rsidRPr="009006D7">
        <w:rPr>
          <w:rStyle w:val="FootnoteReference"/>
        </w:rPr>
        <w:footnoteRef/>
      </w:r>
      <w:r w:rsidRPr="00F0646E">
        <w:t xml:space="preserve"> </w:t>
      </w:r>
      <w:r w:rsidRPr="00F0646E">
        <w:tab/>
        <w:t xml:space="preserve">Martha Nusbaum, in contrast, has produced a list of the capabilities that she thinks everyone neds if they are to be regarded as truly living </w:t>
      </w:r>
      <w:r w:rsidR="00F17DB9" w:rsidRPr="00F0646E">
        <w:t>well.</w:t>
      </w:r>
      <w:r w:rsidRPr="00F0646E">
        <w:t xml:space="preserve"> </w:t>
      </w:r>
    </w:p>
  </w:footnote>
  <w:footnote w:id="220">
    <w:p w14:paraId="1C970815" w14:textId="2A05C51A" w:rsidR="00605F35" w:rsidRPr="00F0646E" w:rsidRDefault="00605F35" w:rsidP="00605F35">
      <w:pPr>
        <w:pStyle w:val="USBodyText"/>
        <w:spacing w:before="120" w:line="240" w:lineRule="auto"/>
        <w:ind w:left="426" w:hanging="284"/>
      </w:pPr>
      <w:r w:rsidRPr="009006D7">
        <w:rPr>
          <w:rStyle w:val="FootnoteReference"/>
        </w:rPr>
        <w:footnoteRef/>
      </w:r>
      <w:r w:rsidRPr="00F0646E">
        <w:tab/>
      </w:r>
      <w:r w:rsidRPr="00F0646E">
        <w:rPr>
          <w:rStyle w:val="FootnoteTextChar"/>
        </w:rPr>
        <w:t xml:space="preserve">Joseph </w:t>
      </w:r>
      <w:proofErr w:type="spellStart"/>
      <w:r w:rsidRPr="00F0646E">
        <w:rPr>
          <w:rStyle w:val="FootnoteTextChar"/>
        </w:rPr>
        <w:t>Kalt</w:t>
      </w:r>
      <w:proofErr w:type="spellEnd"/>
      <w:r w:rsidRPr="00F0646E">
        <w:rPr>
          <w:rStyle w:val="FootnoteTextChar"/>
        </w:rPr>
        <w:t xml:space="preserve"> and William Singer note, in the context of the treaties concluded by indigenous people in the United States, that tribal sovereignty over their lands exists within a federal system of multiple over-lapping sovereign jurisdictions. There, the federal government, states, municipal governments, and tribes can all be sovereign at the same time over the same territory, with the Constitution and the courts deciding the boundaries </w:t>
      </w:r>
      <w:r w:rsidRPr="00F0646E">
        <w:rPr>
          <w:rStyle w:val="FootnoteTextChar"/>
        </w:rPr>
        <w:fldChar w:fldCharType="begin"/>
      </w:r>
      <w:r w:rsidR="00E00B95">
        <w:rPr>
          <w:rStyle w:val="FootnoteTextChar"/>
        </w:rPr>
        <w:instrText xml:space="preserve"> ADDIN ZOTERO_ITEM CSL_CITATION {"citationID":"Y4VmLXzh","properties":{"formattedCitation":"(Kalt and Singer 2004, 10)","plainCitation":"(Kalt and Singer 2004, 10)","noteIndex":219},"citationItems":[{"id":13414,"uris":["http://zotero.org/groups/4544915/items/GCHW2HL3"],"itemData":{"id":13414,"type":"report","event-place":"Cambridge, Mass.","genre":"Faculty Research Working Papers Series","number":"RWP01-016","publisher":"John F. Kennedy School of Government, Harvard University","publisher-place":"Cambridge, Mass.","title":"Myths And Realities of Tribal Sovereignty: The Law And Economics of Indian Self-Rule","author":[{"family":"Kalt","given":"Joseph"},{"family":"Singer","given":"William"}],"issued":{"date-parts":[["2004"]]}},"locator":"10"}],"schema":"https://github.com/citation-style-language/schema/raw/master/csl-citation.json"} </w:instrText>
      </w:r>
      <w:r w:rsidRPr="00F0646E">
        <w:rPr>
          <w:rStyle w:val="FootnoteTextChar"/>
        </w:rPr>
        <w:fldChar w:fldCharType="separate"/>
      </w:r>
      <w:r w:rsidRPr="00F0646E">
        <w:rPr>
          <w:rStyle w:val="FootnoteTextChar"/>
        </w:rPr>
        <w:t>(</w:t>
      </w:r>
      <w:proofErr w:type="spellStart"/>
      <w:r w:rsidRPr="00F0646E">
        <w:rPr>
          <w:rStyle w:val="FootnoteTextChar"/>
        </w:rPr>
        <w:t>Kalt</w:t>
      </w:r>
      <w:proofErr w:type="spellEnd"/>
      <w:r w:rsidRPr="00F0646E">
        <w:rPr>
          <w:rStyle w:val="FootnoteTextChar"/>
        </w:rPr>
        <w:t xml:space="preserve"> and Singer 2004, 10)</w:t>
      </w:r>
      <w:r w:rsidRPr="00F0646E">
        <w:rPr>
          <w:rStyle w:val="FootnoteTextChar"/>
        </w:rPr>
        <w:fldChar w:fldCharType="end"/>
      </w:r>
      <w:r w:rsidRPr="00F0646E">
        <w:rPr>
          <w:rStyle w:val="FootnoteTextChar"/>
        </w:rPr>
        <w:t>. In contrast, New Zealanders are not accustomed to the idea of multiple sovereign powers or the possibility that they can coexist. This is an area for further research and discussion.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2C4DB" w14:textId="1A826EA6" w:rsidR="00DA670E" w:rsidRDefault="00DA670E">
    <w:pPr>
      <w:pStyle w:val="Header"/>
    </w:pPr>
  </w:p>
  <w:p w14:paraId="0446B0A5" w14:textId="77777777" w:rsidR="00DA670E" w:rsidRDefault="00DA67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2353" w14:textId="3D29E253" w:rsidR="007C21B3" w:rsidRDefault="007C21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07B" w14:textId="16294173" w:rsidR="00DA670E" w:rsidRPr="001E757F" w:rsidRDefault="00DA670E" w:rsidP="001E75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63E2F" w14:textId="18DBA3DC" w:rsidR="007C21B3" w:rsidRDefault="007C21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042F5" w14:textId="41B03312" w:rsidR="007C21B3" w:rsidRDefault="007C21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514B8" w14:textId="248B8821" w:rsidR="007C21B3" w:rsidRDefault="007C21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04220" w14:textId="0ADC54DC" w:rsidR="007C21B3" w:rsidRDefault="007C2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05DB"/>
    <w:multiLevelType w:val="multilevel"/>
    <w:tmpl w:val="EF6813DC"/>
    <w:lvl w:ilvl="0">
      <w:start w:val="1"/>
      <w:numFmt w:val="decimal"/>
      <w:pStyle w:val="TSNumber1"/>
      <w:lvlText w:val="%1"/>
      <w:lvlJc w:val="left"/>
      <w:pPr>
        <w:tabs>
          <w:tab w:val="num" w:pos="215"/>
        </w:tabs>
        <w:ind w:left="215" w:hanging="215"/>
      </w:pPr>
      <w:rPr>
        <w:rFonts w:hint="default"/>
      </w:rPr>
    </w:lvl>
    <w:lvl w:ilvl="1">
      <w:start w:val="1"/>
      <w:numFmt w:val="lowerLetter"/>
      <w:pStyle w:val="TSNumbera"/>
      <w:lvlText w:val="%2"/>
      <w:lvlJc w:val="left"/>
      <w:pPr>
        <w:tabs>
          <w:tab w:val="num" w:pos="425"/>
        </w:tabs>
        <w:ind w:left="425" w:hanging="210"/>
      </w:pPr>
      <w:rPr>
        <w:rFonts w:hint="default"/>
      </w:rPr>
    </w:lvl>
    <w:lvl w:ilvl="2">
      <w:start w:val="1"/>
      <w:numFmt w:val="lowerRoman"/>
      <w:pStyle w:val="TSNumberi"/>
      <w:lvlText w:val="%3"/>
      <w:lvlJc w:val="left"/>
      <w:pPr>
        <w:tabs>
          <w:tab w:val="num" w:pos="641"/>
        </w:tabs>
        <w:ind w:left="641" w:hanging="216"/>
      </w:pPr>
      <w:rPr>
        <w:rFonts w:hint="default"/>
      </w:rPr>
    </w:lvl>
    <w:lvl w:ilvl="3">
      <w:start w:val="1"/>
      <w:numFmt w:val="none"/>
      <w:suff w:val="nothing"/>
      <w:lvlText w:val=""/>
      <w:lvlJc w:val="left"/>
      <w:pPr>
        <w:ind w:left="641" w:firstLine="0"/>
      </w:pPr>
      <w:rPr>
        <w:rFonts w:hint="default"/>
      </w:rPr>
    </w:lvl>
    <w:lvl w:ilvl="4">
      <w:start w:val="1"/>
      <w:numFmt w:val="none"/>
      <w:suff w:val="nothing"/>
      <w:lvlText w:val=""/>
      <w:lvlJc w:val="left"/>
      <w:pPr>
        <w:ind w:left="641"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9."/>
      <w:lvlJc w:val="left"/>
      <w:pPr>
        <w:ind w:left="-32767" w:firstLine="0"/>
      </w:pPr>
      <w:rPr>
        <w:rFonts w:hint="default"/>
      </w:rPr>
    </w:lvl>
  </w:abstractNum>
  <w:abstractNum w:abstractNumId="1" w15:restartNumberingAfterBreak="0">
    <w:nsid w:val="1F7F10F8"/>
    <w:multiLevelType w:val="multilevel"/>
    <w:tmpl w:val="D0C840B2"/>
    <w:lvl w:ilvl="0">
      <w:start w:val="1"/>
      <w:numFmt w:val="decimal"/>
      <w:pStyle w:val="USNotes"/>
      <w:lvlText w:val="%1"/>
      <w:lvlJc w:val="left"/>
      <w:pPr>
        <w:tabs>
          <w:tab w:val="num" w:pos="1066"/>
        </w:tabs>
        <w:ind w:left="1066" w:hanging="215"/>
      </w:pPr>
      <w:rPr>
        <w:rFonts w:hint="default"/>
      </w:rPr>
    </w:lvl>
    <w:lvl w:ilvl="1">
      <w:start w:val="1"/>
      <w:numFmt w:val="none"/>
      <w:suff w:val="nothing"/>
      <w:lvlText w:val=""/>
      <w:lvlJc w:val="left"/>
      <w:pPr>
        <w:ind w:left="851" w:firstLine="0"/>
      </w:pPr>
      <w:rPr>
        <w:rFonts w:hint="default"/>
      </w:rPr>
    </w:lvl>
    <w:lvl w:ilvl="2">
      <w:start w:val="1"/>
      <w:numFmt w:val="none"/>
      <w:suff w:val="nothing"/>
      <w:lvlText w:val=""/>
      <w:lvlJc w:val="left"/>
      <w:pPr>
        <w:ind w:left="851" w:firstLine="0"/>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 w15:restartNumberingAfterBreak="0">
    <w:nsid w:val="23D153BD"/>
    <w:multiLevelType w:val="multilevel"/>
    <w:tmpl w:val="1409001D"/>
    <w:styleLink w:val="Box"/>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4273397"/>
    <w:multiLevelType w:val="hybridMultilevel"/>
    <w:tmpl w:val="E8A46AB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3770A5"/>
    <w:multiLevelType w:val="hybridMultilevel"/>
    <w:tmpl w:val="8C6C75D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4EF0445"/>
    <w:multiLevelType w:val="hybridMultilevel"/>
    <w:tmpl w:val="5014663C"/>
    <w:lvl w:ilvl="0" w:tplc="14090001">
      <w:start w:val="1"/>
      <w:numFmt w:val="bullet"/>
      <w:lvlText w:val=""/>
      <w:lvlJc w:val="left"/>
      <w:pPr>
        <w:ind w:left="1210" w:hanging="360"/>
      </w:pPr>
      <w:rPr>
        <w:rFonts w:ascii="Symbol" w:hAnsi="Symbol" w:hint="default"/>
      </w:rPr>
    </w:lvl>
    <w:lvl w:ilvl="1" w:tplc="FFFFFFFF" w:tentative="1">
      <w:start w:val="1"/>
      <w:numFmt w:val="bullet"/>
      <w:lvlText w:val="o"/>
      <w:lvlJc w:val="left"/>
      <w:pPr>
        <w:ind w:left="1930" w:hanging="360"/>
      </w:pPr>
      <w:rPr>
        <w:rFonts w:ascii="Courier New" w:hAnsi="Courier New" w:cs="Courier New" w:hint="default"/>
      </w:rPr>
    </w:lvl>
    <w:lvl w:ilvl="2" w:tplc="FFFFFFFF" w:tentative="1">
      <w:start w:val="1"/>
      <w:numFmt w:val="bullet"/>
      <w:lvlText w:val=""/>
      <w:lvlJc w:val="left"/>
      <w:pPr>
        <w:ind w:left="2650" w:hanging="360"/>
      </w:pPr>
      <w:rPr>
        <w:rFonts w:ascii="Wingdings" w:hAnsi="Wingdings" w:hint="default"/>
      </w:rPr>
    </w:lvl>
    <w:lvl w:ilvl="3" w:tplc="FFFFFFFF" w:tentative="1">
      <w:start w:val="1"/>
      <w:numFmt w:val="bullet"/>
      <w:lvlText w:val=""/>
      <w:lvlJc w:val="left"/>
      <w:pPr>
        <w:ind w:left="3370" w:hanging="360"/>
      </w:pPr>
      <w:rPr>
        <w:rFonts w:ascii="Symbol" w:hAnsi="Symbol" w:hint="default"/>
      </w:rPr>
    </w:lvl>
    <w:lvl w:ilvl="4" w:tplc="FFFFFFFF" w:tentative="1">
      <w:start w:val="1"/>
      <w:numFmt w:val="bullet"/>
      <w:lvlText w:val="o"/>
      <w:lvlJc w:val="left"/>
      <w:pPr>
        <w:ind w:left="4090" w:hanging="360"/>
      </w:pPr>
      <w:rPr>
        <w:rFonts w:ascii="Courier New" w:hAnsi="Courier New" w:cs="Courier New" w:hint="default"/>
      </w:rPr>
    </w:lvl>
    <w:lvl w:ilvl="5" w:tplc="FFFFFFFF" w:tentative="1">
      <w:start w:val="1"/>
      <w:numFmt w:val="bullet"/>
      <w:lvlText w:val=""/>
      <w:lvlJc w:val="left"/>
      <w:pPr>
        <w:ind w:left="4810" w:hanging="360"/>
      </w:pPr>
      <w:rPr>
        <w:rFonts w:ascii="Wingdings" w:hAnsi="Wingdings" w:hint="default"/>
      </w:rPr>
    </w:lvl>
    <w:lvl w:ilvl="6" w:tplc="FFFFFFFF" w:tentative="1">
      <w:start w:val="1"/>
      <w:numFmt w:val="bullet"/>
      <w:lvlText w:val=""/>
      <w:lvlJc w:val="left"/>
      <w:pPr>
        <w:ind w:left="5530" w:hanging="360"/>
      </w:pPr>
      <w:rPr>
        <w:rFonts w:ascii="Symbol" w:hAnsi="Symbol" w:hint="default"/>
      </w:rPr>
    </w:lvl>
    <w:lvl w:ilvl="7" w:tplc="FFFFFFFF" w:tentative="1">
      <w:start w:val="1"/>
      <w:numFmt w:val="bullet"/>
      <w:lvlText w:val="o"/>
      <w:lvlJc w:val="left"/>
      <w:pPr>
        <w:ind w:left="6250" w:hanging="360"/>
      </w:pPr>
      <w:rPr>
        <w:rFonts w:ascii="Courier New" w:hAnsi="Courier New" w:cs="Courier New" w:hint="default"/>
      </w:rPr>
    </w:lvl>
    <w:lvl w:ilvl="8" w:tplc="FFFFFFFF" w:tentative="1">
      <w:start w:val="1"/>
      <w:numFmt w:val="bullet"/>
      <w:lvlText w:val=""/>
      <w:lvlJc w:val="left"/>
      <w:pPr>
        <w:ind w:left="6970" w:hanging="360"/>
      </w:pPr>
      <w:rPr>
        <w:rFonts w:ascii="Wingdings" w:hAnsi="Wingdings" w:hint="default"/>
      </w:rPr>
    </w:lvl>
  </w:abstractNum>
  <w:abstractNum w:abstractNumId="6" w15:restartNumberingAfterBreak="0">
    <w:nsid w:val="37DD58F0"/>
    <w:multiLevelType w:val="multilevel"/>
    <w:tmpl w:val="EC9EEFA8"/>
    <w:lvl w:ilvl="0">
      <w:start w:val="1"/>
      <w:numFmt w:val="decimal"/>
      <w:lvlText w:val="%1."/>
      <w:lvlJc w:val="left"/>
      <w:pPr>
        <w:tabs>
          <w:tab w:val="num" w:pos="1235"/>
        </w:tabs>
        <w:ind w:left="1235" w:hanging="425"/>
      </w:pPr>
      <w:rPr>
        <w:rFonts w:hint="default"/>
        <w:color w:val="0094C5"/>
        <w:u w:color="0094C5"/>
      </w:rPr>
    </w:lvl>
    <w:lvl w:ilvl="1">
      <w:start w:val="1"/>
      <w:numFmt w:val="bullet"/>
      <w:lvlText w:val="−"/>
      <w:lvlJc w:val="left"/>
      <w:pPr>
        <w:tabs>
          <w:tab w:val="num" w:pos="1701"/>
        </w:tabs>
        <w:ind w:left="1701" w:hanging="425"/>
      </w:pPr>
      <w:rPr>
        <w:rFonts w:ascii="Arial" w:hAnsi="Arial" w:hint="default"/>
      </w:rPr>
    </w:lvl>
    <w:lvl w:ilvl="2">
      <w:start w:val="1"/>
      <w:numFmt w:val="bullet"/>
      <w:lvlText w:val="−"/>
      <w:lvlJc w:val="left"/>
      <w:pPr>
        <w:tabs>
          <w:tab w:val="num" w:pos="2126"/>
        </w:tabs>
        <w:ind w:left="2126" w:hanging="425"/>
      </w:pPr>
      <w:rPr>
        <w:rFonts w:ascii="Arial" w:hAnsi="Arial"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7" w15:restartNumberingAfterBreak="0">
    <w:nsid w:val="38E6152A"/>
    <w:multiLevelType w:val="hybridMultilevel"/>
    <w:tmpl w:val="3CAADA72"/>
    <w:lvl w:ilvl="0" w:tplc="ECC266D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CCC2705"/>
    <w:multiLevelType w:val="multilevel"/>
    <w:tmpl w:val="6E484DB2"/>
    <w:lvl w:ilvl="0">
      <w:start w:val="1"/>
      <w:numFmt w:val="upperLetter"/>
      <w:pStyle w:val="ApxHeading1"/>
      <w:suff w:val="space"/>
      <w:lvlText w:val="Appendix %1"/>
      <w:lvlJc w:val="left"/>
      <w:pPr>
        <w:ind w:left="0" w:firstLine="0"/>
      </w:pPr>
      <w:rPr>
        <w:rFonts w:hint="default"/>
      </w:rPr>
    </w:lvl>
    <w:lvl w:ilvl="1">
      <w:start w:val="1"/>
      <w:numFmt w:val="decimal"/>
      <w:pStyle w:val="ApxHeading2"/>
      <w:lvlText w:val="%1.%2"/>
      <w:lvlJc w:val="left"/>
      <w:pPr>
        <w:tabs>
          <w:tab w:val="num" w:pos="851"/>
        </w:tabs>
        <w:ind w:left="851" w:hanging="851"/>
      </w:pPr>
      <w:rPr>
        <w:rFonts w:hint="default"/>
      </w:rPr>
    </w:lvl>
    <w:lvl w:ilvl="2">
      <w:start w:val="1"/>
      <w:numFmt w:val="decimal"/>
      <w:pStyle w:val="ApxHeading3"/>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41227B13"/>
    <w:multiLevelType w:val="multilevel"/>
    <w:tmpl w:val="4098597E"/>
    <w:lvl w:ilvl="0">
      <w:start w:val="1"/>
      <w:numFmt w:val="bullet"/>
      <w:pStyle w:val="TSMixedB2"/>
      <w:lvlText w:val=""/>
      <w:lvlJc w:val="left"/>
      <w:pPr>
        <w:tabs>
          <w:tab w:val="num" w:pos="425"/>
        </w:tabs>
        <w:ind w:left="425" w:hanging="210"/>
      </w:pPr>
      <w:rPr>
        <w:rFonts w:ascii="Symbol" w:hAnsi="Symbol" w:hint="default"/>
        <w:color w:val="0094C5"/>
        <w:sz w:val="16"/>
      </w:rPr>
    </w:lvl>
    <w:lvl w:ilvl="1">
      <w:start w:val="1"/>
      <w:numFmt w:val="bullet"/>
      <w:pStyle w:val="TSMixedB3"/>
      <w:lvlText w:val="-"/>
      <w:lvlJc w:val="left"/>
      <w:pPr>
        <w:tabs>
          <w:tab w:val="num" w:pos="641"/>
        </w:tabs>
        <w:ind w:left="641" w:hanging="216"/>
      </w:pPr>
      <w:rPr>
        <w:rFonts w:ascii="Courier New" w:hAnsi="Courier New" w:hint="default"/>
      </w:rPr>
    </w:lvl>
    <w:lvl w:ilvl="2">
      <w:start w:val="1"/>
      <w:numFmt w:val="none"/>
      <w:suff w:val="nothing"/>
      <w:lvlText w:val=""/>
      <w:lvlJc w:val="left"/>
      <w:pPr>
        <w:ind w:left="641" w:firstLine="0"/>
      </w:pPr>
      <w:rPr>
        <w:rFonts w:hint="default"/>
      </w:rPr>
    </w:lvl>
    <w:lvl w:ilvl="3">
      <w:start w:val="1"/>
      <w:numFmt w:val="none"/>
      <w:suff w:val="nothing"/>
      <w:lvlText w:val=""/>
      <w:lvlJc w:val="left"/>
      <w:pPr>
        <w:ind w:left="641" w:firstLine="0"/>
      </w:pPr>
      <w:rPr>
        <w:rFonts w:hint="default"/>
      </w:rPr>
    </w:lvl>
    <w:lvl w:ilvl="4">
      <w:start w:val="1"/>
      <w:numFmt w:val="none"/>
      <w:suff w:val="nothing"/>
      <w:lvlText w:val=""/>
      <w:lvlJc w:val="left"/>
      <w:pPr>
        <w:ind w:left="641" w:firstLine="0"/>
      </w:pPr>
      <w:rPr>
        <w:rFonts w:hint="default"/>
      </w:rPr>
    </w:lvl>
    <w:lvl w:ilvl="5">
      <w:start w:val="1"/>
      <w:numFmt w:val="none"/>
      <w:suff w:val="nothing"/>
      <w:lvlText w:val=""/>
      <w:lvlJc w:val="left"/>
      <w:pPr>
        <w:ind w:left="641" w:firstLine="0"/>
      </w:pPr>
      <w:rPr>
        <w:rFonts w:hint="default"/>
      </w:rPr>
    </w:lvl>
    <w:lvl w:ilvl="6">
      <w:start w:val="1"/>
      <w:numFmt w:val="none"/>
      <w:suff w:val="nothing"/>
      <w:lvlText w:val=""/>
      <w:lvlJc w:val="left"/>
      <w:pPr>
        <w:ind w:left="641" w:firstLine="0"/>
      </w:pPr>
      <w:rPr>
        <w:rFonts w:hint="default"/>
      </w:rPr>
    </w:lvl>
    <w:lvl w:ilvl="7">
      <w:start w:val="1"/>
      <w:numFmt w:val="none"/>
      <w:suff w:val="nothing"/>
      <w:lvlText w:val=""/>
      <w:lvlJc w:val="left"/>
      <w:pPr>
        <w:ind w:left="641" w:firstLine="0"/>
      </w:pPr>
      <w:rPr>
        <w:rFonts w:hint="default"/>
      </w:rPr>
    </w:lvl>
    <w:lvl w:ilvl="8">
      <w:start w:val="1"/>
      <w:numFmt w:val="none"/>
      <w:suff w:val="nothing"/>
      <w:lvlText w:val=""/>
      <w:lvlJc w:val="left"/>
      <w:pPr>
        <w:ind w:left="641" w:firstLine="0"/>
      </w:pPr>
      <w:rPr>
        <w:rFonts w:hint="default"/>
      </w:rPr>
    </w:lvl>
  </w:abstractNum>
  <w:abstractNum w:abstractNumId="10" w15:restartNumberingAfterBreak="0">
    <w:nsid w:val="557D6C2D"/>
    <w:multiLevelType w:val="multilevel"/>
    <w:tmpl w:val="34C01A80"/>
    <w:lvl w:ilvl="0">
      <w:start w:val="1"/>
      <w:numFmt w:val="bullet"/>
      <w:pStyle w:val="TSBullet1"/>
      <w:lvlText w:val=""/>
      <w:lvlJc w:val="left"/>
      <w:pPr>
        <w:tabs>
          <w:tab w:val="num" w:pos="215"/>
        </w:tabs>
        <w:ind w:left="215" w:hanging="215"/>
      </w:pPr>
      <w:rPr>
        <w:rFonts w:ascii="Symbol" w:hAnsi="Symbol" w:hint="default"/>
        <w:color w:val="0094C5"/>
      </w:rPr>
    </w:lvl>
    <w:lvl w:ilvl="1">
      <w:start w:val="1"/>
      <w:numFmt w:val="bullet"/>
      <w:pStyle w:val="TSBullet2"/>
      <w:lvlText w:val="−"/>
      <w:lvlJc w:val="left"/>
      <w:pPr>
        <w:tabs>
          <w:tab w:val="num" w:pos="425"/>
        </w:tabs>
        <w:ind w:left="425" w:hanging="210"/>
      </w:pPr>
      <w:rPr>
        <w:rFonts w:ascii="Arial" w:hAnsi="Arial" w:hint="default"/>
      </w:rPr>
    </w:lvl>
    <w:lvl w:ilvl="2">
      <w:start w:val="1"/>
      <w:numFmt w:val="bullet"/>
      <w:pStyle w:val="TSBullet3"/>
      <w:lvlText w:val="−"/>
      <w:lvlJc w:val="left"/>
      <w:pPr>
        <w:tabs>
          <w:tab w:val="num" w:pos="641"/>
        </w:tabs>
        <w:ind w:left="641" w:hanging="216"/>
      </w:pPr>
      <w:rPr>
        <w:rFonts w:ascii="Arial" w:hAnsi="Arial" w:hint="default"/>
      </w:rPr>
    </w:lvl>
    <w:lvl w:ilvl="3">
      <w:start w:val="1"/>
      <w:numFmt w:val="none"/>
      <w:suff w:val="nothing"/>
      <w:lvlText w:val=""/>
      <w:lvlJc w:val="left"/>
      <w:pPr>
        <w:ind w:left="641" w:firstLine="0"/>
      </w:pPr>
      <w:rPr>
        <w:rFonts w:hint="default"/>
      </w:rPr>
    </w:lvl>
    <w:lvl w:ilvl="4">
      <w:start w:val="1"/>
      <w:numFmt w:val="none"/>
      <w:suff w:val="nothing"/>
      <w:lvlText w:val=""/>
      <w:lvlJc w:val="left"/>
      <w:pPr>
        <w:ind w:left="641" w:firstLine="0"/>
      </w:pPr>
      <w:rPr>
        <w:rFonts w:hint="default"/>
      </w:rPr>
    </w:lvl>
    <w:lvl w:ilvl="5">
      <w:start w:val="1"/>
      <w:numFmt w:val="none"/>
      <w:suff w:val="nothing"/>
      <w:lvlText w:val=""/>
      <w:lvlJc w:val="left"/>
      <w:pPr>
        <w:ind w:left="641"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7E41EEF"/>
    <w:multiLevelType w:val="multilevel"/>
    <w:tmpl w:val="469E944C"/>
    <w:lvl w:ilvl="0">
      <w:start w:val="1"/>
      <w:numFmt w:val="bullet"/>
      <w:pStyle w:val="USMixedB2"/>
      <w:lvlText w:val=""/>
      <w:lvlJc w:val="left"/>
      <w:pPr>
        <w:tabs>
          <w:tab w:val="num" w:pos="851"/>
        </w:tabs>
        <w:ind w:left="851" w:hanging="426"/>
      </w:pPr>
      <w:rPr>
        <w:rFonts w:ascii="Symbol" w:hAnsi="Symbol" w:hint="default"/>
        <w:color w:val="auto"/>
      </w:rPr>
    </w:lvl>
    <w:lvl w:ilvl="1">
      <w:start w:val="1"/>
      <w:numFmt w:val="bullet"/>
      <w:pStyle w:val="USMixedB3"/>
      <w:lvlText w:val="−"/>
      <w:lvlJc w:val="left"/>
      <w:pPr>
        <w:tabs>
          <w:tab w:val="num" w:pos="1276"/>
        </w:tabs>
        <w:ind w:left="1276" w:hanging="425"/>
      </w:pPr>
      <w:rPr>
        <w:rFonts w:ascii="Arial" w:hAnsi="Arial" w:hint="default"/>
      </w:rPr>
    </w:lvl>
    <w:lvl w:ilvl="2">
      <w:start w:val="1"/>
      <w:numFmt w:val="none"/>
      <w:suff w:val="nothing"/>
      <w:lvlText w:val=""/>
      <w:lvlJc w:val="left"/>
      <w:pPr>
        <w:ind w:left="1701" w:firstLine="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1E011B"/>
    <w:multiLevelType w:val="multilevel"/>
    <w:tmpl w:val="B7F6E602"/>
    <w:lvl w:ilvl="0">
      <w:start w:val="1"/>
      <w:numFmt w:val="bullet"/>
      <w:pStyle w:val="USBullet1"/>
      <w:lvlText w:val=""/>
      <w:lvlJc w:val="left"/>
      <w:pPr>
        <w:tabs>
          <w:tab w:val="num" w:pos="1235"/>
        </w:tabs>
        <w:ind w:left="1235" w:hanging="425"/>
      </w:pPr>
      <w:rPr>
        <w:rFonts w:ascii="Symbol" w:hAnsi="Symbol" w:hint="default"/>
        <w:color w:val="0094C5"/>
        <w:u w:color="0094C5"/>
      </w:rPr>
    </w:lvl>
    <w:lvl w:ilvl="1">
      <w:start w:val="1"/>
      <w:numFmt w:val="bullet"/>
      <w:pStyle w:val="USBullet2"/>
      <w:lvlText w:val="−"/>
      <w:lvlJc w:val="left"/>
      <w:pPr>
        <w:tabs>
          <w:tab w:val="num" w:pos="1701"/>
        </w:tabs>
        <w:ind w:left="1701" w:hanging="425"/>
      </w:pPr>
      <w:rPr>
        <w:rFonts w:ascii="Arial" w:hAnsi="Arial" w:hint="default"/>
      </w:rPr>
    </w:lvl>
    <w:lvl w:ilvl="2">
      <w:start w:val="1"/>
      <w:numFmt w:val="bullet"/>
      <w:pStyle w:val="USBullet3"/>
      <w:lvlText w:val="−"/>
      <w:lvlJc w:val="left"/>
      <w:pPr>
        <w:tabs>
          <w:tab w:val="num" w:pos="2126"/>
        </w:tabs>
        <w:ind w:left="2126" w:hanging="425"/>
      </w:pPr>
      <w:rPr>
        <w:rFonts w:ascii="Arial" w:hAnsi="Arial"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13" w15:restartNumberingAfterBreak="0">
    <w:nsid w:val="5D844993"/>
    <w:multiLevelType w:val="multilevel"/>
    <w:tmpl w:val="B2A87BA0"/>
    <w:lvl w:ilvl="0">
      <w:start w:val="1"/>
      <w:numFmt w:val="decimal"/>
      <w:pStyle w:val="USNumber1"/>
      <w:lvlText w:val="%1"/>
      <w:lvlJc w:val="left"/>
      <w:pPr>
        <w:tabs>
          <w:tab w:val="num" w:pos="1276"/>
        </w:tabs>
        <w:ind w:left="1276" w:hanging="425"/>
      </w:pPr>
      <w:rPr>
        <w:rFonts w:hint="default"/>
      </w:rPr>
    </w:lvl>
    <w:lvl w:ilvl="1">
      <w:start w:val="1"/>
      <w:numFmt w:val="lowerLetter"/>
      <w:pStyle w:val="USNumbera"/>
      <w:lvlText w:val="%2"/>
      <w:lvlJc w:val="left"/>
      <w:pPr>
        <w:tabs>
          <w:tab w:val="num" w:pos="1701"/>
        </w:tabs>
        <w:ind w:left="1701" w:hanging="425"/>
      </w:pPr>
      <w:rPr>
        <w:rFonts w:hint="default"/>
      </w:rPr>
    </w:lvl>
    <w:lvl w:ilvl="2">
      <w:start w:val="1"/>
      <w:numFmt w:val="lowerRoman"/>
      <w:pStyle w:val="USNumberi"/>
      <w:lvlText w:val="%3"/>
      <w:lvlJc w:val="left"/>
      <w:pPr>
        <w:tabs>
          <w:tab w:val="num" w:pos="2126"/>
        </w:tabs>
        <w:ind w:left="2126" w:hanging="425"/>
      </w:pPr>
      <w:rPr>
        <w:rFonts w:hint="default"/>
      </w:rPr>
    </w:lvl>
    <w:lvl w:ilvl="3">
      <w:start w:val="1"/>
      <w:numFmt w:val="none"/>
      <w:suff w:val="nothing"/>
      <w:lvlText w:val=""/>
      <w:lvlJc w:val="left"/>
      <w:pPr>
        <w:ind w:left="2126" w:firstLine="0"/>
      </w:pPr>
      <w:rPr>
        <w:rFonts w:hint="default"/>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14" w15:restartNumberingAfterBreak="0">
    <w:nsid w:val="5F4A7277"/>
    <w:multiLevelType w:val="hybridMultilevel"/>
    <w:tmpl w:val="FCA4AB12"/>
    <w:lvl w:ilvl="0" w:tplc="ECC266D4">
      <w:start w:val="1"/>
      <w:numFmt w:val="lowerLetter"/>
      <w:lvlText w:val="(%1)"/>
      <w:lvlJc w:val="left"/>
      <w:pPr>
        <w:ind w:left="1571" w:hanging="360"/>
      </w:pPr>
      <w:rPr>
        <w:rFonts w:hint="default"/>
      </w:r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5" w15:restartNumberingAfterBreak="0">
    <w:nsid w:val="68FC6000"/>
    <w:multiLevelType w:val="multilevel"/>
    <w:tmpl w:val="CB32E90A"/>
    <w:lvl w:ilvl="0">
      <w:start w:val="1"/>
      <w:numFmt w:val="decimal"/>
      <w:pStyle w:val="Box2"/>
      <w:lvlText w:val="Box %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B241C37"/>
    <w:multiLevelType w:val="hybridMultilevel"/>
    <w:tmpl w:val="FC84F0E6"/>
    <w:lvl w:ilvl="0" w:tplc="ACFCDD08">
      <w:start w:val="3"/>
      <w:numFmt w:val="bullet"/>
      <w:lvlText w:val="-"/>
      <w:lvlJc w:val="left"/>
      <w:pPr>
        <w:ind w:left="1571" w:hanging="360"/>
      </w:pPr>
      <w:rPr>
        <w:rFonts w:ascii="Calibri" w:eastAsiaTheme="minorHAnsi" w:hAnsi="Calibri" w:cs="Calibri"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15:restartNumberingAfterBreak="0">
    <w:nsid w:val="71257888"/>
    <w:multiLevelType w:val="multilevel"/>
    <w:tmpl w:val="2AD6A89E"/>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1031"/>
        </w:tabs>
        <w:ind w:left="103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7768343F"/>
    <w:multiLevelType w:val="hybridMultilevel"/>
    <w:tmpl w:val="2C58A67A"/>
    <w:lvl w:ilvl="0" w:tplc="14090001">
      <w:start w:val="1"/>
      <w:numFmt w:val="bullet"/>
      <w:lvlText w:val=""/>
      <w:lvlJc w:val="left"/>
      <w:pPr>
        <w:ind w:left="1668" w:hanging="360"/>
      </w:pPr>
      <w:rPr>
        <w:rFonts w:ascii="Symbol" w:hAnsi="Symbol" w:hint="default"/>
      </w:rPr>
    </w:lvl>
    <w:lvl w:ilvl="1" w:tplc="14090003" w:tentative="1">
      <w:start w:val="1"/>
      <w:numFmt w:val="bullet"/>
      <w:lvlText w:val="o"/>
      <w:lvlJc w:val="left"/>
      <w:pPr>
        <w:ind w:left="2388" w:hanging="360"/>
      </w:pPr>
      <w:rPr>
        <w:rFonts w:ascii="Courier New" w:hAnsi="Courier New" w:cs="Courier New" w:hint="default"/>
      </w:rPr>
    </w:lvl>
    <w:lvl w:ilvl="2" w:tplc="14090005" w:tentative="1">
      <w:start w:val="1"/>
      <w:numFmt w:val="bullet"/>
      <w:lvlText w:val=""/>
      <w:lvlJc w:val="left"/>
      <w:pPr>
        <w:ind w:left="3108" w:hanging="360"/>
      </w:pPr>
      <w:rPr>
        <w:rFonts w:ascii="Wingdings" w:hAnsi="Wingdings" w:hint="default"/>
      </w:rPr>
    </w:lvl>
    <w:lvl w:ilvl="3" w:tplc="14090001" w:tentative="1">
      <w:start w:val="1"/>
      <w:numFmt w:val="bullet"/>
      <w:lvlText w:val=""/>
      <w:lvlJc w:val="left"/>
      <w:pPr>
        <w:ind w:left="3828" w:hanging="360"/>
      </w:pPr>
      <w:rPr>
        <w:rFonts w:ascii="Symbol" w:hAnsi="Symbol" w:hint="default"/>
      </w:rPr>
    </w:lvl>
    <w:lvl w:ilvl="4" w:tplc="14090003" w:tentative="1">
      <w:start w:val="1"/>
      <w:numFmt w:val="bullet"/>
      <w:lvlText w:val="o"/>
      <w:lvlJc w:val="left"/>
      <w:pPr>
        <w:ind w:left="4548" w:hanging="360"/>
      </w:pPr>
      <w:rPr>
        <w:rFonts w:ascii="Courier New" w:hAnsi="Courier New" w:cs="Courier New" w:hint="default"/>
      </w:rPr>
    </w:lvl>
    <w:lvl w:ilvl="5" w:tplc="14090005" w:tentative="1">
      <w:start w:val="1"/>
      <w:numFmt w:val="bullet"/>
      <w:lvlText w:val=""/>
      <w:lvlJc w:val="left"/>
      <w:pPr>
        <w:ind w:left="5268" w:hanging="360"/>
      </w:pPr>
      <w:rPr>
        <w:rFonts w:ascii="Wingdings" w:hAnsi="Wingdings" w:hint="default"/>
      </w:rPr>
    </w:lvl>
    <w:lvl w:ilvl="6" w:tplc="14090001" w:tentative="1">
      <w:start w:val="1"/>
      <w:numFmt w:val="bullet"/>
      <w:lvlText w:val=""/>
      <w:lvlJc w:val="left"/>
      <w:pPr>
        <w:ind w:left="5988" w:hanging="360"/>
      </w:pPr>
      <w:rPr>
        <w:rFonts w:ascii="Symbol" w:hAnsi="Symbol" w:hint="default"/>
      </w:rPr>
    </w:lvl>
    <w:lvl w:ilvl="7" w:tplc="14090003" w:tentative="1">
      <w:start w:val="1"/>
      <w:numFmt w:val="bullet"/>
      <w:lvlText w:val="o"/>
      <w:lvlJc w:val="left"/>
      <w:pPr>
        <w:ind w:left="6708" w:hanging="360"/>
      </w:pPr>
      <w:rPr>
        <w:rFonts w:ascii="Courier New" w:hAnsi="Courier New" w:cs="Courier New" w:hint="default"/>
      </w:rPr>
    </w:lvl>
    <w:lvl w:ilvl="8" w:tplc="14090005" w:tentative="1">
      <w:start w:val="1"/>
      <w:numFmt w:val="bullet"/>
      <w:lvlText w:val=""/>
      <w:lvlJc w:val="left"/>
      <w:pPr>
        <w:ind w:left="7428" w:hanging="360"/>
      </w:pPr>
      <w:rPr>
        <w:rFonts w:ascii="Wingdings" w:hAnsi="Wingdings" w:hint="default"/>
      </w:rPr>
    </w:lvl>
  </w:abstractNum>
  <w:abstractNum w:abstractNumId="19" w15:restartNumberingAfterBreak="0">
    <w:nsid w:val="7F00643A"/>
    <w:multiLevelType w:val="hybridMultilevel"/>
    <w:tmpl w:val="8DB868FE"/>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num w:numId="1" w16cid:durableId="1966619090">
    <w:abstractNumId w:val="12"/>
  </w:num>
  <w:num w:numId="2" w16cid:durableId="270742435">
    <w:abstractNumId w:val="11"/>
  </w:num>
  <w:num w:numId="3" w16cid:durableId="1078750169">
    <w:abstractNumId w:val="13"/>
  </w:num>
  <w:num w:numId="4" w16cid:durableId="585069947">
    <w:abstractNumId w:val="8"/>
  </w:num>
  <w:num w:numId="5" w16cid:durableId="1195311756">
    <w:abstractNumId w:val="1"/>
  </w:num>
  <w:num w:numId="6" w16cid:durableId="712534518">
    <w:abstractNumId w:val="10"/>
  </w:num>
  <w:num w:numId="7" w16cid:durableId="1409812322">
    <w:abstractNumId w:val="9"/>
  </w:num>
  <w:num w:numId="8" w16cid:durableId="1910574514">
    <w:abstractNumId w:val="0"/>
  </w:num>
  <w:num w:numId="9" w16cid:durableId="2015915632">
    <w:abstractNumId w:val="17"/>
  </w:num>
  <w:num w:numId="10" w16cid:durableId="9747249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4257329">
    <w:abstractNumId w:val="5"/>
  </w:num>
  <w:num w:numId="12" w16cid:durableId="710690887">
    <w:abstractNumId w:val="18"/>
  </w:num>
  <w:num w:numId="13" w16cid:durableId="215549992">
    <w:abstractNumId w:val="7"/>
  </w:num>
  <w:num w:numId="14" w16cid:durableId="1083840015">
    <w:abstractNumId w:val="14"/>
  </w:num>
  <w:num w:numId="15" w16cid:durableId="816580131">
    <w:abstractNumId w:val="4"/>
  </w:num>
  <w:num w:numId="16" w16cid:durableId="1771000938">
    <w:abstractNumId w:val="3"/>
  </w:num>
  <w:num w:numId="17" w16cid:durableId="2129425871">
    <w:abstractNumId w:val="16"/>
  </w:num>
  <w:num w:numId="18" w16cid:durableId="994333357">
    <w:abstractNumId w:val="2"/>
  </w:num>
  <w:num w:numId="19" w16cid:durableId="1307278543">
    <w:abstractNumId w:val="15"/>
  </w:num>
  <w:num w:numId="20" w16cid:durableId="1085423559">
    <w:abstractNumId w:val="6"/>
  </w:num>
  <w:num w:numId="21" w16cid:durableId="854147382">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SortMethod w:val="0000"/>
  <w:defaultTabStop w:val="425"/>
  <w:defaultTableStyle w:val="TableDefault"/>
  <w:characterSpacingControl w:val="doNotCompress"/>
  <w:hdrShapeDefaults>
    <o:shapedefaults v:ext="edit" spidmax="2050" style="mso-position-horizontal:center;mso-position-horizontal-relative:margin;mso-position-vertical:center;mso-position-vertical-relative:margin" o:allowincell="f" fillcolor="silver" stroke="f">
      <v:fill color="silver" opacity=".5"/>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LQ0NjAxsDA0NzAzMDRQ0lEKTi0uzszPAykwMqwFAGx7XB8tAAAA"/>
    <w:docVar w:name="ContentsAppendix" w:val="1"/>
    <w:docVar w:name="ContentsAppendixLevel" w:val="1"/>
    <w:docVar w:name="ContentsCreated" w:val="1"/>
    <w:docVar w:name="ContentsFigure" w:val="1"/>
    <w:docVar w:name="ContentsMain" w:val="1"/>
    <w:docVar w:name="ContentsMainLevel" w:val="1"/>
    <w:docVar w:name="ContentsTable" w:val="1"/>
    <w:docVar w:name="DocumentStatus" w:val="DRAFT"/>
    <w:docVar w:name="IsA3Sections" w:val="False"/>
    <w:docVar w:name="IsfirstTb" w:val="True"/>
    <w:docVar w:name="IsInTable" w:val="False"/>
    <w:docVar w:name="rptAddress" w:val=" "/>
    <w:docVar w:name="rptAttention" w:val=" "/>
    <w:docVar w:name="rptAttentionTitle" w:val=" "/>
    <w:docVar w:name="rptAuthorName" w:val=" "/>
    <w:docVar w:name="rptAuthorName2" w:val=" "/>
    <w:docVar w:name="rptAuthorTitle" w:val=" "/>
    <w:docVar w:name="rptAuthorTitle2" w:val=" "/>
    <w:docVar w:name="rptByEmail" w:val=" "/>
    <w:docVar w:name="rptCC" w:val=" "/>
    <w:docVar w:name="rptChkByEmail" w:val="True"/>
    <w:docVar w:name="rptClosing" w:val=" "/>
    <w:docVar w:name="rptClosing0" w:val=" "/>
    <w:docVar w:name="rptCommercialInConfidence" w:val="Commercial In Confidence"/>
    <w:docVar w:name="rptCoverImage" w:val=" "/>
    <w:docVar w:name="rptDate" w:val="10 March 2014"/>
    <w:docVar w:name="rptDDI" w:val=" "/>
    <w:docVar w:name="rptDDI2" w:val=" "/>
    <w:docVar w:name="rptEmail" w:val=" "/>
    <w:docVar w:name="rptEmail2" w:val=" "/>
    <w:docVar w:name="rptEnclosures" w:val=" "/>
    <w:docVar w:name="rptFax" w:val=" "/>
    <w:docVar w:name="rptFax2" w:val=" "/>
    <w:docVar w:name="rptGreeting" w:val=" "/>
    <w:docVar w:name="rptGreeting0" w:val=" "/>
    <w:docVar w:name="rptGreetingText" w:val=" "/>
    <w:docVar w:name="rptInsertLogo" w:val="False"/>
    <w:docVar w:name="rptInsertSignature" w:val="True"/>
    <w:docVar w:name="rptLetterImageFile" w:val=" "/>
    <w:docVar w:name="rptLetterImageFile2" w:val=" "/>
    <w:docVar w:name="rptMobile" w:val=" "/>
    <w:docVar w:name="rptMobile2" w:val=" "/>
    <w:docVar w:name="rptOffice" w:val=" "/>
    <w:docVar w:name="rptOffice2" w:val=" "/>
    <w:docVar w:name="rptPrintPhysical" w:val="False"/>
    <w:docVar w:name="rptProposalDate" w:val=" "/>
    <w:docVar w:name="rptProposalSubtitle" w:val=" "/>
    <w:docVar w:name="rptProposalTitle" w:val=" "/>
    <w:docVar w:name="rptSalutation" w:val=" "/>
    <w:docVar w:name="rptSignOff" w:val=" "/>
    <w:docVar w:name="rptSignOff0" w:val=" "/>
    <w:docVar w:name="rptStatus" w:val=" "/>
    <w:docVar w:name="rptSubject" w:val=" "/>
    <w:docVar w:name="ShowDraft" w:val="True"/>
    <w:docVar w:name="ShowSaveDate" w:val="True"/>
  </w:docVars>
  <w:rsids>
    <w:rsidRoot w:val="0051281F"/>
    <w:rsid w:val="0000031E"/>
    <w:rsid w:val="000006B1"/>
    <w:rsid w:val="00000A6C"/>
    <w:rsid w:val="000010B6"/>
    <w:rsid w:val="000011E4"/>
    <w:rsid w:val="00001229"/>
    <w:rsid w:val="000012B2"/>
    <w:rsid w:val="0000158E"/>
    <w:rsid w:val="00001650"/>
    <w:rsid w:val="00001739"/>
    <w:rsid w:val="0000174D"/>
    <w:rsid w:val="00001A27"/>
    <w:rsid w:val="00001A75"/>
    <w:rsid w:val="00001BC9"/>
    <w:rsid w:val="00001D55"/>
    <w:rsid w:val="00001F47"/>
    <w:rsid w:val="00001F56"/>
    <w:rsid w:val="00002B8B"/>
    <w:rsid w:val="00002D30"/>
    <w:rsid w:val="00002FE2"/>
    <w:rsid w:val="00003173"/>
    <w:rsid w:val="0000319E"/>
    <w:rsid w:val="000031DE"/>
    <w:rsid w:val="000032D1"/>
    <w:rsid w:val="00003511"/>
    <w:rsid w:val="00003522"/>
    <w:rsid w:val="000036EB"/>
    <w:rsid w:val="00003788"/>
    <w:rsid w:val="00003CA9"/>
    <w:rsid w:val="0000416A"/>
    <w:rsid w:val="0000436B"/>
    <w:rsid w:val="000043AE"/>
    <w:rsid w:val="000044A2"/>
    <w:rsid w:val="00004EAA"/>
    <w:rsid w:val="00004EE1"/>
    <w:rsid w:val="000055DC"/>
    <w:rsid w:val="0000568F"/>
    <w:rsid w:val="00005794"/>
    <w:rsid w:val="00005AA1"/>
    <w:rsid w:val="00005B46"/>
    <w:rsid w:val="00005D2B"/>
    <w:rsid w:val="00005E80"/>
    <w:rsid w:val="00005FB2"/>
    <w:rsid w:val="0000609E"/>
    <w:rsid w:val="0000687E"/>
    <w:rsid w:val="00006C95"/>
    <w:rsid w:val="00006DC6"/>
    <w:rsid w:val="000076F3"/>
    <w:rsid w:val="00007816"/>
    <w:rsid w:val="00007B78"/>
    <w:rsid w:val="00007C99"/>
    <w:rsid w:val="000100B6"/>
    <w:rsid w:val="000102D5"/>
    <w:rsid w:val="00010B81"/>
    <w:rsid w:val="00010D58"/>
    <w:rsid w:val="0001166C"/>
    <w:rsid w:val="000116A9"/>
    <w:rsid w:val="00011820"/>
    <w:rsid w:val="00011B25"/>
    <w:rsid w:val="00011DE1"/>
    <w:rsid w:val="00011F1D"/>
    <w:rsid w:val="0001246E"/>
    <w:rsid w:val="00012A84"/>
    <w:rsid w:val="00012D1A"/>
    <w:rsid w:val="00012FD6"/>
    <w:rsid w:val="00013019"/>
    <w:rsid w:val="000131AA"/>
    <w:rsid w:val="00013532"/>
    <w:rsid w:val="000135F6"/>
    <w:rsid w:val="0001373C"/>
    <w:rsid w:val="00013DCC"/>
    <w:rsid w:val="00014308"/>
    <w:rsid w:val="0001438B"/>
    <w:rsid w:val="000143C7"/>
    <w:rsid w:val="00014703"/>
    <w:rsid w:val="000151BC"/>
    <w:rsid w:val="00015492"/>
    <w:rsid w:val="000155DD"/>
    <w:rsid w:val="0001565F"/>
    <w:rsid w:val="000156CD"/>
    <w:rsid w:val="00015BB7"/>
    <w:rsid w:val="00015E78"/>
    <w:rsid w:val="0001608D"/>
    <w:rsid w:val="000160AC"/>
    <w:rsid w:val="00016268"/>
    <w:rsid w:val="000166D6"/>
    <w:rsid w:val="000169D5"/>
    <w:rsid w:val="00016CD7"/>
    <w:rsid w:val="00016D93"/>
    <w:rsid w:val="00016EC8"/>
    <w:rsid w:val="00016FFA"/>
    <w:rsid w:val="0001730A"/>
    <w:rsid w:val="00017352"/>
    <w:rsid w:val="00017710"/>
    <w:rsid w:val="000177FE"/>
    <w:rsid w:val="00017807"/>
    <w:rsid w:val="0001792B"/>
    <w:rsid w:val="00017B4B"/>
    <w:rsid w:val="00017C3A"/>
    <w:rsid w:val="00017D53"/>
    <w:rsid w:val="00017F6C"/>
    <w:rsid w:val="00020025"/>
    <w:rsid w:val="00020160"/>
    <w:rsid w:val="0002016C"/>
    <w:rsid w:val="00020344"/>
    <w:rsid w:val="00020499"/>
    <w:rsid w:val="0002093F"/>
    <w:rsid w:val="00020C8A"/>
    <w:rsid w:val="00020CC3"/>
    <w:rsid w:val="00020F25"/>
    <w:rsid w:val="0002106B"/>
    <w:rsid w:val="000211FE"/>
    <w:rsid w:val="0002162B"/>
    <w:rsid w:val="00021D93"/>
    <w:rsid w:val="00021E29"/>
    <w:rsid w:val="0002261A"/>
    <w:rsid w:val="00022863"/>
    <w:rsid w:val="00023095"/>
    <w:rsid w:val="00023CB3"/>
    <w:rsid w:val="00024BE2"/>
    <w:rsid w:val="00024C34"/>
    <w:rsid w:val="00024C4C"/>
    <w:rsid w:val="00024D4C"/>
    <w:rsid w:val="00025124"/>
    <w:rsid w:val="0002531D"/>
    <w:rsid w:val="00025609"/>
    <w:rsid w:val="00025B5F"/>
    <w:rsid w:val="00025F05"/>
    <w:rsid w:val="000261F7"/>
    <w:rsid w:val="000264BC"/>
    <w:rsid w:val="00026643"/>
    <w:rsid w:val="00026AE2"/>
    <w:rsid w:val="00026CC6"/>
    <w:rsid w:val="00026DBD"/>
    <w:rsid w:val="00026FF5"/>
    <w:rsid w:val="0002701A"/>
    <w:rsid w:val="0002708F"/>
    <w:rsid w:val="00027520"/>
    <w:rsid w:val="00030273"/>
    <w:rsid w:val="000302FE"/>
    <w:rsid w:val="0003030E"/>
    <w:rsid w:val="00030750"/>
    <w:rsid w:val="00030DA0"/>
    <w:rsid w:val="000312D1"/>
    <w:rsid w:val="000313D1"/>
    <w:rsid w:val="00031653"/>
    <w:rsid w:val="00031A13"/>
    <w:rsid w:val="00031C07"/>
    <w:rsid w:val="00031F52"/>
    <w:rsid w:val="0003216C"/>
    <w:rsid w:val="00032971"/>
    <w:rsid w:val="0003301A"/>
    <w:rsid w:val="000337F1"/>
    <w:rsid w:val="00033922"/>
    <w:rsid w:val="00033B8F"/>
    <w:rsid w:val="000343A8"/>
    <w:rsid w:val="00034458"/>
    <w:rsid w:val="00034C6C"/>
    <w:rsid w:val="000351CD"/>
    <w:rsid w:val="000367A8"/>
    <w:rsid w:val="00036A73"/>
    <w:rsid w:val="00036A86"/>
    <w:rsid w:val="0003700E"/>
    <w:rsid w:val="0003741B"/>
    <w:rsid w:val="000374ED"/>
    <w:rsid w:val="000376FC"/>
    <w:rsid w:val="00037A3A"/>
    <w:rsid w:val="00037B11"/>
    <w:rsid w:val="00037C6D"/>
    <w:rsid w:val="000400CA"/>
    <w:rsid w:val="00040110"/>
    <w:rsid w:val="000401C4"/>
    <w:rsid w:val="00040344"/>
    <w:rsid w:val="0004044B"/>
    <w:rsid w:val="0004068E"/>
    <w:rsid w:val="00040694"/>
    <w:rsid w:val="000407F6"/>
    <w:rsid w:val="00040845"/>
    <w:rsid w:val="00040AB9"/>
    <w:rsid w:val="00040D91"/>
    <w:rsid w:val="00040E6C"/>
    <w:rsid w:val="00041336"/>
    <w:rsid w:val="0004133A"/>
    <w:rsid w:val="000415A7"/>
    <w:rsid w:val="000415D6"/>
    <w:rsid w:val="00041655"/>
    <w:rsid w:val="00041DFB"/>
    <w:rsid w:val="00041E30"/>
    <w:rsid w:val="00041F3E"/>
    <w:rsid w:val="00041FDE"/>
    <w:rsid w:val="00042072"/>
    <w:rsid w:val="00042712"/>
    <w:rsid w:val="00042A7F"/>
    <w:rsid w:val="00042FC8"/>
    <w:rsid w:val="00043099"/>
    <w:rsid w:val="00043299"/>
    <w:rsid w:val="00043831"/>
    <w:rsid w:val="00043D1C"/>
    <w:rsid w:val="00043E25"/>
    <w:rsid w:val="0004443B"/>
    <w:rsid w:val="00044AB3"/>
    <w:rsid w:val="000450D3"/>
    <w:rsid w:val="000453BF"/>
    <w:rsid w:val="0004561A"/>
    <w:rsid w:val="000457B7"/>
    <w:rsid w:val="00045E45"/>
    <w:rsid w:val="00045F83"/>
    <w:rsid w:val="0004728A"/>
    <w:rsid w:val="00047579"/>
    <w:rsid w:val="000478F2"/>
    <w:rsid w:val="000479A4"/>
    <w:rsid w:val="00047D21"/>
    <w:rsid w:val="00047F6C"/>
    <w:rsid w:val="000501A2"/>
    <w:rsid w:val="000502D7"/>
    <w:rsid w:val="00050840"/>
    <w:rsid w:val="000509FB"/>
    <w:rsid w:val="00050C2A"/>
    <w:rsid w:val="00050CB7"/>
    <w:rsid w:val="00051050"/>
    <w:rsid w:val="0005124A"/>
    <w:rsid w:val="000515ED"/>
    <w:rsid w:val="00051FD6"/>
    <w:rsid w:val="0005288C"/>
    <w:rsid w:val="00052E15"/>
    <w:rsid w:val="00053282"/>
    <w:rsid w:val="00053551"/>
    <w:rsid w:val="0005355B"/>
    <w:rsid w:val="00053BC4"/>
    <w:rsid w:val="00053EDB"/>
    <w:rsid w:val="0005485C"/>
    <w:rsid w:val="0005488C"/>
    <w:rsid w:val="00054A22"/>
    <w:rsid w:val="00054A91"/>
    <w:rsid w:val="00054DC5"/>
    <w:rsid w:val="00054F2F"/>
    <w:rsid w:val="000554AA"/>
    <w:rsid w:val="00055C7E"/>
    <w:rsid w:val="00055D9F"/>
    <w:rsid w:val="00055DD0"/>
    <w:rsid w:val="00055F3D"/>
    <w:rsid w:val="000562F0"/>
    <w:rsid w:val="000564E3"/>
    <w:rsid w:val="0005654F"/>
    <w:rsid w:val="0005693D"/>
    <w:rsid w:val="00056B08"/>
    <w:rsid w:val="00056EAF"/>
    <w:rsid w:val="00057221"/>
    <w:rsid w:val="00057743"/>
    <w:rsid w:val="00057A2F"/>
    <w:rsid w:val="00057CF5"/>
    <w:rsid w:val="00060006"/>
    <w:rsid w:val="00060015"/>
    <w:rsid w:val="000600AC"/>
    <w:rsid w:val="0006046A"/>
    <w:rsid w:val="0006069C"/>
    <w:rsid w:val="000607ED"/>
    <w:rsid w:val="00060AF9"/>
    <w:rsid w:val="00060B12"/>
    <w:rsid w:val="00060ED0"/>
    <w:rsid w:val="00060FAE"/>
    <w:rsid w:val="00061168"/>
    <w:rsid w:val="0006121E"/>
    <w:rsid w:val="00061478"/>
    <w:rsid w:val="0006200D"/>
    <w:rsid w:val="0006203B"/>
    <w:rsid w:val="00062250"/>
    <w:rsid w:val="000622B2"/>
    <w:rsid w:val="00062531"/>
    <w:rsid w:val="00062596"/>
    <w:rsid w:val="0006282C"/>
    <w:rsid w:val="00062888"/>
    <w:rsid w:val="000628B4"/>
    <w:rsid w:val="00062BF5"/>
    <w:rsid w:val="0006300A"/>
    <w:rsid w:val="000630FB"/>
    <w:rsid w:val="000632B2"/>
    <w:rsid w:val="00063B9F"/>
    <w:rsid w:val="00064028"/>
    <w:rsid w:val="00064079"/>
    <w:rsid w:val="0006462E"/>
    <w:rsid w:val="00064838"/>
    <w:rsid w:val="00064A82"/>
    <w:rsid w:val="00064B95"/>
    <w:rsid w:val="000651C8"/>
    <w:rsid w:val="00065320"/>
    <w:rsid w:val="0006555A"/>
    <w:rsid w:val="00065AB4"/>
    <w:rsid w:val="00065D75"/>
    <w:rsid w:val="0006610C"/>
    <w:rsid w:val="00066747"/>
    <w:rsid w:val="00066925"/>
    <w:rsid w:val="00066989"/>
    <w:rsid w:val="00066CC2"/>
    <w:rsid w:val="00067C8A"/>
    <w:rsid w:val="00067D5D"/>
    <w:rsid w:val="00067E63"/>
    <w:rsid w:val="00067ED7"/>
    <w:rsid w:val="00067F84"/>
    <w:rsid w:val="00070005"/>
    <w:rsid w:val="00070525"/>
    <w:rsid w:val="00070CBD"/>
    <w:rsid w:val="00070E89"/>
    <w:rsid w:val="00071564"/>
    <w:rsid w:val="000715E5"/>
    <w:rsid w:val="000715EF"/>
    <w:rsid w:val="000715FD"/>
    <w:rsid w:val="00071702"/>
    <w:rsid w:val="000717EA"/>
    <w:rsid w:val="00071D66"/>
    <w:rsid w:val="00071F92"/>
    <w:rsid w:val="000722F7"/>
    <w:rsid w:val="0007232B"/>
    <w:rsid w:val="00072380"/>
    <w:rsid w:val="00072FD2"/>
    <w:rsid w:val="00073212"/>
    <w:rsid w:val="00073264"/>
    <w:rsid w:val="00073411"/>
    <w:rsid w:val="000736E4"/>
    <w:rsid w:val="0007391E"/>
    <w:rsid w:val="00073A62"/>
    <w:rsid w:val="00073A96"/>
    <w:rsid w:val="00073BAF"/>
    <w:rsid w:val="00073F8C"/>
    <w:rsid w:val="0007459B"/>
    <w:rsid w:val="00074B70"/>
    <w:rsid w:val="00074DD0"/>
    <w:rsid w:val="00074F80"/>
    <w:rsid w:val="00074FD2"/>
    <w:rsid w:val="000754EE"/>
    <w:rsid w:val="000758DF"/>
    <w:rsid w:val="000758E7"/>
    <w:rsid w:val="00075E74"/>
    <w:rsid w:val="000768E3"/>
    <w:rsid w:val="00076CA7"/>
    <w:rsid w:val="0007712E"/>
    <w:rsid w:val="00077529"/>
    <w:rsid w:val="00077658"/>
    <w:rsid w:val="000778E4"/>
    <w:rsid w:val="00077C3F"/>
    <w:rsid w:val="0008011A"/>
    <w:rsid w:val="000808A5"/>
    <w:rsid w:val="0008144E"/>
    <w:rsid w:val="000817D3"/>
    <w:rsid w:val="00081960"/>
    <w:rsid w:val="00081A27"/>
    <w:rsid w:val="00081B0F"/>
    <w:rsid w:val="00081B4C"/>
    <w:rsid w:val="00081BEF"/>
    <w:rsid w:val="00082006"/>
    <w:rsid w:val="00082138"/>
    <w:rsid w:val="000828AA"/>
    <w:rsid w:val="00082964"/>
    <w:rsid w:val="0008299F"/>
    <w:rsid w:val="00082A7C"/>
    <w:rsid w:val="000836D5"/>
    <w:rsid w:val="00083764"/>
    <w:rsid w:val="000837A6"/>
    <w:rsid w:val="00083DCD"/>
    <w:rsid w:val="00083E3E"/>
    <w:rsid w:val="00083EA1"/>
    <w:rsid w:val="00083EB5"/>
    <w:rsid w:val="0008449C"/>
    <w:rsid w:val="000845AD"/>
    <w:rsid w:val="00084875"/>
    <w:rsid w:val="00084C91"/>
    <w:rsid w:val="00084E2C"/>
    <w:rsid w:val="00084E50"/>
    <w:rsid w:val="00084E64"/>
    <w:rsid w:val="00084E7E"/>
    <w:rsid w:val="00084FEC"/>
    <w:rsid w:val="00085291"/>
    <w:rsid w:val="00085373"/>
    <w:rsid w:val="00085BEE"/>
    <w:rsid w:val="00085F80"/>
    <w:rsid w:val="00085F98"/>
    <w:rsid w:val="00086061"/>
    <w:rsid w:val="000862A0"/>
    <w:rsid w:val="000865C0"/>
    <w:rsid w:val="000867F2"/>
    <w:rsid w:val="00086A75"/>
    <w:rsid w:val="00086ACF"/>
    <w:rsid w:val="00086CE0"/>
    <w:rsid w:val="00086D70"/>
    <w:rsid w:val="00086FCC"/>
    <w:rsid w:val="00087449"/>
    <w:rsid w:val="00087610"/>
    <w:rsid w:val="0008798D"/>
    <w:rsid w:val="00087C15"/>
    <w:rsid w:val="00087DD1"/>
    <w:rsid w:val="0009008A"/>
    <w:rsid w:val="0009078A"/>
    <w:rsid w:val="0009086E"/>
    <w:rsid w:val="0009104D"/>
    <w:rsid w:val="00091C2F"/>
    <w:rsid w:val="00091DF9"/>
    <w:rsid w:val="000922E9"/>
    <w:rsid w:val="000923D6"/>
    <w:rsid w:val="000925FB"/>
    <w:rsid w:val="00092825"/>
    <w:rsid w:val="00092916"/>
    <w:rsid w:val="000929DE"/>
    <w:rsid w:val="000929F4"/>
    <w:rsid w:val="00092BB5"/>
    <w:rsid w:val="00092F6C"/>
    <w:rsid w:val="00093053"/>
    <w:rsid w:val="00093344"/>
    <w:rsid w:val="0009338E"/>
    <w:rsid w:val="000936E9"/>
    <w:rsid w:val="000938FA"/>
    <w:rsid w:val="00093AB3"/>
    <w:rsid w:val="00093C82"/>
    <w:rsid w:val="00093F2F"/>
    <w:rsid w:val="00093F4A"/>
    <w:rsid w:val="00093F61"/>
    <w:rsid w:val="00094114"/>
    <w:rsid w:val="00094134"/>
    <w:rsid w:val="0009466E"/>
    <w:rsid w:val="00094BA9"/>
    <w:rsid w:val="00094CE4"/>
    <w:rsid w:val="000954E0"/>
    <w:rsid w:val="00095759"/>
    <w:rsid w:val="000958A4"/>
    <w:rsid w:val="000958CE"/>
    <w:rsid w:val="00095D37"/>
    <w:rsid w:val="00095F48"/>
    <w:rsid w:val="00096133"/>
    <w:rsid w:val="0009695E"/>
    <w:rsid w:val="00096976"/>
    <w:rsid w:val="000970D2"/>
    <w:rsid w:val="000971B9"/>
    <w:rsid w:val="000973C2"/>
    <w:rsid w:val="00097529"/>
    <w:rsid w:val="000977EF"/>
    <w:rsid w:val="000979C4"/>
    <w:rsid w:val="00097D05"/>
    <w:rsid w:val="00097F3B"/>
    <w:rsid w:val="000A0514"/>
    <w:rsid w:val="000A066E"/>
    <w:rsid w:val="000A0DA2"/>
    <w:rsid w:val="000A14B3"/>
    <w:rsid w:val="000A154D"/>
    <w:rsid w:val="000A161A"/>
    <w:rsid w:val="000A161D"/>
    <w:rsid w:val="000A18EA"/>
    <w:rsid w:val="000A1F7E"/>
    <w:rsid w:val="000A2092"/>
    <w:rsid w:val="000A2184"/>
    <w:rsid w:val="000A21B1"/>
    <w:rsid w:val="000A26CF"/>
    <w:rsid w:val="000A26FD"/>
    <w:rsid w:val="000A2880"/>
    <w:rsid w:val="000A2CCF"/>
    <w:rsid w:val="000A304D"/>
    <w:rsid w:val="000A307C"/>
    <w:rsid w:val="000A364D"/>
    <w:rsid w:val="000A3703"/>
    <w:rsid w:val="000A3707"/>
    <w:rsid w:val="000A40D4"/>
    <w:rsid w:val="000A425B"/>
    <w:rsid w:val="000A429D"/>
    <w:rsid w:val="000A4837"/>
    <w:rsid w:val="000A4CB3"/>
    <w:rsid w:val="000A4D46"/>
    <w:rsid w:val="000A4D65"/>
    <w:rsid w:val="000A4DFF"/>
    <w:rsid w:val="000A4EF1"/>
    <w:rsid w:val="000A50AA"/>
    <w:rsid w:val="000A5395"/>
    <w:rsid w:val="000A55E9"/>
    <w:rsid w:val="000A561D"/>
    <w:rsid w:val="000A5A27"/>
    <w:rsid w:val="000A62CA"/>
    <w:rsid w:val="000A654A"/>
    <w:rsid w:val="000A65CC"/>
    <w:rsid w:val="000A6660"/>
    <w:rsid w:val="000A66F9"/>
    <w:rsid w:val="000A6C71"/>
    <w:rsid w:val="000A7226"/>
    <w:rsid w:val="000A7F94"/>
    <w:rsid w:val="000B005B"/>
    <w:rsid w:val="000B0A41"/>
    <w:rsid w:val="000B0A60"/>
    <w:rsid w:val="000B0C4B"/>
    <w:rsid w:val="000B0FC9"/>
    <w:rsid w:val="000B12B8"/>
    <w:rsid w:val="000B1599"/>
    <w:rsid w:val="000B2011"/>
    <w:rsid w:val="000B2100"/>
    <w:rsid w:val="000B223A"/>
    <w:rsid w:val="000B248A"/>
    <w:rsid w:val="000B24B2"/>
    <w:rsid w:val="000B2568"/>
    <w:rsid w:val="000B2644"/>
    <w:rsid w:val="000B27DA"/>
    <w:rsid w:val="000B2BA9"/>
    <w:rsid w:val="000B2E66"/>
    <w:rsid w:val="000B2EAC"/>
    <w:rsid w:val="000B3F67"/>
    <w:rsid w:val="000B425E"/>
    <w:rsid w:val="000B4312"/>
    <w:rsid w:val="000B4429"/>
    <w:rsid w:val="000B5B09"/>
    <w:rsid w:val="000B62F1"/>
    <w:rsid w:val="000B6302"/>
    <w:rsid w:val="000B677A"/>
    <w:rsid w:val="000B6A1D"/>
    <w:rsid w:val="000B6A25"/>
    <w:rsid w:val="000B6A29"/>
    <w:rsid w:val="000B7325"/>
    <w:rsid w:val="000C0007"/>
    <w:rsid w:val="000C0313"/>
    <w:rsid w:val="000C0A22"/>
    <w:rsid w:val="000C102D"/>
    <w:rsid w:val="000C203C"/>
    <w:rsid w:val="000C2174"/>
    <w:rsid w:val="000C23AC"/>
    <w:rsid w:val="000C2FBA"/>
    <w:rsid w:val="000C32ED"/>
    <w:rsid w:val="000C3720"/>
    <w:rsid w:val="000C395A"/>
    <w:rsid w:val="000C3D9A"/>
    <w:rsid w:val="000C4231"/>
    <w:rsid w:val="000C43C3"/>
    <w:rsid w:val="000C4B65"/>
    <w:rsid w:val="000C4DE2"/>
    <w:rsid w:val="000C4F71"/>
    <w:rsid w:val="000C5447"/>
    <w:rsid w:val="000C56B0"/>
    <w:rsid w:val="000C5B71"/>
    <w:rsid w:val="000C6023"/>
    <w:rsid w:val="000C6509"/>
    <w:rsid w:val="000C6655"/>
    <w:rsid w:val="000C6E46"/>
    <w:rsid w:val="000C6E7E"/>
    <w:rsid w:val="000C6F9C"/>
    <w:rsid w:val="000C77CC"/>
    <w:rsid w:val="000C798F"/>
    <w:rsid w:val="000C7C14"/>
    <w:rsid w:val="000C7E21"/>
    <w:rsid w:val="000D0319"/>
    <w:rsid w:val="000D09FE"/>
    <w:rsid w:val="000D0A7E"/>
    <w:rsid w:val="000D124C"/>
    <w:rsid w:val="000D145E"/>
    <w:rsid w:val="000D1A79"/>
    <w:rsid w:val="000D2BB4"/>
    <w:rsid w:val="000D2CBF"/>
    <w:rsid w:val="000D30B8"/>
    <w:rsid w:val="000D3527"/>
    <w:rsid w:val="000D3545"/>
    <w:rsid w:val="000D3802"/>
    <w:rsid w:val="000D3823"/>
    <w:rsid w:val="000D3894"/>
    <w:rsid w:val="000D3C1B"/>
    <w:rsid w:val="000D3D81"/>
    <w:rsid w:val="000D3E2B"/>
    <w:rsid w:val="000D4279"/>
    <w:rsid w:val="000D4B62"/>
    <w:rsid w:val="000D4BCF"/>
    <w:rsid w:val="000D5163"/>
    <w:rsid w:val="000D5193"/>
    <w:rsid w:val="000D51B1"/>
    <w:rsid w:val="000D52A3"/>
    <w:rsid w:val="000D542E"/>
    <w:rsid w:val="000D545E"/>
    <w:rsid w:val="000D5920"/>
    <w:rsid w:val="000D666C"/>
    <w:rsid w:val="000D7142"/>
    <w:rsid w:val="000D718C"/>
    <w:rsid w:val="000D7B08"/>
    <w:rsid w:val="000D7B51"/>
    <w:rsid w:val="000D7B70"/>
    <w:rsid w:val="000D7C15"/>
    <w:rsid w:val="000D7D4C"/>
    <w:rsid w:val="000E02DE"/>
    <w:rsid w:val="000E0707"/>
    <w:rsid w:val="000E0E71"/>
    <w:rsid w:val="000E1893"/>
    <w:rsid w:val="000E1A2D"/>
    <w:rsid w:val="000E1F8B"/>
    <w:rsid w:val="000E2710"/>
    <w:rsid w:val="000E28A3"/>
    <w:rsid w:val="000E3006"/>
    <w:rsid w:val="000E3132"/>
    <w:rsid w:val="000E3FCC"/>
    <w:rsid w:val="000E4243"/>
    <w:rsid w:val="000E4245"/>
    <w:rsid w:val="000E43D7"/>
    <w:rsid w:val="000E4840"/>
    <w:rsid w:val="000E4ACD"/>
    <w:rsid w:val="000E506B"/>
    <w:rsid w:val="000E5658"/>
    <w:rsid w:val="000E572C"/>
    <w:rsid w:val="000E57FF"/>
    <w:rsid w:val="000E5FDE"/>
    <w:rsid w:val="000E6805"/>
    <w:rsid w:val="000E6846"/>
    <w:rsid w:val="000E6D02"/>
    <w:rsid w:val="000E6FDE"/>
    <w:rsid w:val="000E7259"/>
    <w:rsid w:val="000E72C6"/>
    <w:rsid w:val="000E77F9"/>
    <w:rsid w:val="000E78BD"/>
    <w:rsid w:val="000E7CFE"/>
    <w:rsid w:val="000F01BA"/>
    <w:rsid w:val="000F047D"/>
    <w:rsid w:val="000F04CC"/>
    <w:rsid w:val="000F05B5"/>
    <w:rsid w:val="000F0DFE"/>
    <w:rsid w:val="000F0F5E"/>
    <w:rsid w:val="000F0FA8"/>
    <w:rsid w:val="000F1005"/>
    <w:rsid w:val="000F14A2"/>
    <w:rsid w:val="000F18D6"/>
    <w:rsid w:val="000F19C2"/>
    <w:rsid w:val="000F1BBB"/>
    <w:rsid w:val="000F1CC4"/>
    <w:rsid w:val="000F2277"/>
    <w:rsid w:val="000F3097"/>
    <w:rsid w:val="000F3136"/>
    <w:rsid w:val="000F326D"/>
    <w:rsid w:val="000F32D0"/>
    <w:rsid w:val="000F34F5"/>
    <w:rsid w:val="000F3A34"/>
    <w:rsid w:val="000F3C65"/>
    <w:rsid w:val="000F3DCE"/>
    <w:rsid w:val="000F47A6"/>
    <w:rsid w:val="000F480F"/>
    <w:rsid w:val="000F4B61"/>
    <w:rsid w:val="000F4C76"/>
    <w:rsid w:val="000F4E22"/>
    <w:rsid w:val="000F5149"/>
    <w:rsid w:val="000F5346"/>
    <w:rsid w:val="000F545E"/>
    <w:rsid w:val="000F555A"/>
    <w:rsid w:val="000F582E"/>
    <w:rsid w:val="000F5A63"/>
    <w:rsid w:val="000F5B6F"/>
    <w:rsid w:val="000F60E1"/>
    <w:rsid w:val="000F6371"/>
    <w:rsid w:val="000F6810"/>
    <w:rsid w:val="000F6CF2"/>
    <w:rsid w:val="000F6D5A"/>
    <w:rsid w:val="000F7315"/>
    <w:rsid w:val="000F7368"/>
    <w:rsid w:val="000F78E7"/>
    <w:rsid w:val="00100157"/>
    <w:rsid w:val="00100340"/>
    <w:rsid w:val="00100EA6"/>
    <w:rsid w:val="00100EC5"/>
    <w:rsid w:val="00101AE6"/>
    <w:rsid w:val="00101B41"/>
    <w:rsid w:val="00101C96"/>
    <w:rsid w:val="00101F0D"/>
    <w:rsid w:val="001022BB"/>
    <w:rsid w:val="00102640"/>
    <w:rsid w:val="00102B99"/>
    <w:rsid w:val="00102CAE"/>
    <w:rsid w:val="0010306D"/>
    <w:rsid w:val="001033D7"/>
    <w:rsid w:val="00103431"/>
    <w:rsid w:val="0010355D"/>
    <w:rsid w:val="001035EF"/>
    <w:rsid w:val="00103783"/>
    <w:rsid w:val="00103CC1"/>
    <w:rsid w:val="00103CDD"/>
    <w:rsid w:val="00103D95"/>
    <w:rsid w:val="00103DE8"/>
    <w:rsid w:val="001047EE"/>
    <w:rsid w:val="00104BD9"/>
    <w:rsid w:val="0010503C"/>
    <w:rsid w:val="001053DE"/>
    <w:rsid w:val="001054B5"/>
    <w:rsid w:val="00105DF2"/>
    <w:rsid w:val="001062F5"/>
    <w:rsid w:val="001064B2"/>
    <w:rsid w:val="00106651"/>
    <w:rsid w:val="00106C68"/>
    <w:rsid w:val="00107203"/>
    <w:rsid w:val="001072A2"/>
    <w:rsid w:val="0010751D"/>
    <w:rsid w:val="00107595"/>
    <w:rsid w:val="00107842"/>
    <w:rsid w:val="00107B42"/>
    <w:rsid w:val="00107BC9"/>
    <w:rsid w:val="00110194"/>
    <w:rsid w:val="00110F2B"/>
    <w:rsid w:val="001113C3"/>
    <w:rsid w:val="001116BC"/>
    <w:rsid w:val="00111828"/>
    <w:rsid w:val="00111850"/>
    <w:rsid w:val="00111A08"/>
    <w:rsid w:val="00111BF7"/>
    <w:rsid w:val="00111EF2"/>
    <w:rsid w:val="00111FCA"/>
    <w:rsid w:val="00112172"/>
    <w:rsid w:val="00112A47"/>
    <w:rsid w:val="0011324F"/>
    <w:rsid w:val="00113320"/>
    <w:rsid w:val="001136DB"/>
    <w:rsid w:val="00113737"/>
    <w:rsid w:val="0011385E"/>
    <w:rsid w:val="00113DCD"/>
    <w:rsid w:val="0011465F"/>
    <w:rsid w:val="00114681"/>
    <w:rsid w:val="001147D3"/>
    <w:rsid w:val="00114A87"/>
    <w:rsid w:val="00114BB0"/>
    <w:rsid w:val="001158D4"/>
    <w:rsid w:val="00115AF1"/>
    <w:rsid w:val="00116393"/>
    <w:rsid w:val="0011654F"/>
    <w:rsid w:val="00116EF9"/>
    <w:rsid w:val="001171B2"/>
    <w:rsid w:val="0011726D"/>
    <w:rsid w:val="001174CA"/>
    <w:rsid w:val="00117A03"/>
    <w:rsid w:val="00117A22"/>
    <w:rsid w:val="00117DCD"/>
    <w:rsid w:val="00117EED"/>
    <w:rsid w:val="00120034"/>
    <w:rsid w:val="00120342"/>
    <w:rsid w:val="001205CB"/>
    <w:rsid w:val="00120CDF"/>
    <w:rsid w:val="00120FD6"/>
    <w:rsid w:val="001211FC"/>
    <w:rsid w:val="001213B6"/>
    <w:rsid w:val="001213D7"/>
    <w:rsid w:val="00121716"/>
    <w:rsid w:val="00121913"/>
    <w:rsid w:val="00121B1D"/>
    <w:rsid w:val="001220C9"/>
    <w:rsid w:val="00122D06"/>
    <w:rsid w:val="00122ECA"/>
    <w:rsid w:val="00122F3B"/>
    <w:rsid w:val="001230DB"/>
    <w:rsid w:val="001232F7"/>
    <w:rsid w:val="00123319"/>
    <w:rsid w:val="0012336B"/>
    <w:rsid w:val="00123419"/>
    <w:rsid w:val="00123E86"/>
    <w:rsid w:val="00124153"/>
    <w:rsid w:val="00124534"/>
    <w:rsid w:val="00124DA3"/>
    <w:rsid w:val="00124FFD"/>
    <w:rsid w:val="001251B0"/>
    <w:rsid w:val="001254CE"/>
    <w:rsid w:val="00126071"/>
    <w:rsid w:val="001268B5"/>
    <w:rsid w:val="001274FB"/>
    <w:rsid w:val="00127968"/>
    <w:rsid w:val="00127A32"/>
    <w:rsid w:val="00127D35"/>
    <w:rsid w:val="00127F69"/>
    <w:rsid w:val="001304E2"/>
    <w:rsid w:val="001305E7"/>
    <w:rsid w:val="00130618"/>
    <w:rsid w:val="001314E7"/>
    <w:rsid w:val="001315E4"/>
    <w:rsid w:val="001316B5"/>
    <w:rsid w:val="0013177E"/>
    <w:rsid w:val="00131DBF"/>
    <w:rsid w:val="00131DFF"/>
    <w:rsid w:val="00132037"/>
    <w:rsid w:val="001321EA"/>
    <w:rsid w:val="0013234A"/>
    <w:rsid w:val="00132431"/>
    <w:rsid w:val="00132486"/>
    <w:rsid w:val="001330C6"/>
    <w:rsid w:val="001332A3"/>
    <w:rsid w:val="00133454"/>
    <w:rsid w:val="0013385F"/>
    <w:rsid w:val="0013498B"/>
    <w:rsid w:val="00134AC3"/>
    <w:rsid w:val="00134D60"/>
    <w:rsid w:val="00135249"/>
    <w:rsid w:val="00135643"/>
    <w:rsid w:val="00135902"/>
    <w:rsid w:val="00135D4C"/>
    <w:rsid w:val="00135E3A"/>
    <w:rsid w:val="001360AA"/>
    <w:rsid w:val="0013636D"/>
    <w:rsid w:val="001365EA"/>
    <w:rsid w:val="001368BC"/>
    <w:rsid w:val="0013690C"/>
    <w:rsid w:val="00136AA7"/>
    <w:rsid w:val="00136ABB"/>
    <w:rsid w:val="00136CBB"/>
    <w:rsid w:val="00136FB8"/>
    <w:rsid w:val="00137235"/>
    <w:rsid w:val="0013732F"/>
    <w:rsid w:val="0013779C"/>
    <w:rsid w:val="00137AF4"/>
    <w:rsid w:val="00137C2A"/>
    <w:rsid w:val="00137CF4"/>
    <w:rsid w:val="00140CC4"/>
    <w:rsid w:val="00140EA4"/>
    <w:rsid w:val="00140F60"/>
    <w:rsid w:val="00141529"/>
    <w:rsid w:val="00142014"/>
    <w:rsid w:val="001426D7"/>
    <w:rsid w:val="00142789"/>
    <w:rsid w:val="00142828"/>
    <w:rsid w:val="001429A6"/>
    <w:rsid w:val="0014324F"/>
    <w:rsid w:val="00143442"/>
    <w:rsid w:val="00143E34"/>
    <w:rsid w:val="00143E72"/>
    <w:rsid w:val="0014473F"/>
    <w:rsid w:val="00144950"/>
    <w:rsid w:val="00144E78"/>
    <w:rsid w:val="0014517F"/>
    <w:rsid w:val="001457C9"/>
    <w:rsid w:val="001457E4"/>
    <w:rsid w:val="00145E1C"/>
    <w:rsid w:val="00145F65"/>
    <w:rsid w:val="001461BD"/>
    <w:rsid w:val="00146447"/>
    <w:rsid w:val="001464CA"/>
    <w:rsid w:val="00146817"/>
    <w:rsid w:val="00146B78"/>
    <w:rsid w:val="00146BF5"/>
    <w:rsid w:val="001470F5"/>
    <w:rsid w:val="00147293"/>
    <w:rsid w:val="0014730E"/>
    <w:rsid w:val="00147687"/>
    <w:rsid w:val="0014772C"/>
    <w:rsid w:val="00147B41"/>
    <w:rsid w:val="00147BC6"/>
    <w:rsid w:val="00147C1E"/>
    <w:rsid w:val="00147D02"/>
    <w:rsid w:val="00147E48"/>
    <w:rsid w:val="00147E57"/>
    <w:rsid w:val="00147F51"/>
    <w:rsid w:val="001501CD"/>
    <w:rsid w:val="00150501"/>
    <w:rsid w:val="001506B6"/>
    <w:rsid w:val="00150EAE"/>
    <w:rsid w:val="001512D4"/>
    <w:rsid w:val="00151973"/>
    <w:rsid w:val="00151B1F"/>
    <w:rsid w:val="00152004"/>
    <w:rsid w:val="00152886"/>
    <w:rsid w:val="001533B0"/>
    <w:rsid w:val="001538B1"/>
    <w:rsid w:val="00153A8B"/>
    <w:rsid w:val="00153BD2"/>
    <w:rsid w:val="00154163"/>
    <w:rsid w:val="00154185"/>
    <w:rsid w:val="00154240"/>
    <w:rsid w:val="00154B65"/>
    <w:rsid w:val="001550CD"/>
    <w:rsid w:val="001551EF"/>
    <w:rsid w:val="0015584D"/>
    <w:rsid w:val="001562EA"/>
    <w:rsid w:val="001563C5"/>
    <w:rsid w:val="00156445"/>
    <w:rsid w:val="001566BB"/>
    <w:rsid w:val="00156F81"/>
    <w:rsid w:val="00157095"/>
    <w:rsid w:val="001574C1"/>
    <w:rsid w:val="00157578"/>
    <w:rsid w:val="0015781C"/>
    <w:rsid w:val="00157978"/>
    <w:rsid w:val="00157C74"/>
    <w:rsid w:val="00157C8E"/>
    <w:rsid w:val="00157D6F"/>
    <w:rsid w:val="00157EE7"/>
    <w:rsid w:val="00157FBF"/>
    <w:rsid w:val="001600BC"/>
    <w:rsid w:val="00160270"/>
    <w:rsid w:val="00160507"/>
    <w:rsid w:val="001605C8"/>
    <w:rsid w:val="00160752"/>
    <w:rsid w:val="001607C0"/>
    <w:rsid w:val="00160A72"/>
    <w:rsid w:val="00160F24"/>
    <w:rsid w:val="00161604"/>
    <w:rsid w:val="0016198D"/>
    <w:rsid w:val="001621DC"/>
    <w:rsid w:val="00162D62"/>
    <w:rsid w:val="00162D80"/>
    <w:rsid w:val="00163047"/>
    <w:rsid w:val="001631A0"/>
    <w:rsid w:val="00163703"/>
    <w:rsid w:val="00163CD8"/>
    <w:rsid w:val="00163DA1"/>
    <w:rsid w:val="00163E23"/>
    <w:rsid w:val="00163ED2"/>
    <w:rsid w:val="00163FFC"/>
    <w:rsid w:val="0016438D"/>
    <w:rsid w:val="00164EF1"/>
    <w:rsid w:val="00165020"/>
    <w:rsid w:val="001650D5"/>
    <w:rsid w:val="00165187"/>
    <w:rsid w:val="001651C3"/>
    <w:rsid w:val="001651D0"/>
    <w:rsid w:val="00165A6C"/>
    <w:rsid w:val="00165A91"/>
    <w:rsid w:val="00165D16"/>
    <w:rsid w:val="00165D6B"/>
    <w:rsid w:val="00166130"/>
    <w:rsid w:val="001661A8"/>
    <w:rsid w:val="001668C5"/>
    <w:rsid w:val="00166CE5"/>
    <w:rsid w:val="0016726A"/>
    <w:rsid w:val="00167321"/>
    <w:rsid w:val="0016748B"/>
    <w:rsid w:val="00167D16"/>
    <w:rsid w:val="001700F6"/>
    <w:rsid w:val="0017016A"/>
    <w:rsid w:val="00170896"/>
    <w:rsid w:val="0017095C"/>
    <w:rsid w:val="00170C42"/>
    <w:rsid w:val="00170D1C"/>
    <w:rsid w:val="00171C45"/>
    <w:rsid w:val="00171CB7"/>
    <w:rsid w:val="00171D46"/>
    <w:rsid w:val="00172021"/>
    <w:rsid w:val="00172702"/>
    <w:rsid w:val="001727AA"/>
    <w:rsid w:val="001727DA"/>
    <w:rsid w:val="001728DE"/>
    <w:rsid w:val="00172F63"/>
    <w:rsid w:val="001730A4"/>
    <w:rsid w:val="00173967"/>
    <w:rsid w:val="00173CBF"/>
    <w:rsid w:val="00173F74"/>
    <w:rsid w:val="00174036"/>
    <w:rsid w:val="001741D6"/>
    <w:rsid w:val="0017441D"/>
    <w:rsid w:val="0017458D"/>
    <w:rsid w:val="001746E6"/>
    <w:rsid w:val="001749B4"/>
    <w:rsid w:val="00174BD6"/>
    <w:rsid w:val="00174CC1"/>
    <w:rsid w:val="00175072"/>
    <w:rsid w:val="0017530E"/>
    <w:rsid w:val="0017558B"/>
    <w:rsid w:val="0017582C"/>
    <w:rsid w:val="00175A91"/>
    <w:rsid w:val="00175C6A"/>
    <w:rsid w:val="00175E45"/>
    <w:rsid w:val="0017618C"/>
    <w:rsid w:val="001763D5"/>
    <w:rsid w:val="001765DC"/>
    <w:rsid w:val="00176659"/>
    <w:rsid w:val="001767E7"/>
    <w:rsid w:val="001768FF"/>
    <w:rsid w:val="001769B1"/>
    <w:rsid w:val="001769CA"/>
    <w:rsid w:val="00176C64"/>
    <w:rsid w:val="00176E65"/>
    <w:rsid w:val="001774F5"/>
    <w:rsid w:val="00177AFF"/>
    <w:rsid w:val="00177FC3"/>
    <w:rsid w:val="0018007C"/>
    <w:rsid w:val="0018012F"/>
    <w:rsid w:val="001805EE"/>
    <w:rsid w:val="00180620"/>
    <w:rsid w:val="001806CE"/>
    <w:rsid w:val="00180712"/>
    <w:rsid w:val="00180807"/>
    <w:rsid w:val="00180B6B"/>
    <w:rsid w:val="00180DD8"/>
    <w:rsid w:val="00180ECD"/>
    <w:rsid w:val="00181217"/>
    <w:rsid w:val="0018128E"/>
    <w:rsid w:val="0018165D"/>
    <w:rsid w:val="00181710"/>
    <w:rsid w:val="00181812"/>
    <w:rsid w:val="00181817"/>
    <w:rsid w:val="0018197E"/>
    <w:rsid w:val="00181FC8"/>
    <w:rsid w:val="00182528"/>
    <w:rsid w:val="00182ADD"/>
    <w:rsid w:val="00182B6D"/>
    <w:rsid w:val="00182B9B"/>
    <w:rsid w:val="00182BE7"/>
    <w:rsid w:val="00182EFA"/>
    <w:rsid w:val="00183149"/>
    <w:rsid w:val="00183204"/>
    <w:rsid w:val="001834B2"/>
    <w:rsid w:val="00183614"/>
    <w:rsid w:val="00183CB7"/>
    <w:rsid w:val="00183D65"/>
    <w:rsid w:val="00184003"/>
    <w:rsid w:val="0018409D"/>
    <w:rsid w:val="001841DF"/>
    <w:rsid w:val="00184E24"/>
    <w:rsid w:val="00184E91"/>
    <w:rsid w:val="00185256"/>
    <w:rsid w:val="00185909"/>
    <w:rsid w:val="00185AC3"/>
    <w:rsid w:val="00185B95"/>
    <w:rsid w:val="00185BED"/>
    <w:rsid w:val="00185F11"/>
    <w:rsid w:val="001860CC"/>
    <w:rsid w:val="001865C8"/>
    <w:rsid w:val="00186781"/>
    <w:rsid w:val="00187057"/>
    <w:rsid w:val="00187424"/>
    <w:rsid w:val="001875A6"/>
    <w:rsid w:val="00187A66"/>
    <w:rsid w:val="00187ABC"/>
    <w:rsid w:val="00187B5D"/>
    <w:rsid w:val="00187B97"/>
    <w:rsid w:val="00187F2F"/>
    <w:rsid w:val="00187FE5"/>
    <w:rsid w:val="00190125"/>
    <w:rsid w:val="001902AF"/>
    <w:rsid w:val="00190476"/>
    <w:rsid w:val="00190DD3"/>
    <w:rsid w:val="00191411"/>
    <w:rsid w:val="001915BE"/>
    <w:rsid w:val="00191773"/>
    <w:rsid w:val="00191AD2"/>
    <w:rsid w:val="00191C87"/>
    <w:rsid w:val="001921D9"/>
    <w:rsid w:val="00192EBE"/>
    <w:rsid w:val="00192F82"/>
    <w:rsid w:val="0019315A"/>
    <w:rsid w:val="0019355B"/>
    <w:rsid w:val="00193924"/>
    <w:rsid w:val="00193A63"/>
    <w:rsid w:val="00193DAF"/>
    <w:rsid w:val="00193FF9"/>
    <w:rsid w:val="001940B1"/>
    <w:rsid w:val="0019422D"/>
    <w:rsid w:val="00194C8D"/>
    <w:rsid w:val="00194DC8"/>
    <w:rsid w:val="00194E84"/>
    <w:rsid w:val="001950CD"/>
    <w:rsid w:val="001953B3"/>
    <w:rsid w:val="00195438"/>
    <w:rsid w:val="0019582E"/>
    <w:rsid w:val="001959A3"/>
    <w:rsid w:val="001963E5"/>
    <w:rsid w:val="00196FD8"/>
    <w:rsid w:val="0019731A"/>
    <w:rsid w:val="0019756C"/>
    <w:rsid w:val="00197695"/>
    <w:rsid w:val="0019780B"/>
    <w:rsid w:val="00197A63"/>
    <w:rsid w:val="00197BAA"/>
    <w:rsid w:val="00197CCD"/>
    <w:rsid w:val="00197F77"/>
    <w:rsid w:val="001A02AC"/>
    <w:rsid w:val="001A0567"/>
    <w:rsid w:val="001A0CB8"/>
    <w:rsid w:val="001A0CD1"/>
    <w:rsid w:val="001A13E0"/>
    <w:rsid w:val="001A143F"/>
    <w:rsid w:val="001A14E3"/>
    <w:rsid w:val="001A16C7"/>
    <w:rsid w:val="001A1994"/>
    <w:rsid w:val="001A1B65"/>
    <w:rsid w:val="001A1CED"/>
    <w:rsid w:val="001A230D"/>
    <w:rsid w:val="001A249C"/>
    <w:rsid w:val="001A24CB"/>
    <w:rsid w:val="001A253A"/>
    <w:rsid w:val="001A2CF5"/>
    <w:rsid w:val="001A3197"/>
    <w:rsid w:val="001A3485"/>
    <w:rsid w:val="001A37BE"/>
    <w:rsid w:val="001A399D"/>
    <w:rsid w:val="001A3B6C"/>
    <w:rsid w:val="001A3EDE"/>
    <w:rsid w:val="001A3FB1"/>
    <w:rsid w:val="001A40AB"/>
    <w:rsid w:val="001A4B68"/>
    <w:rsid w:val="001A4E54"/>
    <w:rsid w:val="001A4F2D"/>
    <w:rsid w:val="001A58A4"/>
    <w:rsid w:val="001A58D6"/>
    <w:rsid w:val="001A5D1E"/>
    <w:rsid w:val="001A6331"/>
    <w:rsid w:val="001A67DF"/>
    <w:rsid w:val="001A6BD8"/>
    <w:rsid w:val="001A6C7D"/>
    <w:rsid w:val="001A6FB1"/>
    <w:rsid w:val="001A70A6"/>
    <w:rsid w:val="001A7554"/>
    <w:rsid w:val="001A79FB"/>
    <w:rsid w:val="001A7AC6"/>
    <w:rsid w:val="001A7F14"/>
    <w:rsid w:val="001A7F80"/>
    <w:rsid w:val="001B0056"/>
    <w:rsid w:val="001B00FE"/>
    <w:rsid w:val="001B01D5"/>
    <w:rsid w:val="001B024C"/>
    <w:rsid w:val="001B0287"/>
    <w:rsid w:val="001B02A2"/>
    <w:rsid w:val="001B0966"/>
    <w:rsid w:val="001B0A6C"/>
    <w:rsid w:val="001B1253"/>
    <w:rsid w:val="001B148F"/>
    <w:rsid w:val="001B1955"/>
    <w:rsid w:val="001B1FB0"/>
    <w:rsid w:val="001B2470"/>
    <w:rsid w:val="001B2722"/>
    <w:rsid w:val="001B2737"/>
    <w:rsid w:val="001B2E1A"/>
    <w:rsid w:val="001B2E92"/>
    <w:rsid w:val="001B3134"/>
    <w:rsid w:val="001B3278"/>
    <w:rsid w:val="001B3D7B"/>
    <w:rsid w:val="001B3DB6"/>
    <w:rsid w:val="001B3FB0"/>
    <w:rsid w:val="001B3FE7"/>
    <w:rsid w:val="001B468E"/>
    <w:rsid w:val="001B4B38"/>
    <w:rsid w:val="001B4B4D"/>
    <w:rsid w:val="001B5616"/>
    <w:rsid w:val="001B5C10"/>
    <w:rsid w:val="001B5C1C"/>
    <w:rsid w:val="001B5D3E"/>
    <w:rsid w:val="001B5EBB"/>
    <w:rsid w:val="001B6867"/>
    <w:rsid w:val="001B68F3"/>
    <w:rsid w:val="001B6A4D"/>
    <w:rsid w:val="001B6C94"/>
    <w:rsid w:val="001B6E46"/>
    <w:rsid w:val="001B74DE"/>
    <w:rsid w:val="001B789A"/>
    <w:rsid w:val="001B7925"/>
    <w:rsid w:val="001C0653"/>
    <w:rsid w:val="001C0739"/>
    <w:rsid w:val="001C0AC1"/>
    <w:rsid w:val="001C0DFE"/>
    <w:rsid w:val="001C116F"/>
    <w:rsid w:val="001C123F"/>
    <w:rsid w:val="001C192F"/>
    <w:rsid w:val="001C1DE9"/>
    <w:rsid w:val="001C2129"/>
    <w:rsid w:val="001C2177"/>
    <w:rsid w:val="001C2219"/>
    <w:rsid w:val="001C266A"/>
    <w:rsid w:val="001C2999"/>
    <w:rsid w:val="001C2C58"/>
    <w:rsid w:val="001C2E9C"/>
    <w:rsid w:val="001C3410"/>
    <w:rsid w:val="001C3E0D"/>
    <w:rsid w:val="001C4637"/>
    <w:rsid w:val="001C481D"/>
    <w:rsid w:val="001C484E"/>
    <w:rsid w:val="001C49EB"/>
    <w:rsid w:val="001C5318"/>
    <w:rsid w:val="001C5370"/>
    <w:rsid w:val="001C5646"/>
    <w:rsid w:val="001C5DCB"/>
    <w:rsid w:val="001C6528"/>
    <w:rsid w:val="001C678F"/>
    <w:rsid w:val="001C67F6"/>
    <w:rsid w:val="001C6C1D"/>
    <w:rsid w:val="001C70BF"/>
    <w:rsid w:val="001C77DA"/>
    <w:rsid w:val="001C7DC4"/>
    <w:rsid w:val="001D0453"/>
    <w:rsid w:val="001D07E3"/>
    <w:rsid w:val="001D0935"/>
    <w:rsid w:val="001D0AE1"/>
    <w:rsid w:val="001D0BDF"/>
    <w:rsid w:val="001D11C8"/>
    <w:rsid w:val="001D124C"/>
    <w:rsid w:val="001D193C"/>
    <w:rsid w:val="001D1C86"/>
    <w:rsid w:val="001D2149"/>
    <w:rsid w:val="001D22C5"/>
    <w:rsid w:val="001D2447"/>
    <w:rsid w:val="001D2482"/>
    <w:rsid w:val="001D24BD"/>
    <w:rsid w:val="001D2A69"/>
    <w:rsid w:val="001D2E79"/>
    <w:rsid w:val="001D3098"/>
    <w:rsid w:val="001D3601"/>
    <w:rsid w:val="001D3DE5"/>
    <w:rsid w:val="001D4B62"/>
    <w:rsid w:val="001D5002"/>
    <w:rsid w:val="001D5038"/>
    <w:rsid w:val="001D55C1"/>
    <w:rsid w:val="001D60AD"/>
    <w:rsid w:val="001D6182"/>
    <w:rsid w:val="001D6365"/>
    <w:rsid w:val="001D6932"/>
    <w:rsid w:val="001D6ACA"/>
    <w:rsid w:val="001D6D41"/>
    <w:rsid w:val="001D6D89"/>
    <w:rsid w:val="001D6D9F"/>
    <w:rsid w:val="001D712A"/>
    <w:rsid w:val="001D723B"/>
    <w:rsid w:val="001D72ED"/>
    <w:rsid w:val="001D7570"/>
    <w:rsid w:val="001D782D"/>
    <w:rsid w:val="001D78EF"/>
    <w:rsid w:val="001D7907"/>
    <w:rsid w:val="001D7B25"/>
    <w:rsid w:val="001D7FC0"/>
    <w:rsid w:val="001E0168"/>
    <w:rsid w:val="001E033D"/>
    <w:rsid w:val="001E0A6D"/>
    <w:rsid w:val="001E0F7C"/>
    <w:rsid w:val="001E16C1"/>
    <w:rsid w:val="001E1FC5"/>
    <w:rsid w:val="001E229F"/>
    <w:rsid w:val="001E23F4"/>
    <w:rsid w:val="001E2451"/>
    <w:rsid w:val="001E28C5"/>
    <w:rsid w:val="001E29AB"/>
    <w:rsid w:val="001E2A84"/>
    <w:rsid w:val="001E2E13"/>
    <w:rsid w:val="001E36A8"/>
    <w:rsid w:val="001E3A24"/>
    <w:rsid w:val="001E3A5F"/>
    <w:rsid w:val="001E3E4F"/>
    <w:rsid w:val="001E4350"/>
    <w:rsid w:val="001E43DC"/>
    <w:rsid w:val="001E4B1C"/>
    <w:rsid w:val="001E4B74"/>
    <w:rsid w:val="001E4CEA"/>
    <w:rsid w:val="001E58B1"/>
    <w:rsid w:val="001E59B0"/>
    <w:rsid w:val="001E5B9C"/>
    <w:rsid w:val="001E5FC3"/>
    <w:rsid w:val="001E68D7"/>
    <w:rsid w:val="001E6EE2"/>
    <w:rsid w:val="001E757F"/>
    <w:rsid w:val="001E7675"/>
    <w:rsid w:val="001E7A02"/>
    <w:rsid w:val="001E7C07"/>
    <w:rsid w:val="001E7C2C"/>
    <w:rsid w:val="001E7FE1"/>
    <w:rsid w:val="001F00E3"/>
    <w:rsid w:val="001F012F"/>
    <w:rsid w:val="001F057D"/>
    <w:rsid w:val="001F07C4"/>
    <w:rsid w:val="001F0EC4"/>
    <w:rsid w:val="001F0EE5"/>
    <w:rsid w:val="001F108B"/>
    <w:rsid w:val="001F1406"/>
    <w:rsid w:val="001F15B9"/>
    <w:rsid w:val="001F17D2"/>
    <w:rsid w:val="001F27DC"/>
    <w:rsid w:val="001F305A"/>
    <w:rsid w:val="001F316B"/>
    <w:rsid w:val="001F323D"/>
    <w:rsid w:val="001F352D"/>
    <w:rsid w:val="001F399C"/>
    <w:rsid w:val="001F3DBF"/>
    <w:rsid w:val="001F3F21"/>
    <w:rsid w:val="001F3F46"/>
    <w:rsid w:val="001F468D"/>
    <w:rsid w:val="001F49F3"/>
    <w:rsid w:val="001F4C8C"/>
    <w:rsid w:val="001F4DE9"/>
    <w:rsid w:val="001F4E75"/>
    <w:rsid w:val="001F5160"/>
    <w:rsid w:val="001F56F7"/>
    <w:rsid w:val="001F5751"/>
    <w:rsid w:val="001F58A8"/>
    <w:rsid w:val="001F5B27"/>
    <w:rsid w:val="001F6378"/>
    <w:rsid w:val="001F647E"/>
    <w:rsid w:val="001F6730"/>
    <w:rsid w:val="001F6F4A"/>
    <w:rsid w:val="001F75EC"/>
    <w:rsid w:val="001F7768"/>
    <w:rsid w:val="001F7861"/>
    <w:rsid w:val="001F7E19"/>
    <w:rsid w:val="001F7EF7"/>
    <w:rsid w:val="0020054D"/>
    <w:rsid w:val="00200580"/>
    <w:rsid w:val="00200B05"/>
    <w:rsid w:val="00200C1F"/>
    <w:rsid w:val="0020198B"/>
    <w:rsid w:val="00201A52"/>
    <w:rsid w:val="00201A60"/>
    <w:rsid w:val="00202206"/>
    <w:rsid w:val="0020225D"/>
    <w:rsid w:val="002023E2"/>
    <w:rsid w:val="002023FE"/>
    <w:rsid w:val="0020255A"/>
    <w:rsid w:val="00202831"/>
    <w:rsid w:val="00202904"/>
    <w:rsid w:val="00202DAE"/>
    <w:rsid w:val="00203112"/>
    <w:rsid w:val="002032D4"/>
    <w:rsid w:val="00203379"/>
    <w:rsid w:val="00203E31"/>
    <w:rsid w:val="00203F29"/>
    <w:rsid w:val="0020402C"/>
    <w:rsid w:val="0020423C"/>
    <w:rsid w:val="00204350"/>
    <w:rsid w:val="00204642"/>
    <w:rsid w:val="00204DC5"/>
    <w:rsid w:val="00204ED7"/>
    <w:rsid w:val="002050F2"/>
    <w:rsid w:val="00205157"/>
    <w:rsid w:val="0020535E"/>
    <w:rsid w:val="002053A0"/>
    <w:rsid w:val="002054A3"/>
    <w:rsid w:val="002055DA"/>
    <w:rsid w:val="00205631"/>
    <w:rsid w:val="0020573D"/>
    <w:rsid w:val="0020597D"/>
    <w:rsid w:val="00205C44"/>
    <w:rsid w:val="00205C9E"/>
    <w:rsid w:val="00205D01"/>
    <w:rsid w:val="00205D24"/>
    <w:rsid w:val="00205D47"/>
    <w:rsid w:val="00205E4E"/>
    <w:rsid w:val="00205EF3"/>
    <w:rsid w:val="00205FAB"/>
    <w:rsid w:val="00206BC2"/>
    <w:rsid w:val="00206F5E"/>
    <w:rsid w:val="00207394"/>
    <w:rsid w:val="002073A5"/>
    <w:rsid w:val="00207428"/>
    <w:rsid w:val="00207810"/>
    <w:rsid w:val="002079AF"/>
    <w:rsid w:val="00207AC8"/>
    <w:rsid w:val="00207EFD"/>
    <w:rsid w:val="00210449"/>
    <w:rsid w:val="0021047A"/>
    <w:rsid w:val="00210582"/>
    <w:rsid w:val="0021079F"/>
    <w:rsid w:val="00210821"/>
    <w:rsid w:val="00210943"/>
    <w:rsid w:val="00210EB8"/>
    <w:rsid w:val="002110F1"/>
    <w:rsid w:val="002116AB"/>
    <w:rsid w:val="002119FD"/>
    <w:rsid w:val="00211ABE"/>
    <w:rsid w:val="00211B06"/>
    <w:rsid w:val="00212299"/>
    <w:rsid w:val="002122FE"/>
    <w:rsid w:val="00212B33"/>
    <w:rsid w:val="00212F0F"/>
    <w:rsid w:val="00213318"/>
    <w:rsid w:val="00213A59"/>
    <w:rsid w:val="00213A8E"/>
    <w:rsid w:val="002145DF"/>
    <w:rsid w:val="00214B0B"/>
    <w:rsid w:val="00214CF8"/>
    <w:rsid w:val="00214D3B"/>
    <w:rsid w:val="0021552C"/>
    <w:rsid w:val="00215545"/>
    <w:rsid w:val="0021575A"/>
    <w:rsid w:val="00215A01"/>
    <w:rsid w:val="00215A61"/>
    <w:rsid w:val="00215E57"/>
    <w:rsid w:val="00215ECF"/>
    <w:rsid w:val="00216053"/>
    <w:rsid w:val="0021625B"/>
    <w:rsid w:val="002162B8"/>
    <w:rsid w:val="00216AF7"/>
    <w:rsid w:val="00216D2F"/>
    <w:rsid w:val="00216FFB"/>
    <w:rsid w:val="002172B6"/>
    <w:rsid w:val="00217C70"/>
    <w:rsid w:val="00217CB9"/>
    <w:rsid w:val="00217D53"/>
    <w:rsid w:val="00217E7B"/>
    <w:rsid w:val="00217EC9"/>
    <w:rsid w:val="00220515"/>
    <w:rsid w:val="00220661"/>
    <w:rsid w:val="00220B44"/>
    <w:rsid w:val="00221513"/>
    <w:rsid w:val="0022152B"/>
    <w:rsid w:val="002215F0"/>
    <w:rsid w:val="0022174A"/>
    <w:rsid w:val="0022195D"/>
    <w:rsid w:val="00222433"/>
    <w:rsid w:val="00222816"/>
    <w:rsid w:val="002228F7"/>
    <w:rsid w:val="00222948"/>
    <w:rsid w:val="00223022"/>
    <w:rsid w:val="0022317E"/>
    <w:rsid w:val="0022329E"/>
    <w:rsid w:val="002236C4"/>
    <w:rsid w:val="00223ABE"/>
    <w:rsid w:val="00223BD3"/>
    <w:rsid w:val="00223EC9"/>
    <w:rsid w:val="00224269"/>
    <w:rsid w:val="0022432F"/>
    <w:rsid w:val="00224C4A"/>
    <w:rsid w:val="00224E5F"/>
    <w:rsid w:val="00225247"/>
    <w:rsid w:val="00225582"/>
    <w:rsid w:val="002256A3"/>
    <w:rsid w:val="00225C3A"/>
    <w:rsid w:val="00225D24"/>
    <w:rsid w:val="00225D27"/>
    <w:rsid w:val="0022693D"/>
    <w:rsid w:val="00226A86"/>
    <w:rsid w:val="002272A4"/>
    <w:rsid w:val="002276BE"/>
    <w:rsid w:val="00227E7F"/>
    <w:rsid w:val="00227F22"/>
    <w:rsid w:val="002301D3"/>
    <w:rsid w:val="0023026F"/>
    <w:rsid w:val="002302B5"/>
    <w:rsid w:val="00230A0C"/>
    <w:rsid w:val="00230AF7"/>
    <w:rsid w:val="00230C57"/>
    <w:rsid w:val="00230CEF"/>
    <w:rsid w:val="00230DFC"/>
    <w:rsid w:val="00231313"/>
    <w:rsid w:val="002315B8"/>
    <w:rsid w:val="002315B9"/>
    <w:rsid w:val="00232234"/>
    <w:rsid w:val="0023251D"/>
    <w:rsid w:val="0023281E"/>
    <w:rsid w:val="002328A6"/>
    <w:rsid w:val="00232A8A"/>
    <w:rsid w:val="00232AAA"/>
    <w:rsid w:val="00232D55"/>
    <w:rsid w:val="00232F3F"/>
    <w:rsid w:val="002331C1"/>
    <w:rsid w:val="0023347E"/>
    <w:rsid w:val="0023352C"/>
    <w:rsid w:val="0023447D"/>
    <w:rsid w:val="00234758"/>
    <w:rsid w:val="002349E2"/>
    <w:rsid w:val="00234AEB"/>
    <w:rsid w:val="00234FDA"/>
    <w:rsid w:val="002351EC"/>
    <w:rsid w:val="00235562"/>
    <w:rsid w:val="00235D1B"/>
    <w:rsid w:val="00235D85"/>
    <w:rsid w:val="00236453"/>
    <w:rsid w:val="002368A3"/>
    <w:rsid w:val="00236FEB"/>
    <w:rsid w:val="002372CC"/>
    <w:rsid w:val="002372DC"/>
    <w:rsid w:val="0023731A"/>
    <w:rsid w:val="002374E1"/>
    <w:rsid w:val="0023777F"/>
    <w:rsid w:val="00237AC8"/>
    <w:rsid w:val="00237B9D"/>
    <w:rsid w:val="00237C8D"/>
    <w:rsid w:val="00237D6D"/>
    <w:rsid w:val="00240007"/>
    <w:rsid w:val="002408BC"/>
    <w:rsid w:val="002408FA"/>
    <w:rsid w:val="00240904"/>
    <w:rsid w:val="00240C11"/>
    <w:rsid w:val="00240C63"/>
    <w:rsid w:val="00240ED0"/>
    <w:rsid w:val="00241370"/>
    <w:rsid w:val="0024145D"/>
    <w:rsid w:val="00241807"/>
    <w:rsid w:val="00241865"/>
    <w:rsid w:val="00241E78"/>
    <w:rsid w:val="00241EB7"/>
    <w:rsid w:val="0024205D"/>
    <w:rsid w:val="00242201"/>
    <w:rsid w:val="00242213"/>
    <w:rsid w:val="002427E8"/>
    <w:rsid w:val="00242816"/>
    <w:rsid w:val="00242975"/>
    <w:rsid w:val="002429C4"/>
    <w:rsid w:val="00242FAB"/>
    <w:rsid w:val="00243512"/>
    <w:rsid w:val="00243612"/>
    <w:rsid w:val="00243AF7"/>
    <w:rsid w:val="002440A5"/>
    <w:rsid w:val="0024500A"/>
    <w:rsid w:val="0024528A"/>
    <w:rsid w:val="00245D0B"/>
    <w:rsid w:val="00245EA8"/>
    <w:rsid w:val="0024638D"/>
    <w:rsid w:val="002465FF"/>
    <w:rsid w:val="002469F5"/>
    <w:rsid w:val="00246B70"/>
    <w:rsid w:val="00246B76"/>
    <w:rsid w:val="00246B84"/>
    <w:rsid w:val="00246CD8"/>
    <w:rsid w:val="00247153"/>
    <w:rsid w:val="002472A4"/>
    <w:rsid w:val="002472D9"/>
    <w:rsid w:val="002472E9"/>
    <w:rsid w:val="0024759D"/>
    <w:rsid w:val="002476B7"/>
    <w:rsid w:val="002478D2"/>
    <w:rsid w:val="002478D5"/>
    <w:rsid w:val="00247C85"/>
    <w:rsid w:val="00250854"/>
    <w:rsid w:val="0025103F"/>
    <w:rsid w:val="002510BC"/>
    <w:rsid w:val="00251327"/>
    <w:rsid w:val="00251461"/>
    <w:rsid w:val="002516B4"/>
    <w:rsid w:val="002517FA"/>
    <w:rsid w:val="002517FF"/>
    <w:rsid w:val="00252B3D"/>
    <w:rsid w:val="00253C8B"/>
    <w:rsid w:val="00253EE3"/>
    <w:rsid w:val="002540C9"/>
    <w:rsid w:val="0025418D"/>
    <w:rsid w:val="00254297"/>
    <w:rsid w:val="002544CD"/>
    <w:rsid w:val="0025453D"/>
    <w:rsid w:val="00254625"/>
    <w:rsid w:val="002549A1"/>
    <w:rsid w:val="00254DA1"/>
    <w:rsid w:val="002551CE"/>
    <w:rsid w:val="00255482"/>
    <w:rsid w:val="002557A1"/>
    <w:rsid w:val="0025582A"/>
    <w:rsid w:val="0025593C"/>
    <w:rsid w:val="0025599E"/>
    <w:rsid w:val="00255F7B"/>
    <w:rsid w:val="002563C5"/>
    <w:rsid w:val="00256A00"/>
    <w:rsid w:val="002571B9"/>
    <w:rsid w:val="00257495"/>
    <w:rsid w:val="002574D2"/>
    <w:rsid w:val="0025783C"/>
    <w:rsid w:val="00260BD0"/>
    <w:rsid w:val="00260F5E"/>
    <w:rsid w:val="00261D95"/>
    <w:rsid w:val="00261E78"/>
    <w:rsid w:val="00261EEC"/>
    <w:rsid w:val="002624DE"/>
    <w:rsid w:val="00262632"/>
    <w:rsid w:val="00262897"/>
    <w:rsid w:val="00262C3A"/>
    <w:rsid w:val="00262CA1"/>
    <w:rsid w:val="002637A6"/>
    <w:rsid w:val="00263BD8"/>
    <w:rsid w:val="00263D2A"/>
    <w:rsid w:val="00264277"/>
    <w:rsid w:val="00264887"/>
    <w:rsid w:val="002648B0"/>
    <w:rsid w:val="002649B6"/>
    <w:rsid w:val="00264AA3"/>
    <w:rsid w:val="00265052"/>
    <w:rsid w:val="002650D3"/>
    <w:rsid w:val="00265499"/>
    <w:rsid w:val="00265536"/>
    <w:rsid w:val="0026555C"/>
    <w:rsid w:val="002659DD"/>
    <w:rsid w:val="00265B71"/>
    <w:rsid w:val="00265DF0"/>
    <w:rsid w:val="0026601B"/>
    <w:rsid w:val="00266503"/>
    <w:rsid w:val="00266DD0"/>
    <w:rsid w:val="00266F63"/>
    <w:rsid w:val="002672E7"/>
    <w:rsid w:val="00267645"/>
    <w:rsid w:val="00267BAF"/>
    <w:rsid w:val="002706F2"/>
    <w:rsid w:val="0027080F"/>
    <w:rsid w:val="002708C4"/>
    <w:rsid w:val="002708CE"/>
    <w:rsid w:val="00270A62"/>
    <w:rsid w:val="00271307"/>
    <w:rsid w:val="0027147B"/>
    <w:rsid w:val="002714BB"/>
    <w:rsid w:val="002715A1"/>
    <w:rsid w:val="00271AA6"/>
    <w:rsid w:val="00271C96"/>
    <w:rsid w:val="00271D94"/>
    <w:rsid w:val="00271EF3"/>
    <w:rsid w:val="002723ED"/>
    <w:rsid w:val="002725D6"/>
    <w:rsid w:val="002727A7"/>
    <w:rsid w:val="00272C6A"/>
    <w:rsid w:val="002738E2"/>
    <w:rsid w:val="00273D60"/>
    <w:rsid w:val="00273DB5"/>
    <w:rsid w:val="00273E0A"/>
    <w:rsid w:val="00273EE1"/>
    <w:rsid w:val="0027426D"/>
    <w:rsid w:val="0027491B"/>
    <w:rsid w:val="002749DF"/>
    <w:rsid w:val="00274A55"/>
    <w:rsid w:val="00274FBC"/>
    <w:rsid w:val="002752B2"/>
    <w:rsid w:val="00275584"/>
    <w:rsid w:val="00275592"/>
    <w:rsid w:val="00275600"/>
    <w:rsid w:val="0027562E"/>
    <w:rsid w:val="00275750"/>
    <w:rsid w:val="0027603A"/>
    <w:rsid w:val="002769C8"/>
    <w:rsid w:val="00276B9E"/>
    <w:rsid w:val="00276F2F"/>
    <w:rsid w:val="002778D9"/>
    <w:rsid w:val="00277D37"/>
    <w:rsid w:val="0028009A"/>
    <w:rsid w:val="00280196"/>
    <w:rsid w:val="002805D1"/>
    <w:rsid w:val="00280AB2"/>
    <w:rsid w:val="00280F33"/>
    <w:rsid w:val="00281175"/>
    <w:rsid w:val="00281187"/>
    <w:rsid w:val="0028149F"/>
    <w:rsid w:val="002814F1"/>
    <w:rsid w:val="00281DB0"/>
    <w:rsid w:val="00282706"/>
    <w:rsid w:val="002829C1"/>
    <w:rsid w:val="00282BE7"/>
    <w:rsid w:val="00282E3C"/>
    <w:rsid w:val="00283309"/>
    <w:rsid w:val="00283327"/>
    <w:rsid w:val="00283481"/>
    <w:rsid w:val="00283BB3"/>
    <w:rsid w:val="00284411"/>
    <w:rsid w:val="00284A35"/>
    <w:rsid w:val="002850E5"/>
    <w:rsid w:val="00285417"/>
    <w:rsid w:val="002855F5"/>
    <w:rsid w:val="002857D8"/>
    <w:rsid w:val="00285A48"/>
    <w:rsid w:val="00285C97"/>
    <w:rsid w:val="00285F07"/>
    <w:rsid w:val="0028678D"/>
    <w:rsid w:val="00286A8C"/>
    <w:rsid w:val="00286C01"/>
    <w:rsid w:val="002871A7"/>
    <w:rsid w:val="00287720"/>
    <w:rsid w:val="00287799"/>
    <w:rsid w:val="002877F4"/>
    <w:rsid w:val="00287B2C"/>
    <w:rsid w:val="00287B31"/>
    <w:rsid w:val="00287D18"/>
    <w:rsid w:val="00287D41"/>
    <w:rsid w:val="00287F5A"/>
    <w:rsid w:val="002902B3"/>
    <w:rsid w:val="002904D9"/>
    <w:rsid w:val="00290502"/>
    <w:rsid w:val="00290946"/>
    <w:rsid w:val="002909E6"/>
    <w:rsid w:val="00290E95"/>
    <w:rsid w:val="00290EF8"/>
    <w:rsid w:val="00290F98"/>
    <w:rsid w:val="0029194B"/>
    <w:rsid w:val="00291E60"/>
    <w:rsid w:val="00291E9F"/>
    <w:rsid w:val="00291F0A"/>
    <w:rsid w:val="00292181"/>
    <w:rsid w:val="002926EA"/>
    <w:rsid w:val="00292C2E"/>
    <w:rsid w:val="00292CF3"/>
    <w:rsid w:val="00292DB0"/>
    <w:rsid w:val="00292EE3"/>
    <w:rsid w:val="00292F92"/>
    <w:rsid w:val="00292FF8"/>
    <w:rsid w:val="002930E0"/>
    <w:rsid w:val="0029326F"/>
    <w:rsid w:val="002932F3"/>
    <w:rsid w:val="002936DC"/>
    <w:rsid w:val="00293A93"/>
    <w:rsid w:val="00293CD6"/>
    <w:rsid w:val="00294289"/>
    <w:rsid w:val="002942AD"/>
    <w:rsid w:val="002946BA"/>
    <w:rsid w:val="0029475A"/>
    <w:rsid w:val="0029479F"/>
    <w:rsid w:val="0029493E"/>
    <w:rsid w:val="00294AF0"/>
    <w:rsid w:val="00294E5D"/>
    <w:rsid w:val="00294E8F"/>
    <w:rsid w:val="00295064"/>
    <w:rsid w:val="0029511E"/>
    <w:rsid w:val="00295518"/>
    <w:rsid w:val="00295797"/>
    <w:rsid w:val="00295B98"/>
    <w:rsid w:val="002961CD"/>
    <w:rsid w:val="002963D5"/>
    <w:rsid w:val="00296555"/>
    <w:rsid w:val="00296ADD"/>
    <w:rsid w:val="00296E09"/>
    <w:rsid w:val="002970CA"/>
    <w:rsid w:val="0029715B"/>
    <w:rsid w:val="0029723E"/>
    <w:rsid w:val="002972F2"/>
    <w:rsid w:val="0029730F"/>
    <w:rsid w:val="002979EB"/>
    <w:rsid w:val="00297B5C"/>
    <w:rsid w:val="00297F77"/>
    <w:rsid w:val="002A06E5"/>
    <w:rsid w:val="002A1362"/>
    <w:rsid w:val="002A1369"/>
    <w:rsid w:val="002A1935"/>
    <w:rsid w:val="002A219B"/>
    <w:rsid w:val="002A2203"/>
    <w:rsid w:val="002A2422"/>
    <w:rsid w:val="002A2489"/>
    <w:rsid w:val="002A24DE"/>
    <w:rsid w:val="002A26B1"/>
    <w:rsid w:val="002A275A"/>
    <w:rsid w:val="002A276E"/>
    <w:rsid w:val="002A2B5C"/>
    <w:rsid w:val="002A2CC5"/>
    <w:rsid w:val="002A2D66"/>
    <w:rsid w:val="002A2FA8"/>
    <w:rsid w:val="002A30CE"/>
    <w:rsid w:val="002A3192"/>
    <w:rsid w:val="002A32BE"/>
    <w:rsid w:val="002A373E"/>
    <w:rsid w:val="002A37E2"/>
    <w:rsid w:val="002A3AAC"/>
    <w:rsid w:val="002A3AF1"/>
    <w:rsid w:val="002A3C11"/>
    <w:rsid w:val="002A3C8A"/>
    <w:rsid w:val="002A4471"/>
    <w:rsid w:val="002A4492"/>
    <w:rsid w:val="002A456D"/>
    <w:rsid w:val="002A45DE"/>
    <w:rsid w:val="002A4DEF"/>
    <w:rsid w:val="002A501B"/>
    <w:rsid w:val="002A5366"/>
    <w:rsid w:val="002A549D"/>
    <w:rsid w:val="002A59DA"/>
    <w:rsid w:val="002A5A67"/>
    <w:rsid w:val="002A5C9D"/>
    <w:rsid w:val="002A5F95"/>
    <w:rsid w:val="002A6354"/>
    <w:rsid w:val="002A680C"/>
    <w:rsid w:val="002A6BB7"/>
    <w:rsid w:val="002A7160"/>
    <w:rsid w:val="002A7461"/>
    <w:rsid w:val="002A76A5"/>
    <w:rsid w:val="002A77A8"/>
    <w:rsid w:val="002A7C8B"/>
    <w:rsid w:val="002A7CBF"/>
    <w:rsid w:val="002B00E9"/>
    <w:rsid w:val="002B0385"/>
    <w:rsid w:val="002B06A4"/>
    <w:rsid w:val="002B07C0"/>
    <w:rsid w:val="002B0E2E"/>
    <w:rsid w:val="002B0F49"/>
    <w:rsid w:val="002B1695"/>
    <w:rsid w:val="002B16A2"/>
    <w:rsid w:val="002B1A59"/>
    <w:rsid w:val="002B1BF5"/>
    <w:rsid w:val="002B1CAE"/>
    <w:rsid w:val="002B1CE2"/>
    <w:rsid w:val="002B20EA"/>
    <w:rsid w:val="002B24DC"/>
    <w:rsid w:val="002B2589"/>
    <w:rsid w:val="002B29E3"/>
    <w:rsid w:val="002B34E7"/>
    <w:rsid w:val="002B3901"/>
    <w:rsid w:val="002B4576"/>
    <w:rsid w:val="002B490F"/>
    <w:rsid w:val="002B50E2"/>
    <w:rsid w:val="002B50FC"/>
    <w:rsid w:val="002B52C2"/>
    <w:rsid w:val="002B53F1"/>
    <w:rsid w:val="002B561E"/>
    <w:rsid w:val="002B59B9"/>
    <w:rsid w:val="002B5F64"/>
    <w:rsid w:val="002B64AF"/>
    <w:rsid w:val="002B6879"/>
    <w:rsid w:val="002B6F4F"/>
    <w:rsid w:val="002B7392"/>
    <w:rsid w:val="002B7452"/>
    <w:rsid w:val="002B74F0"/>
    <w:rsid w:val="002B767E"/>
    <w:rsid w:val="002B7949"/>
    <w:rsid w:val="002B7A3A"/>
    <w:rsid w:val="002B7C24"/>
    <w:rsid w:val="002C0079"/>
    <w:rsid w:val="002C007E"/>
    <w:rsid w:val="002C026F"/>
    <w:rsid w:val="002C0680"/>
    <w:rsid w:val="002C146C"/>
    <w:rsid w:val="002C1A0A"/>
    <w:rsid w:val="002C1A63"/>
    <w:rsid w:val="002C1B42"/>
    <w:rsid w:val="002C1BA4"/>
    <w:rsid w:val="002C1C45"/>
    <w:rsid w:val="002C21A5"/>
    <w:rsid w:val="002C2268"/>
    <w:rsid w:val="002C22B4"/>
    <w:rsid w:val="002C22E6"/>
    <w:rsid w:val="002C2619"/>
    <w:rsid w:val="002C2DC5"/>
    <w:rsid w:val="002C2F3B"/>
    <w:rsid w:val="002C2FC8"/>
    <w:rsid w:val="002C37DF"/>
    <w:rsid w:val="002C394E"/>
    <w:rsid w:val="002C3988"/>
    <w:rsid w:val="002C3CA6"/>
    <w:rsid w:val="002C3E17"/>
    <w:rsid w:val="002C3F95"/>
    <w:rsid w:val="002C42ED"/>
    <w:rsid w:val="002C45B4"/>
    <w:rsid w:val="002C46B2"/>
    <w:rsid w:val="002C46F8"/>
    <w:rsid w:val="002C4860"/>
    <w:rsid w:val="002C4CAD"/>
    <w:rsid w:val="002C4DDA"/>
    <w:rsid w:val="002C4F5E"/>
    <w:rsid w:val="002C50F4"/>
    <w:rsid w:val="002C5408"/>
    <w:rsid w:val="002C6508"/>
    <w:rsid w:val="002C6639"/>
    <w:rsid w:val="002C675F"/>
    <w:rsid w:val="002C6E65"/>
    <w:rsid w:val="002C720F"/>
    <w:rsid w:val="002C7757"/>
    <w:rsid w:val="002C7A8E"/>
    <w:rsid w:val="002C7E8D"/>
    <w:rsid w:val="002C7F8D"/>
    <w:rsid w:val="002D0091"/>
    <w:rsid w:val="002D0202"/>
    <w:rsid w:val="002D05EE"/>
    <w:rsid w:val="002D074E"/>
    <w:rsid w:val="002D0B92"/>
    <w:rsid w:val="002D10A0"/>
    <w:rsid w:val="002D10C0"/>
    <w:rsid w:val="002D1250"/>
    <w:rsid w:val="002D17D7"/>
    <w:rsid w:val="002D1AFC"/>
    <w:rsid w:val="002D1DDA"/>
    <w:rsid w:val="002D1E3C"/>
    <w:rsid w:val="002D208C"/>
    <w:rsid w:val="002D2438"/>
    <w:rsid w:val="002D2599"/>
    <w:rsid w:val="002D259F"/>
    <w:rsid w:val="002D27EA"/>
    <w:rsid w:val="002D2A38"/>
    <w:rsid w:val="002D2BA2"/>
    <w:rsid w:val="002D2D01"/>
    <w:rsid w:val="002D2D27"/>
    <w:rsid w:val="002D2E63"/>
    <w:rsid w:val="002D333A"/>
    <w:rsid w:val="002D3433"/>
    <w:rsid w:val="002D35BC"/>
    <w:rsid w:val="002D374A"/>
    <w:rsid w:val="002D3856"/>
    <w:rsid w:val="002D3A21"/>
    <w:rsid w:val="002D3D62"/>
    <w:rsid w:val="002D3EAD"/>
    <w:rsid w:val="002D415B"/>
    <w:rsid w:val="002D4409"/>
    <w:rsid w:val="002D488D"/>
    <w:rsid w:val="002D4E09"/>
    <w:rsid w:val="002D5309"/>
    <w:rsid w:val="002D5442"/>
    <w:rsid w:val="002D5635"/>
    <w:rsid w:val="002D58B3"/>
    <w:rsid w:val="002D5A04"/>
    <w:rsid w:val="002D5A06"/>
    <w:rsid w:val="002D5B3E"/>
    <w:rsid w:val="002D635D"/>
    <w:rsid w:val="002D680E"/>
    <w:rsid w:val="002D72D9"/>
    <w:rsid w:val="002D72FC"/>
    <w:rsid w:val="002D7D02"/>
    <w:rsid w:val="002D7E48"/>
    <w:rsid w:val="002E0755"/>
    <w:rsid w:val="002E0BD0"/>
    <w:rsid w:val="002E0CBA"/>
    <w:rsid w:val="002E0FB6"/>
    <w:rsid w:val="002E124D"/>
    <w:rsid w:val="002E148D"/>
    <w:rsid w:val="002E14A6"/>
    <w:rsid w:val="002E1B33"/>
    <w:rsid w:val="002E1D0B"/>
    <w:rsid w:val="002E2025"/>
    <w:rsid w:val="002E22A1"/>
    <w:rsid w:val="002E2385"/>
    <w:rsid w:val="002E2C04"/>
    <w:rsid w:val="002E3F31"/>
    <w:rsid w:val="002E3FCF"/>
    <w:rsid w:val="002E4050"/>
    <w:rsid w:val="002E430D"/>
    <w:rsid w:val="002E48CF"/>
    <w:rsid w:val="002E4A06"/>
    <w:rsid w:val="002E4A49"/>
    <w:rsid w:val="002E4E55"/>
    <w:rsid w:val="002E4F0B"/>
    <w:rsid w:val="002E5234"/>
    <w:rsid w:val="002E52E1"/>
    <w:rsid w:val="002E5302"/>
    <w:rsid w:val="002E56B6"/>
    <w:rsid w:val="002E5990"/>
    <w:rsid w:val="002E5BC9"/>
    <w:rsid w:val="002E60D6"/>
    <w:rsid w:val="002E6790"/>
    <w:rsid w:val="002E6A71"/>
    <w:rsid w:val="002E6B05"/>
    <w:rsid w:val="002E6DDD"/>
    <w:rsid w:val="002E6F32"/>
    <w:rsid w:val="002E787E"/>
    <w:rsid w:val="002E7AEA"/>
    <w:rsid w:val="002E7BB0"/>
    <w:rsid w:val="002F038D"/>
    <w:rsid w:val="002F07D7"/>
    <w:rsid w:val="002F0FAA"/>
    <w:rsid w:val="002F1419"/>
    <w:rsid w:val="002F14F3"/>
    <w:rsid w:val="002F1835"/>
    <w:rsid w:val="002F18BD"/>
    <w:rsid w:val="002F1CEB"/>
    <w:rsid w:val="002F23BE"/>
    <w:rsid w:val="002F250B"/>
    <w:rsid w:val="002F2531"/>
    <w:rsid w:val="002F2817"/>
    <w:rsid w:val="002F291C"/>
    <w:rsid w:val="002F29FC"/>
    <w:rsid w:val="002F2E1A"/>
    <w:rsid w:val="002F3057"/>
    <w:rsid w:val="002F35ED"/>
    <w:rsid w:val="002F3715"/>
    <w:rsid w:val="002F3D55"/>
    <w:rsid w:val="002F3D5B"/>
    <w:rsid w:val="002F4052"/>
    <w:rsid w:val="002F45C3"/>
    <w:rsid w:val="002F49AA"/>
    <w:rsid w:val="002F58C1"/>
    <w:rsid w:val="002F58D5"/>
    <w:rsid w:val="002F58EF"/>
    <w:rsid w:val="002F5EF5"/>
    <w:rsid w:val="002F5F7D"/>
    <w:rsid w:val="002F6097"/>
    <w:rsid w:val="002F6788"/>
    <w:rsid w:val="002F69B3"/>
    <w:rsid w:val="002F6BD7"/>
    <w:rsid w:val="002F715D"/>
    <w:rsid w:val="002F74F6"/>
    <w:rsid w:val="002F75F1"/>
    <w:rsid w:val="002F78C5"/>
    <w:rsid w:val="002F796F"/>
    <w:rsid w:val="002F7CA3"/>
    <w:rsid w:val="00300439"/>
    <w:rsid w:val="003004E3"/>
    <w:rsid w:val="00300909"/>
    <w:rsid w:val="00300AA7"/>
    <w:rsid w:val="00300AB5"/>
    <w:rsid w:val="00300DB8"/>
    <w:rsid w:val="003013D9"/>
    <w:rsid w:val="003013F3"/>
    <w:rsid w:val="00301580"/>
    <w:rsid w:val="003022EB"/>
    <w:rsid w:val="003025F8"/>
    <w:rsid w:val="00302777"/>
    <w:rsid w:val="00302AE3"/>
    <w:rsid w:val="00302BD7"/>
    <w:rsid w:val="00302D2C"/>
    <w:rsid w:val="00302E66"/>
    <w:rsid w:val="003031CF"/>
    <w:rsid w:val="003032A7"/>
    <w:rsid w:val="00303347"/>
    <w:rsid w:val="003035FB"/>
    <w:rsid w:val="00304125"/>
    <w:rsid w:val="00304244"/>
    <w:rsid w:val="003043B3"/>
    <w:rsid w:val="00304521"/>
    <w:rsid w:val="0030499B"/>
    <w:rsid w:val="00304AF4"/>
    <w:rsid w:val="00304DBB"/>
    <w:rsid w:val="00304F1B"/>
    <w:rsid w:val="00305129"/>
    <w:rsid w:val="00305B2E"/>
    <w:rsid w:val="003066E3"/>
    <w:rsid w:val="00306992"/>
    <w:rsid w:val="00306A9A"/>
    <w:rsid w:val="00306D66"/>
    <w:rsid w:val="00306DA2"/>
    <w:rsid w:val="00306DA4"/>
    <w:rsid w:val="00306F77"/>
    <w:rsid w:val="00307436"/>
    <w:rsid w:val="00307629"/>
    <w:rsid w:val="00307AAB"/>
    <w:rsid w:val="00307D71"/>
    <w:rsid w:val="00307ECB"/>
    <w:rsid w:val="00310021"/>
    <w:rsid w:val="003108D3"/>
    <w:rsid w:val="00310A35"/>
    <w:rsid w:val="00310C5C"/>
    <w:rsid w:val="00310E0F"/>
    <w:rsid w:val="00310E45"/>
    <w:rsid w:val="00310EA5"/>
    <w:rsid w:val="00311251"/>
    <w:rsid w:val="003115E7"/>
    <w:rsid w:val="003119F1"/>
    <w:rsid w:val="00311AA3"/>
    <w:rsid w:val="00311CD2"/>
    <w:rsid w:val="00311D0B"/>
    <w:rsid w:val="00312008"/>
    <w:rsid w:val="0031201A"/>
    <w:rsid w:val="0031214A"/>
    <w:rsid w:val="00312398"/>
    <w:rsid w:val="00312958"/>
    <w:rsid w:val="00313275"/>
    <w:rsid w:val="0031340F"/>
    <w:rsid w:val="003134D1"/>
    <w:rsid w:val="00313896"/>
    <w:rsid w:val="00313AB8"/>
    <w:rsid w:val="00314050"/>
    <w:rsid w:val="003142BD"/>
    <w:rsid w:val="003142D5"/>
    <w:rsid w:val="00314311"/>
    <w:rsid w:val="00314584"/>
    <w:rsid w:val="00314A0F"/>
    <w:rsid w:val="00314C28"/>
    <w:rsid w:val="00314C5A"/>
    <w:rsid w:val="00315235"/>
    <w:rsid w:val="003152A8"/>
    <w:rsid w:val="003154AF"/>
    <w:rsid w:val="00315B86"/>
    <w:rsid w:val="00315E5E"/>
    <w:rsid w:val="0031609A"/>
    <w:rsid w:val="0031654B"/>
    <w:rsid w:val="00316646"/>
    <w:rsid w:val="003168BA"/>
    <w:rsid w:val="00316CF5"/>
    <w:rsid w:val="00316F63"/>
    <w:rsid w:val="0031715E"/>
    <w:rsid w:val="003171DA"/>
    <w:rsid w:val="003175CD"/>
    <w:rsid w:val="003175D7"/>
    <w:rsid w:val="00317773"/>
    <w:rsid w:val="0031787F"/>
    <w:rsid w:val="003178D8"/>
    <w:rsid w:val="0031799E"/>
    <w:rsid w:val="00317DD7"/>
    <w:rsid w:val="0032031E"/>
    <w:rsid w:val="003203CB"/>
    <w:rsid w:val="003204E0"/>
    <w:rsid w:val="0032063B"/>
    <w:rsid w:val="00320739"/>
    <w:rsid w:val="00320BD4"/>
    <w:rsid w:val="00320E34"/>
    <w:rsid w:val="00321223"/>
    <w:rsid w:val="00321360"/>
    <w:rsid w:val="00321380"/>
    <w:rsid w:val="0032152D"/>
    <w:rsid w:val="0032159C"/>
    <w:rsid w:val="00321686"/>
    <w:rsid w:val="00321C47"/>
    <w:rsid w:val="0032210B"/>
    <w:rsid w:val="0032213B"/>
    <w:rsid w:val="00322374"/>
    <w:rsid w:val="0032260D"/>
    <w:rsid w:val="00322D00"/>
    <w:rsid w:val="00322ED4"/>
    <w:rsid w:val="003233D2"/>
    <w:rsid w:val="0032389C"/>
    <w:rsid w:val="00323CAB"/>
    <w:rsid w:val="00323D50"/>
    <w:rsid w:val="003240E8"/>
    <w:rsid w:val="003248AD"/>
    <w:rsid w:val="00324BC6"/>
    <w:rsid w:val="00324E51"/>
    <w:rsid w:val="003252DF"/>
    <w:rsid w:val="003253E9"/>
    <w:rsid w:val="00325637"/>
    <w:rsid w:val="0032564F"/>
    <w:rsid w:val="00325D10"/>
    <w:rsid w:val="00325E5A"/>
    <w:rsid w:val="003263B2"/>
    <w:rsid w:val="003263CD"/>
    <w:rsid w:val="00326431"/>
    <w:rsid w:val="00326489"/>
    <w:rsid w:val="00326724"/>
    <w:rsid w:val="00326C1B"/>
    <w:rsid w:val="00327378"/>
    <w:rsid w:val="0032760B"/>
    <w:rsid w:val="003278E9"/>
    <w:rsid w:val="00327A58"/>
    <w:rsid w:val="00327D8F"/>
    <w:rsid w:val="00327FB3"/>
    <w:rsid w:val="003301D1"/>
    <w:rsid w:val="00330577"/>
    <w:rsid w:val="0033074D"/>
    <w:rsid w:val="003307D8"/>
    <w:rsid w:val="0033090F"/>
    <w:rsid w:val="00330A55"/>
    <w:rsid w:val="00330B20"/>
    <w:rsid w:val="00330C83"/>
    <w:rsid w:val="00330D5A"/>
    <w:rsid w:val="00330EE5"/>
    <w:rsid w:val="00330F2B"/>
    <w:rsid w:val="00330F4B"/>
    <w:rsid w:val="00331102"/>
    <w:rsid w:val="0033153F"/>
    <w:rsid w:val="00331653"/>
    <w:rsid w:val="0033169C"/>
    <w:rsid w:val="00331918"/>
    <w:rsid w:val="00331B8A"/>
    <w:rsid w:val="00331F55"/>
    <w:rsid w:val="00332182"/>
    <w:rsid w:val="0033249A"/>
    <w:rsid w:val="003324DD"/>
    <w:rsid w:val="0033270C"/>
    <w:rsid w:val="00332738"/>
    <w:rsid w:val="0033278D"/>
    <w:rsid w:val="0033288E"/>
    <w:rsid w:val="00332C2C"/>
    <w:rsid w:val="00332C64"/>
    <w:rsid w:val="003333FB"/>
    <w:rsid w:val="00333583"/>
    <w:rsid w:val="003335BE"/>
    <w:rsid w:val="00333A78"/>
    <w:rsid w:val="00333F5B"/>
    <w:rsid w:val="003347F1"/>
    <w:rsid w:val="003349F9"/>
    <w:rsid w:val="00334A5F"/>
    <w:rsid w:val="00334B0D"/>
    <w:rsid w:val="00334D26"/>
    <w:rsid w:val="00334EAF"/>
    <w:rsid w:val="003352F4"/>
    <w:rsid w:val="0033534A"/>
    <w:rsid w:val="00335456"/>
    <w:rsid w:val="00335518"/>
    <w:rsid w:val="0033552F"/>
    <w:rsid w:val="0033557C"/>
    <w:rsid w:val="003356D5"/>
    <w:rsid w:val="00335B51"/>
    <w:rsid w:val="003365C5"/>
    <w:rsid w:val="003366DD"/>
    <w:rsid w:val="00336DBE"/>
    <w:rsid w:val="00336E61"/>
    <w:rsid w:val="0033706F"/>
    <w:rsid w:val="00337FBF"/>
    <w:rsid w:val="00337FF0"/>
    <w:rsid w:val="00340D23"/>
    <w:rsid w:val="00340D4F"/>
    <w:rsid w:val="00340E1A"/>
    <w:rsid w:val="00340FA1"/>
    <w:rsid w:val="00341187"/>
    <w:rsid w:val="003415A6"/>
    <w:rsid w:val="0034169C"/>
    <w:rsid w:val="00341AA7"/>
    <w:rsid w:val="00341AD4"/>
    <w:rsid w:val="00341C53"/>
    <w:rsid w:val="00341DA8"/>
    <w:rsid w:val="0034282F"/>
    <w:rsid w:val="003428CD"/>
    <w:rsid w:val="00343397"/>
    <w:rsid w:val="00343746"/>
    <w:rsid w:val="00343A36"/>
    <w:rsid w:val="00344180"/>
    <w:rsid w:val="003443A1"/>
    <w:rsid w:val="003443C3"/>
    <w:rsid w:val="003444BF"/>
    <w:rsid w:val="003447CE"/>
    <w:rsid w:val="003447D2"/>
    <w:rsid w:val="00344C28"/>
    <w:rsid w:val="00344CA8"/>
    <w:rsid w:val="00344D05"/>
    <w:rsid w:val="00344DBC"/>
    <w:rsid w:val="00344FD8"/>
    <w:rsid w:val="003455B0"/>
    <w:rsid w:val="0034562B"/>
    <w:rsid w:val="003459AF"/>
    <w:rsid w:val="00345F47"/>
    <w:rsid w:val="00346417"/>
    <w:rsid w:val="0034680A"/>
    <w:rsid w:val="003468DE"/>
    <w:rsid w:val="00346A51"/>
    <w:rsid w:val="00346CF6"/>
    <w:rsid w:val="0034709B"/>
    <w:rsid w:val="0034782B"/>
    <w:rsid w:val="00347879"/>
    <w:rsid w:val="00347BB9"/>
    <w:rsid w:val="00347E9D"/>
    <w:rsid w:val="003506AD"/>
    <w:rsid w:val="00350891"/>
    <w:rsid w:val="00350D20"/>
    <w:rsid w:val="00350DEE"/>
    <w:rsid w:val="00350F8B"/>
    <w:rsid w:val="00350FAA"/>
    <w:rsid w:val="0035118A"/>
    <w:rsid w:val="00351819"/>
    <w:rsid w:val="00351B08"/>
    <w:rsid w:val="00351C9C"/>
    <w:rsid w:val="003522EF"/>
    <w:rsid w:val="0035235F"/>
    <w:rsid w:val="003524FA"/>
    <w:rsid w:val="003527F5"/>
    <w:rsid w:val="00352AF1"/>
    <w:rsid w:val="00352DC9"/>
    <w:rsid w:val="00352F4D"/>
    <w:rsid w:val="0035301F"/>
    <w:rsid w:val="0035317C"/>
    <w:rsid w:val="0035324C"/>
    <w:rsid w:val="003532F9"/>
    <w:rsid w:val="0035337D"/>
    <w:rsid w:val="003537F0"/>
    <w:rsid w:val="00353840"/>
    <w:rsid w:val="003539E8"/>
    <w:rsid w:val="0035416C"/>
    <w:rsid w:val="00354426"/>
    <w:rsid w:val="00354ED4"/>
    <w:rsid w:val="0035562C"/>
    <w:rsid w:val="0035566E"/>
    <w:rsid w:val="003557CD"/>
    <w:rsid w:val="00355EDB"/>
    <w:rsid w:val="00356108"/>
    <w:rsid w:val="003561AA"/>
    <w:rsid w:val="00356907"/>
    <w:rsid w:val="00356CC4"/>
    <w:rsid w:val="003571CD"/>
    <w:rsid w:val="003572AC"/>
    <w:rsid w:val="0035759A"/>
    <w:rsid w:val="003577C4"/>
    <w:rsid w:val="003577CB"/>
    <w:rsid w:val="00357941"/>
    <w:rsid w:val="003579A1"/>
    <w:rsid w:val="00357DBC"/>
    <w:rsid w:val="00357EB1"/>
    <w:rsid w:val="003608F0"/>
    <w:rsid w:val="00360A72"/>
    <w:rsid w:val="00360B1C"/>
    <w:rsid w:val="00361125"/>
    <w:rsid w:val="003618FE"/>
    <w:rsid w:val="00361973"/>
    <w:rsid w:val="00361E2A"/>
    <w:rsid w:val="003628FF"/>
    <w:rsid w:val="00362900"/>
    <w:rsid w:val="0036293C"/>
    <w:rsid w:val="00363392"/>
    <w:rsid w:val="003636AA"/>
    <w:rsid w:val="00363C14"/>
    <w:rsid w:val="00363ECE"/>
    <w:rsid w:val="00363F3A"/>
    <w:rsid w:val="003642AB"/>
    <w:rsid w:val="003646D3"/>
    <w:rsid w:val="00364791"/>
    <w:rsid w:val="00364809"/>
    <w:rsid w:val="00364A76"/>
    <w:rsid w:val="00364B7D"/>
    <w:rsid w:val="00364CB8"/>
    <w:rsid w:val="00364CDB"/>
    <w:rsid w:val="0036527A"/>
    <w:rsid w:val="00365454"/>
    <w:rsid w:val="00365743"/>
    <w:rsid w:val="00365A46"/>
    <w:rsid w:val="00366769"/>
    <w:rsid w:val="00366BCA"/>
    <w:rsid w:val="00366C36"/>
    <w:rsid w:val="00366E19"/>
    <w:rsid w:val="00366F9C"/>
    <w:rsid w:val="003677B5"/>
    <w:rsid w:val="003678B5"/>
    <w:rsid w:val="00367AD3"/>
    <w:rsid w:val="00370080"/>
    <w:rsid w:val="0037038E"/>
    <w:rsid w:val="00370597"/>
    <w:rsid w:val="00370BEC"/>
    <w:rsid w:val="00370C86"/>
    <w:rsid w:val="00370CA2"/>
    <w:rsid w:val="00370CF2"/>
    <w:rsid w:val="00370F1E"/>
    <w:rsid w:val="00371A5B"/>
    <w:rsid w:val="00371B0D"/>
    <w:rsid w:val="00371C44"/>
    <w:rsid w:val="0037228C"/>
    <w:rsid w:val="00372A97"/>
    <w:rsid w:val="00373312"/>
    <w:rsid w:val="0037395E"/>
    <w:rsid w:val="00373A5F"/>
    <w:rsid w:val="00373A77"/>
    <w:rsid w:val="00373BF2"/>
    <w:rsid w:val="00373D4F"/>
    <w:rsid w:val="00373E13"/>
    <w:rsid w:val="0037413C"/>
    <w:rsid w:val="003747F5"/>
    <w:rsid w:val="0037496D"/>
    <w:rsid w:val="00374EF9"/>
    <w:rsid w:val="0037501D"/>
    <w:rsid w:val="0037501F"/>
    <w:rsid w:val="00375156"/>
    <w:rsid w:val="003751BE"/>
    <w:rsid w:val="0037523F"/>
    <w:rsid w:val="003758F0"/>
    <w:rsid w:val="00375AA7"/>
    <w:rsid w:val="00375C6D"/>
    <w:rsid w:val="00375C6E"/>
    <w:rsid w:val="003760DF"/>
    <w:rsid w:val="00376DCC"/>
    <w:rsid w:val="003770C8"/>
    <w:rsid w:val="00377532"/>
    <w:rsid w:val="003777D7"/>
    <w:rsid w:val="003777E8"/>
    <w:rsid w:val="00377C2B"/>
    <w:rsid w:val="00377E3B"/>
    <w:rsid w:val="003800E2"/>
    <w:rsid w:val="003801F5"/>
    <w:rsid w:val="0038021A"/>
    <w:rsid w:val="003806FA"/>
    <w:rsid w:val="00380851"/>
    <w:rsid w:val="003809C5"/>
    <w:rsid w:val="00380A7D"/>
    <w:rsid w:val="00380AAF"/>
    <w:rsid w:val="00380E66"/>
    <w:rsid w:val="00380E86"/>
    <w:rsid w:val="00380F10"/>
    <w:rsid w:val="00381076"/>
    <w:rsid w:val="00381245"/>
    <w:rsid w:val="00381493"/>
    <w:rsid w:val="00381994"/>
    <w:rsid w:val="00381C8F"/>
    <w:rsid w:val="00381DE7"/>
    <w:rsid w:val="0038208F"/>
    <w:rsid w:val="003820CF"/>
    <w:rsid w:val="003825B3"/>
    <w:rsid w:val="00382A76"/>
    <w:rsid w:val="00382FF7"/>
    <w:rsid w:val="0038304B"/>
    <w:rsid w:val="00383459"/>
    <w:rsid w:val="00383849"/>
    <w:rsid w:val="003838A5"/>
    <w:rsid w:val="003839D1"/>
    <w:rsid w:val="00384022"/>
    <w:rsid w:val="0038413F"/>
    <w:rsid w:val="00384685"/>
    <w:rsid w:val="003846F1"/>
    <w:rsid w:val="003847F2"/>
    <w:rsid w:val="00385120"/>
    <w:rsid w:val="00385636"/>
    <w:rsid w:val="0038574F"/>
    <w:rsid w:val="003857EB"/>
    <w:rsid w:val="00385E6A"/>
    <w:rsid w:val="00385F21"/>
    <w:rsid w:val="00385F6D"/>
    <w:rsid w:val="00386682"/>
    <w:rsid w:val="00386743"/>
    <w:rsid w:val="00386ADE"/>
    <w:rsid w:val="00386B8E"/>
    <w:rsid w:val="003874D1"/>
    <w:rsid w:val="00387A71"/>
    <w:rsid w:val="00387F49"/>
    <w:rsid w:val="0039060F"/>
    <w:rsid w:val="003909D5"/>
    <w:rsid w:val="00390D69"/>
    <w:rsid w:val="00390D89"/>
    <w:rsid w:val="0039161F"/>
    <w:rsid w:val="00391B41"/>
    <w:rsid w:val="00391FCD"/>
    <w:rsid w:val="003922DA"/>
    <w:rsid w:val="003927F9"/>
    <w:rsid w:val="0039287A"/>
    <w:rsid w:val="00392C91"/>
    <w:rsid w:val="00392EB2"/>
    <w:rsid w:val="00392F2D"/>
    <w:rsid w:val="0039309B"/>
    <w:rsid w:val="00393235"/>
    <w:rsid w:val="0039336F"/>
    <w:rsid w:val="003934D2"/>
    <w:rsid w:val="00393CD3"/>
    <w:rsid w:val="00393D1D"/>
    <w:rsid w:val="00393D68"/>
    <w:rsid w:val="00393E09"/>
    <w:rsid w:val="00393FAC"/>
    <w:rsid w:val="003943F3"/>
    <w:rsid w:val="00394809"/>
    <w:rsid w:val="00394B1B"/>
    <w:rsid w:val="00395252"/>
    <w:rsid w:val="00395283"/>
    <w:rsid w:val="00395475"/>
    <w:rsid w:val="003955EE"/>
    <w:rsid w:val="0039568F"/>
    <w:rsid w:val="003959E4"/>
    <w:rsid w:val="00395B70"/>
    <w:rsid w:val="003960AC"/>
    <w:rsid w:val="003964DF"/>
    <w:rsid w:val="00396B02"/>
    <w:rsid w:val="00396C49"/>
    <w:rsid w:val="00396DE8"/>
    <w:rsid w:val="00396F24"/>
    <w:rsid w:val="00396FD1"/>
    <w:rsid w:val="00397407"/>
    <w:rsid w:val="00397668"/>
    <w:rsid w:val="003978E7"/>
    <w:rsid w:val="003979AD"/>
    <w:rsid w:val="003979E9"/>
    <w:rsid w:val="00397B08"/>
    <w:rsid w:val="00397F71"/>
    <w:rsid w:val="003A01E2"/>
    <w:rsid w:val="003A02E6"/>
    <w:rsid w:val="003A090F"/>
    <w:rsid w:val="003A0B18"/>
    <w:rsid w:val="003A0C6D"/>
    <w:rsid w:val="003A0EA5"/>
    <w:rsid w:val="003A0FA7"/>
    <w:rsid w:val="003A116E"/>
    <w:rsid w:val="003A1203"/>
    <w:rsid w:val="003A19DB"/>
    <w:rsid w:val="003A1CA4"/>
    <w:rsid w:val="003A2071"/>
    <w:rsid w:val="003A22AF"/>
    <w:rsid w:val="003A2301"/>
    <w:rsid w:val="003A263C"/>
    <w:rsid w:val="003A28D7"/>
    <w:rsid w:val="003A293E"/>
    <w:rsid w:val="003A2DC3"/>
    <w:rsid w:val="003A304C"/>
    <w:rsid w:val="003A33DB"/>
    <w:rsid w:val="003A3BEC"/>
    <w:rsid w:val="003A3CFC"/>
    <w:rsid w:val="003A415A"/>
    <w:rsid w:val="003A43DE"/>
    <w:rsid w:val="003A4473"/>
    <w:rsid w:val="003A45B9"/>
    <w:rsid w:val="003A4EDE"/>
    <w:rsid w:val="003A5682"/>
    <w:rsid w:val="003A57F5"/>
    <w:rsid w:val="003A5E03"/>
    <w:rsid w:val="003A6739"/>
    <w:rsid w:val="003A6894"/>
    <w:rsid w:val="003A6909"/>
    <w:rsid w:val="003A6C09"/>
    <w:rsid w:val="003A76AA"/>
    <w:rsid w:val="003A7C4A"/>
    <w:rsid w:val="003B0231"/>
    <w:rsid w:val="003B02DF"/>
    <w:rsid w:val="003B0412"/>
    <w:rsid w:val="003B086F"/>
    <w:rsid w:val="003B0D3E"/>
    <w:rsid w:val="003B0F4B"/>
    <w:rsid w:val="003B140A"/>
    <w:rsid w:val="003B1416"/>
    <w:rsid w:val="003B1BD8"/>
    <w:rsid w:val="003B1E48"/>
    <w:rsid w:val="003B1E9B"/>
    <w:rsid w:val="003B1EFA"/>
    <w:rsid w:val="003B225F"/>
    <w:rsid w:val="003B23CC"/>
    <w:rsid w:val="003B26E8"/>
    <w:rsid w:val="003B2DFE"/>
    <w:rsid w:val="003B2E25"/>
    <w:rsid w:val="003B312E"/>
    <w:rsid w:val="003B33D2"/>
    <w:rsid w:val="003B3619"/>
    <w:rsid w:val="003B3931"/>
    <w:rsid w:val="003B3974"/>
    <w:rsid w:val="003B3F65"/>
    <w:rsid w:val="003B4136"/>
    <w:rsid w:val="003B463C"/>
    <w:rsid w:val="003B48E1"/>
    <w:rsid w:val="003B49F0"/>
    <w:rsid w:val="003B4C9B"/>
    <w:rsid w:val="003B509C"/>
    <w:rsid w:val="003B50CF"/>
    <w:rsid w:val="003B52B4"/>
    <w:rsid w:val="003B5342"/>
    <w:rsid w:val="003B5358"/>
    <w:rsid w:val="003B54D1"/>
    <w:rsid w:val="003B574A"/>
    <w:rsid w:val="003B5B26"/>
    <w:rsid w:val="003B5D54"/>
    <w:rsid w:val="003B6047"/>
    <w:rsid w:val="003B621D"/>
    <w:rsid w:val="003B6487"/>
    <w:rsid w:val="003B6929"/>
    <w:rsid w:val="003B6B73"/>
    <w:rsid w:val="003B6CE6"/>
    <w:rsid w:val="003B6F27"/>
    <w:rsid w:val="003B70E5"/>
    <w:rsid w:val="003B713F"/>
    <w:rsid w:val="003B75F4"/>
    <w:rsid w:val="003B796D"/>
    <w:rsid w:val="003C01CF"/>
    <w:rsid w:val="003C0A27"/>
    <w:rsid w:val="003C0FE8"/>
    <w:rsid w:val="003C137C"/>
    <w:rsid w:val="003C1C68"/>
    <w:rsid w:val="003C24A0"/>
    <w:rsid w:val="003C2736"/>
    <w:rsid w:val="003C278A"/>
    <w:rsid w:val="003C27C7"/>
    <w:rsid w:val="003C2974"/>
    <w:rsid w:val="003C297F"/>
    <w:rsid w:val="003C2D3F"/>
    <w:rsid w:val="003C2E25"/>
    <w:rsid w:val="003C306D"/>
    <w:rsid w:val="003C3158"/>
    <w:rsid w:val="003C4498"/>
    <w:rsid w:val="003C4562"/>
    <w:rsid w:val="003C474E"/>
    <w:rsid w:val="003C4F0B"/>
    <w:rsid w:val="003C529B"/>
    <w:rsid w:val="003C5376"/>
    <w:rsid w:val="003C5496"/>
    <w:rsid w:val="003C54CF"/>
    <w:rsid w:val="003C575D"/>
    <w:rsid w:val="003C5CA9"/>
    <w:rsid w:val="003C5E66"/>
    <w:rsid w:val="003C600C"/>
    <w:rsid w:val="003C605A"/>
    <w:rsid w:val="003C61CD"/>
    <w:rsid w:val="003C6397"/>
    <w:rsid w:val="003C7276"/>
    <w:rsid w:val="003C75B8"/>
    <w:rsid w:val="003C797B"/>
    <w:rsid w:val="003C7BDA"/>
    <w:rsid w:val="003D0386"/>
    <w:rsid w:val="003D0795"/>
    <w:rsid w:val="003D08F0"/>
    <w:rsid w:val="003D0CD6"/>
    <w:rsid w:val="003D0EF6"/>
    <w:rsid w:val="003D11EE"/>
    <w:rsid w:val="003D17CE"/>
    <w:rsid w:val="003D1F1D"/>
    <w:rsid w:val="003D21A1"/>
    <w:rsid w:val="003D21D8"/>
    <w:rsid w:val="003D227D"/>
    <w:rsid w:val="003D2316"/>
    <w:rsid w:val="003D252E"/>
    <w:rsid w:val="003D2B85"/>
    <w:rsid w:val="003D2D5A"/>
    <w:rsid w:val="003D2F88"/>
    <w:rsid w:val="003D38D8"/>
    <w:rsid w:val="003D3905"/>
    <w:rsid w:val="003D457F"/>
    <w:rsid w:val="003D495E"/>
    <w:rsid w:val="003D4BA6"/>
    <w:rsid w:val="003D4BE3"/>
    <w:rsid w:val="003D55AF"/>
    <w:rsid w:val="003D56C6"/>
    <w:rsid w:val="003D5765"/>
    <w:rsid w:val="003D59A1"/>
    <w:rsid w:val="003D5B38"/>
    <w:rsid w:val="003D658B"/>
    <w:rsid w:val="003D6A1F"/>
    <w:rsid w:val="003D6FE9"/>
    <w:rsid w:val="003D705B"/>
    <w:rsid w:val="003D70C6"/>
    <w:rsid w:val="003D70D9"/>
    <w:rsid w:val="003D73B7"/>
    <w:rsid w:val="003D74DD"/>
    <w:rsid w:val="003D7D71"/>
    <w:rsid w:val="003E089C"/>
    <w:rsid w:val="003E183C"/>
    <w:rsid w:val="003E1E37"/>
    <w:rsid w:val="003E2195"/>
    <w:rsid w:val="003E2405"/>
    <w:rsid w:val="003E295C"/>
    <w:rsid w:val="003E2ABB"/>
    <w:rsid w:val="003E2CB0"/>
    <w:rsid w:val="003E30E2"/>
    <w:rsid w:val="003E3A63"/>
    <w:rsid w:val="003E4010"/>
    <w:rsid w:val="003E41E3"/>
    <w:rsid w:val="003E49D4"/>
    <w:rsid w:val="003E5430"/>
    <w:rsid w:val="003E56FB"/>
    <w:rsid w:val="003E57F0"/>
    <w:rsid w:val="003E59DB"/>
    <w:rsid w:val="003E5A40"/>
    <w:rsid w:val="003E5DE5"/>
    <w:rsid w:val="003E5E33"/>
    <w:rsid w:val="003E60E0"/>
    <w:rsid w:val="003E633F"/>
    <w:rsid w:val="003E6656"/>
    <w:rsid w:val="003E66A0"/>
    <w:rsid w:val="003E69D4"/>
    <w:rsid w:val="003E6B34"/>
    <w:rsid w:val="003E746D"/>
    <w:rsid w:val="003E75C3"/>
    <w:rsid w:val="003E75C4"/>
    <w:rsid w:val="003E7820"/>
    <w:rsid w:val="003E783C"/>
    <w:rsid w:val="003E7971"/>
    <w:rsid w:val="003E797A"/>
    <w:rsid w:val="003E7B6C"/>
    <w:rsid w:val="003E7FC4"/>
    <w:rsid w:val="003F06E4"/>
    <w:rsid w:val="003F0A63"/>
    <w:rsid w:val="003F0BD5"/>
    <w:rsid w:val="003F0EF5"/>
    <w:rsid w:val="003F11C3"/>
    <w:rsid w:val="003F135C"/>
    <w:rsid w:val="003F1668"/>
    <w:rsid w:val="003F1A2F"/>
    <w:rsid w:val="003F1BBF"/>
    <w:rsid w:val="003F20E0"/>
    <w:rsid w:val="003F2137"/>
    <w:rsid w:val="003F24AD"/>
    <w:rsid w:val="003F284C"/>
    <w:rsid w:val="003F2BFC"/>
    <w:rsid w:val="003F2F8F"/>
    <w:rsid w:val="003F2FF1"/>
    <w:rsid w:val="003F3319"/>
    <w:rsid w:val="003F335D"/>
    <w:rsid w:val="003F3B17"/>
    <w:rsid w:val="003F3E23"/>
    <w:rsid w:val="003F3E53"/>
    <w:rsid w:val="003F4178"/>
    <w:rsid w:val="003F46B4"/>
    <w:rsid w:val="003F48D0"/>
    <w:rsid w:val="003F4A13"/>
    <w:rsid w:val="003F4B80"/>
    <w:rsid w:val="003F4EA2"/>
    <w:rsid w:val="003F57FE"/>
    <w:rsid w:val="003F5A8E"/>
    <w:rsid w:val="003F5CD2"/>
    <w:rsid w:val="003F6041"/>
    <w:rsid w:val="003F60CA"/>
    <w:rsid w:val="003F62CF"/>
    <w:rsid w:val="003F6369"/>
    <w:rsid w:val="003F65D8"/>
    <w:rsid w:val="003F665F"/>
    <w:rsid w:val="003F6781"/>
    <w:rsid w:val="003F6873"/>
    <w:rsid w:val="003F68E8"/>
    <w:rsid w:val="003F6A70"/>
    <w:rsid w:val="003F731A"/>
    <w:rsid w:val="003F73EA"/>
    <w:rsid w:val="003F7697"/>
    <w:rsid w:val="003F7D3C"/>
    <w:rsid w:val="003F7F89"/>
    <w:rsid w:val="004004A3"/>
    <w:rsid w:val="00400514"/>
    <w:rsid w:val="00401158"/>
    <w:rsid w:val="004012F7"/>
    <w:rsid w:val="004015DB"/>
    <w:rsid w:val="004016CD"/>
    <w:rsid w:val="0040179D"/>
    <w:rsid w:val="00401961"/>
    <w:rsid w:val="00401A7F"/>
    <w:rsid w:val="0040369F"/>
    <w:rsid w:val="004039F2"/>
    <w:rsid w:val="0040441A"/>
    <w:rsid w:val="0040492D"/>
    <w:rsid w:val="00404B0D"/>
    <w:rsid w:val="00404EA8"/>
    <w:rsid w:val="004055B7"/>
    <w:rsid w:val="004059EE"/>
    <w:rsid w:val="00405A7F"/>
    <w:rsid w:val="00405A8F"/>
    <w:rsid w:val="00405B5F"/>
    <w:rsid w:val="004063F4"/>
    <w:rsid w:val="004064FA"/>
    <w:rsid w:val="0040667D"/>
    <w:rsid w:val="00406775"/>
    <w:rsid w:val="0040695C"/>
    <w:rsid w:val="00406F9C"/>
    <w:rsid w:val="00407293"/>
    <w:rsid w:val="004072F7"/>
    <w:rsid w:val="00407330"/>
    <w:rsid w:val="004074FB"/>
    <w:rsid w:val="0040756B"/>
    <w:rsid w:val="00407660"/>
    <w:rsid w:val="00407731"/>
    <w:rsid w:val="0040777D"/>
    <w:rsid w:val="00407B27"/>
    <w:rsid w:val="00407B55"/>
    <w:rsid w:val="00407C50"/>
    <w:rsid w:val="00407C64"/>
    <w:rsid w:val="00410021"/>
    <w:rsid w:val="00410166"/>
    <w:rsid w:val="00410345"/>
    <w:rsid w:val="00410791"/>
    <w:rsid w:val="00410845"/>
    <w:rsid w:val="00410D42"/>
    <w:rsid w:val="00410E24"/>
    <w:rsid w:val="00410E30"/>
    <w:rsid w:val="00411322"/>
    <w:rsid w:val="0041153F"/>
    <w:rsid w:val="0041178B"/>
    <w:rsid w:val="00411A35"/>
    <w:rsid w:val="00411D12"/>
    <w:rsid w:val="00412333"/>
    <w:rsid w:val="00412AAB"/>
    <w:rsid w:val="00413510"/>
    <w:rsid w:val="004139A4"/>
    <w:rsid w:val="00413B1E"/>
    <w:rsid w:val="00413DC9"/>
    <w:rsid w:val="00414258"/>
    <w:rsid w:val="00414889"/>
    <w:rsid w:val="00414FBA"/>
    <w:rsid w:val="00414FF2"/>
    <w:rsid w:val="00415269"/>
    <w:rsid w:val="00415EA4"/>
    <w:rsid w:val="00415FF7"/>
    <w:rsid w:val="00416098"/>
    <w:rsid w:val="004161AB"/>
    <w:rsid w:val="00416367"/>
    <w:rsid w:val="0041637A"/>
    <w:rsid w:val="004163D5"/>
    <w:rsid w:val="004165A1"/>
    <w:rsid w:val="004168CB"/>
    <w:rsid w:val="00416EBB"/>
    <w:rsid w:val="004170A9"/>
    <w:rsid w:val="004176D0"/>
    <w:rsid w:val="00417B51"/>
    <w:rsid w:val="00420453"/>
    <w:rsid w:val="00420B9A"/>
    <w:rsid w:val="00420DE9"/>
    <w:rsid w:val="00420EAE"/>
    <w:rsid w:val="00420F1A"/>
    <w:rsid w:val="004213DA"/>
    <w:rsid w:val="00421C0B"/>
    <w:rsid w:val="00422DE7"/>
    <w:rsid w:val="00422FFF"/>
    <w:rsid w:val="004230F6"/>
    <w:rsid w:val="00423329"/>
    <w:rsid w:val="00423500"/>
    <w:rsid w:val="00423754"/>
    <w:rsid w:val="00423848"/>
    <w:rsid w:val="00423F1E"/>
    <w:rsid w:val="00423F92"/>
    <w:rsid w:val="0042401F"/>
    <w:rsid w:val="00424272"/>
    <w:rsid w:val="0042486F"/>
    <w:rsid w:val="00424BD8"/>
    <w:rsid w:val="00424EE4"/>
    <w:rsid w:val="00424F7C"/>
    <w:rsid w:val="0042520B"/>
    <w:rsid w:val="00425435"/>
    <w:rsid w:val="00425A7E"/>
    <w:rsid w:val="00425CA0"/>
    <w:rsid w:val="00425E9A"/>
    <w:rsid w:val="00426362"/>
    <w:rsid w:val="004264A2"/>
    <w:rsid w:val="00426679"/>
    <w:rsid w:val="0042675F"/>
    <w:rsid w:val="00426DAB"/>
    <w:rsid w:val="004271D4"/>
    <w:rsid w:val="0042722F"/>
    <w:rsid w:val="00427EEB"/>
    <w:rsid w:val="00430350"/>
    <w:rsid w:val="00430A6D"/>
    <w:rsid w:val="00430AAB"/>
    <w:rsid w:val="00430AE2"/>
    <w:rsid w:val="00430E40"/>
    <w:rsid w:val="00430EF5"/>
    <w:rsid w:val="00430FB2"/>
    <w:rsid w:val="00431529"/>
    <w:rsid w:val="00431540"/>
    <w:rsid w:val="0043155B"/>
    <w:rsid w:val="00432089"/>
    <w:rsid w:val="004324F5"/>
    <w:rsid w:val="004327D6"/>
    <w:rsid w:val="00432D95"/>
    <w:rsid w:val="0043332C"/>
    <w:rsid w:val="00433457"/>
    <w:rsid w:val="00433494"/>
    <w:rsid w:val="004338CA"/>
    <w:rsid w:val="00433C7E"/>
    <w:rsid w:val="00433D3B"/>
    <w:rsid w:val="0043453B"/>
    <w:rsid w:val="00434604"/>
    <w:rsid w:val="00434CE1"/>
    <w:rsid w:val="004351E8"/>
    <w:rsid w:val="004352A0"/>
    <w:rsid w:val="0043553B"/>
    <w:rsid w:val="0043580B"/>
    <w:rsid w:val="00435D14"/>
    <w:rsid w:val="00436005"/>
    <w:rsid w:val="004367AA"/>
    <w:rsid w:val="00436D2E"/>
    <w:rsid w:val="00436E7A"/>
    <w:rsid w:val="004373CF"/>
    <w:rsid w:val="00437456"/>
    <w:rsid w:val="00437C2E"/>
    <w:rsid w:val="004402A6"/>
    <w:rsid w:val="004403DA"/>
    <w:rsid w:val="00440450"/>
    <w:rsid w:val="00440622"/>
    <w:rsid w:val="0044063A"/>
    <w:rsid w:val="00440800"/>
    <w:rsid w:val="00440C32"/>
    <w:rsid w:val="00440D4C"/>
    <w:rsid w:val="004414F7"/>
    <w:rsid w:val="00441853"/>
    <w:rsid w:val="00441A7D"/>
    <w:rsid w:val="00442031"/>
    <w:rsid w:val="00442189"/>
    <w:rsid w:val="004425DE"/>
    <w:rsid w:val="00442BA9"/>
    <w:rsid w:val="00442F37"/>
    <w:rsid w:val="0044358E"/>
    <w:rsid w:val="004439B4"/>
    <w:rsid w:val="00443CF6"/>
    <w:rsid w:val="00443E19"/>
    <w:rsid w:val="00443E9E"/>
    <w:rsid w:val="00444692"/>
    <w:rsid w:val="004447EF"/>
    <w:rsid w:val="00444811"/>
    <w:rsid w:val="00444B2F"/>
    <w:rsid w:val="004451A9"/>
    <w:rsid w:val="0044553F"/>
    <w:rsid w:val="00445564"/>
    <w:rsid w:val="00445853"/>
    <w:rsid w:val="00445A09"/>
    <w:rsid w:val="00445D9C"/>
    <w:rsid w:val="00445FD4"/>
    <w:rsid w:val="004461C5"/>
    <w:rsid w:val="004462E1"/>
    <w:rsid w:val="00446549"/>
    <w:rsid w:val="004465FD"/>
    <w:rsid w:val="00446680"/>
    <w:rsid w:val="00446A32"/>
    <w:rsid w:val="00446E20"/>
    <w:rsid w:val="00446E4C"/>
    <w:rsid w:val="00447014"/>
    <w:rsid w:val="0044706E"/>
    <w:rsid w:val="004472A3"/>
    <w:rsid w:val="0044736D"/>
    <w:rsid w:val="00447390"/>
    <w:rsid w:val="004474F5"/>
    <w:rsid w:val="00447884"/>
    <w:rsid w:val="004479C7"/>
    <w:rsid w:val="00447E6A"/>
    <w:rsid w:val="00450178"/>
    <w:rsid w:val="004503AD"/>
    <w:rsid w:val="0045060B"/>
    <w:rsid w:val="0045079A"/>
    <w:rsid w:val="00451473"/>
    <w:rsid w:val="004514C7"/>
    <w:rsid w:val="00451DC4"/>
    <w:rsid w:val="0045258D"/>
    <w:rsid w:val="00452993"/>
    <w:rsid w:val="00452CA4"/>
    <w:rsid w:val="00452FC2"/>
    <w:rsid w:val="00453902"/>
    <w:rsid w:val="00453CA2"/>
    <w:rsid w:val="00453CBC"/>
    <w:rsid w:val="0045414F"/>
    <w:rsid w:val="004541E7"/>
    <w:rsid w:val="0045433B"/>
    <w:rsid w:val="00454492"/>
    <w:rsid w:val="004544BD"/>
    <w:rsid w:val="0045451D"/>
    <w:rsid w:val="0045484E"/>
    <w:rsid w:val="00454A8E"/>
    <w:rsid w:val="00454EE0"/>
    <w:rsid w:val="00455686"/>
    <w:rsid w:val="00455707"/>
    <w:rsid w:val="004559E9"/>
    <w:rsid w:val="00455A76"/>
    <w:rsid w:val="00455BD9"/>
    <w:rsid w:val="00455BED"/>
    <w:rsid w:val="00455C31"/>
    <w:rsid w:val="00455D1A"/>
    <w:rsid w:val="004567AE"/>
    <w:rsid w:val="00456B4C"/>
    <w:rsid w:val="00456E28"/>
    <w:rsid w:val="00456E41"/>
    <w:rsid w:val="0045713A"/>
    <w:rsid w:val="00457714"/>
    <w:rsid w:val="004579A1"/>
    <w:rsid w:val="00457AEC"/>
    <w:rsid w:val="00457E24"/>
    <w:rsid w:val="0046031D"/>
    <w:rsid w:val="004605F2"/>
    <w:rsid w:val="004608B1"/>
    <w:rsid w:val="004608BA"/>
    <w:rsid w:val="00460A32"/>
    <w:rsid w:val="00461103"/>
    <w:rsid w:val="004613FE"/>
    <w:rsid w:val="0046159B"/>
    <w:rsid w:val="004615EA"/>
    <w:rsid w:val="00461642"/>
    <w:rsid w:val="00461696"/>
    <w:rsid w:val="0046201D"/>
    <w:rsid w:val="004621AA"/>
    <w:rsid w:val="004623A2"/>
    <w:rsid w:val="004624FE"/>
    <w:rsid w:val="004627F3"/>
    <w:rsid w:val="00462A80"/>
    <w:rsid w:val="00462CBF"/>
    <w:rsid w:val="00463143"/>
    <w:rsid w:val="00463269"/>
    <w:rsid w:val="0046345E"/>
    <w:rsid w:val="00463544"/>
    <w:rsid w:val="00463605"/>
    <w:rsid w:val="00463B7C"/>
    <w:rsid w:val="0046408B"/>
    <w:rsid w:val="004642CD"/>
    <w:rsid w:val="004649C9"/>
    <w:rsid w:val="00464AA7"/>
    <w:rsid w:val="00464AD9"/>
    <w:rsid w:val="004650DB"/>
    <w:rsid w:val="004653E6"/>
    <w:rsid w:val="004657FE"/>
    <w:rsid w:val="0046619A"/>
    <w:rsid w:val="0046659F"/>
    <w:rsid w:val="00466BA3"/>
    <w:rsid w:val="00466D90"/>
    <w:rsid w:val="0046788A"/>
    <w:rsid w:val="00470087"/>
    <w:rsid w:val="0047028F"/>
    <w:rsid w:val="00470B42"/>
    <w:rsid w:val="00470B89"/>
    <w:rsid w:val="00470C1C"/>
    <w:rsid w:val="00470CAC"/>
    <w:rsid w:val="00470E88"/>
    <w:rsid w:val="00470FD9"/>
    <w:rsid w:val="00471017"/>
    <w:rsid w:val="004713B0"/>
    <w:rsid w:val="0047196B"/>
    <w:rsid w:val="00471A21"/>
    <w:rsid w:val="00471AEE"/>
    <w:rsid w:val="00471C0A"/>
    <w:rsid w:val="00471CC9"/>
    <w:rsid w:val="004724AB"/>
    <w:rsid w:val="004726FD"/>
    <w:rsid w:val="00472DB4"/>
    <w:rsid w:val="004730F3"/>
    <w:rsid w:val="00473101"/>
    <w:rsid w:val="0047341F"/>
    <w:rsid w:val="004735EE"/>
    <w:rsid w:val="004738A2"/>
    <w:rsid w:val="0047392D"/>
    <w:rsid w:val="00473BC0"/>
    <w:rsid w:val="00473DB1"/>
    <w:rsid w:val="00473DDA"/>
    <w:rsid w:val="004741F1"/>
    <w:rsid w:val="0047420B"/>
    <w:rsid w:val="00474DE2"/>
    <w:rsid w:val="00474F42"/>
    <w:rsid w:val="00474FF5"/>
    <w:rsid w:val="00475575"/>
    <w:rsid w:val="00475A54"/>
    <w:rsid w:val="00475AF3"/>
    <w:rsid w:val="0047604F"/>
    <w:rsid w:val="004761CC"/>
    <w:rsid w:val="0047637D"/>
    <w:rsid w:val="00476EE5"/>
    <w:rsid w:val="004770BD"/>
    <w:rsid w:val="004770FA"/>
    <w:rsid w:val="00477282"/>
    <w:rsid w:val="00477402"/>
    <w:rsid w:val="00477461"/>
    <w:rsid w:val="004807DD"/>
    <w:rsid w:val="004809D5"/>
    <w:rsid w:val="00480F92"/>
    <w:rsid w:val="00481079"/>
    <w:rsid w:val="004810A4"/>
    <w:rsid w:val="00481305"/>
    <w:rsid w:val="00481749"/>
    <w:rsid w:val="00481778"/>
    <w:rsid w:val="00481887"/>
    <w:rsid w:val="00481A5E"/>
    <w:rsid w:val="00482164"/>
    <w:rsid w:val="0048226D"/>
    <w:rsid w:val="004827BF"/>
    <w:rsid w:val="0048285D"/>
    <w:rsid w:val="0048296E"/>
    <w:rsid w:val="00482A0F"/>
    <w:rsid w:val="00482ABB"/>
    <w:rsid w:val="00482F4A"/>
    <w:rsid w:val="00483A68"/>
    <w:rsid w:val="00484026"/>
    <w:rsid w:val="00484DA6"/>
    <w:rsid w:val="004852C6"/>
    <w:rsid w:val="00485473"/>
    <w:rsid w:val="0048554F"/>
    <w:rsid w:val="0048569B"/>
    <w:rsid w:val="00485A6C"/>
    <w:rsid w:val="00485C86"/>
    <w:rsid w:val="00485D48"/>
    <w:rsid w:val="004864AA"/>
    <w:rsid w:val="004866B9"/>
    <w:rsid w:val="0048673C"/>
    <w:rsid w:val="00486CB5"/>
    <w:rsid w:val="0048734B"/>
    <w:rsid w:val="00487511"/>
    <w:rsid w:val="00487B93"/>
    <w:rsid w:val="00487EE7"/>
    <w:rsid w:val="0049019C"/>
    <w:rsid w:val="004907C5"/>
    <w:rsid w:val="00490A2D"/>
    <w:rsid w:val="00490B69"/>
    <w:rsid w:val="00490C81"/>
    <w:rsid w:val="004916B6"/>
    <w:rsid w:val="004917AD"/>
    <w:rsid w:val="00491B0C"/>
    <w:rsid w:val="00492074"/>
    <w:rsid w:val="004925C8"/>
    <w:rsid w:val="0049282A"/>
    <w:rsid w:val="00492EFF"/>
    <w:rsid w:val="00492FC2"/>
    <w:rsid w:val="0049311D"/>
    <w:rsid w:val="0049332C"/>
    <w:rsid w:val="004934C1"/>
    <w:rsid w:val="004938EA"/>
    <w:rsid w:val="00493964"/>
    <w:rsid w:val="0049401C"/>
    <w:rsid w:val="00494022"/>
    <w:rsid w:val="004940A3"/>
    <w:rsid w:val="00494213"/>
    <w:rsid w:val="00494302"/>
    <w:rsid w:val="004949EA"/>
    <w:rsid w:val="00494AA5"/>
    <w:rsid w:val="00494CD1"/>
    <w:rsid w:val="00494D83"/>
    <w:rsid w:val="004953BC"/>
    <w:rsid w:val="004956C6"/>
    <w:rsid w:val="0049580E"/>
    <w:rsid w:val="004958B1"/>
    <w:rsid w:val="00496508"/>
    <w:rsid w:val="00496654"/>
    <w:rsid w:val="00496739"/>
    <w:rsid w:val="00496921"/>
    <w:rsid w:val="00496A0D"/>
    <w:rsid w:val="00496BA0"/>
    <w:rsid w:val="004972A4"/>
    <w:rsid w:val="00497327"/>
    <w:rsid w:val="004973FE"/>
    <w:rsid w:val="00497704"/>
    <w:rsid w:val="0049773A"/>
    <w:rsid w:val="00497CE6"/>
    <w:rsid w:val="004A00F4"/>
    <w:rsid w:val="004A0233"/>
    <w:rsid w:val="004A024E"/>
    <w:rsid w:val="004A02E0"/>
    <w:rsid w:val="004A07A4"/>
    <w:rsid w:val="004A0845"/>
    <w:rsid w:val="004A0981"/>
    <w:rsid w:val="004A0A62"/>
    <w:rsid w:val="004A0E04"/>
    <w:rsid w:val="004A0E5E"/>
    <w:rsid w:val="004A1012"/>
    <w:rsid w:val="004A1067"/>
    <w:rsid w:val="004A13B3"/>
    <w:rsid w:val="004A13C7"/>
    <w:rsid w:val="004A1848"/>
    <w:rsid w:val="004A19F0"/>
    <w:rsid w:val="004A1F8F"/>
    <w:rsid w:val="004A2039"/>
    <w:rsid w:val="004A22D7"/>
    <w:rsid w:val="004A23AD"/>
    <w:rsid w:val="004A2B44"/>
    <w:rsid w:val="004A2CE1"/>
    <w:rsid w:val="004A2D03"/>
    <w:rsid w:val="004A312A"/>
    <w:rsid w:val="004A33DD"/>
    <w:rsid w:val="004A3649"/>
    <w:rsid w:val="004A39D9"/>
    <w:rsid w:val="004A3DAB"/>
    <w:rsid w:val="004A3F37"/>
    <w:rsid w:val="004A4325"/>
    <w:rsid w:val="004A469B"/>
    <w:rsid w:val="004A472A"/>
    <w:rsid w:val="004A4945"/>
    <w:rsid w:val="004A4F28"/>
    <w:rsid w:val="004A6260"/>
    <w:rsid w:val="004A6272"/>
    <w:rsid w:val="004A62E2"/>
    <w:rsid w:val="004A67D4"/>
    <w:rsid w:val="004A67F3"/>
    <w:rsid w:val="004A693C"/>
    <w:rsid w:val="004A6B6B"/>
    <w:rsid w:val="004A6F97"/>
    <w:rsid w:val="004A753B"/>
    <w:rsid w:val="004A757B"/>
    <w:rsid w:val="004A77B4"/>
    <w:rsid w:val="004A7D53"/>
    <w:rsid w:val="004B015F"/>
    <w:rsid w:val="004B02BB"/>
    <w:rsid w:val="004B09C5"/>
    <w:rsid w:val="004B0ABC"/>
    <w:rsid w:val="004B1074"/>
    <w:rsid w:val="004B1154"/>
    <w:rsid w:val="004B130D"/>
    <w:rsid w:val="004B1818"/>
    <w:rsid w:val="004B25FC"/>
    <w:rsid w:val="004B263F"/>
    <w:rsid w:val="004B287F"/>
    <w:rsid w:val="004B2BA1"/>
    <w:rsid w:val="004B2C42"/>
    <w:rsid w:val="004B2F02"/>
    <w:rsid w:val="004B3356"/>
    <w:rsid w:val="004B3637"/>
    <w:rsid w:val="004B367C"/>
    <w:rsid w:val="004B3958"/>
    <w:rsid w:val="004B395A"/>
    <w:rsid w:val="004B3C3A"/>
    <w:rsid w:val="004B3D08"/>
    <w:rsid w:val="004B3E5F"/>
    <w:rsid w:val="004B454B"/>
    <w:rsid w:val="004B458F"/>
    <w:rsid w:val="004B4D87"/>
    <w:rsid w:val="004B4E28"/>
    <w:rsid w:val="004B4E5E"/>
    <w:rsid w:val="004B4F6A"/>
    <w:rsid w:val="004B4FA1"/>
    <w:rsid w:val="004B52AA"/>
    <w:rsid w:val="004B54C3"/>
    <w:rsid w:val="004B54D6"/>
    <w:rsid w:val="004B5F15"/>
    <w:rsid w:val="004B6FB9"/>
    <w:rsid w:val="004B72D5"/>
    <w:rsid w:val="004B72DC"/>
    <w:rsid w:val="004B73F1"/>
    <w:rsid w:val="004B742D"/>
    <w:rsid w:val="004B7581"/>
    <w:rsid w:val="004B75E7"/>
    <w:rsid w:val="004B789B"/>
    <w:rsid w:val="004B7F23"/>
    <w:rsid w:val="004C00AB"/>
    <w:rsid w:val="004C04F5"/>
    <w:rsid w:val="004C0861"/>
    <w:rsid w:val="004C096F"/>
    <w:rsid w:val="004C17E5"/>
    <w:rsid w:val="004C17E6"/>
    <w:rsid w:val="004C1FF0"/>
    <w:rsid w:val="004C21B2"/>
    <w:rsid w:val="004C255B"/>
    <w:rsid w:val="004C2792"/>
    <w:rsid w:val="004C285D"/>
    <w:rsid w:val="004C2877"/>
    <w:rsid w:val="004C2D5B"/>
    <w:rsid w:val="004C2FEB"/>
    <w:rsid w:val="004C3C22"/>
    <w:rsid w:val="004C3F2C"/>
    <w:rsid w:val="004C4239"/>
    <w:rsid w:val="004C42B8"/>
    <w:rsid w:val="004C4687"/>
    <w:rsid w:val="004C499E"/>
    <w:rsid w:val="004C4AAA"/>
    <w:rsid w:val="004C50A4"/>
    <w:rsid w:val="004C5163"/>
    <w:rsid w:val="004C52AD"/>
    <w:rsid w:val="004C550E"/>
    <w:rsid w:val="004C5722"/>
    <w:rsid w:val="004C59F0"/>
    <w:rsid w:val="004C60F1"/>
    <w:rsid w:val="004C68E9"/>
    <w:rsid w:val="004C6BA1"/>
    <w:rsid w:val="004C6F35"/>
    <w:rsid w:val="004C71BE"/>
    <w:rsid w:val="004C72CB"/>
    <w:rsid w:val="004C7962"/>
    <w:rsid w:val="004C7C33"/>
    <w:rsid w:val="004C7E4D"/>
    <w:rsid w:val="004C7E58"/>
    <w:rsid w:val="004D009A"/>
    <w:rsid w:val="004D0871"/>
    <w:rsid w:val="004D0E18"/>
    <w:rsid w:val="004D115B"/>
    <w:rsid w:val="004D1619"/>
    <w:rsid w:val="004D18C2"/>
    <w:rsid w:val="004D1E41"/>
    <w:rsid w:val="004D1E96"/>
    <w:rsid w:val="004D1EA1"/>
    <w:rsid w:val="004D2211"/>
    <w:rsid w:val="004D229F"/>
    <w:rsid w:val="004D2422"/>
    <w:rsid w:val="004D243B"/>
    <w:rsid w:val="004D24BB"/>
    <w:rsid w:val="004D2A5C"/>
    <w:rsid w:val="004D2B10"/>
    <w:rsid w:val="004D2B7B"/>
    <w:rsid w:val="004D2D9B"/>
    <w:rsid w:val="004D2E42"/>
    <w:rsid w:val="004D33D8"/>
    <w:rsid w:val="004D3647"/>
    <w:rsid w:val="004D3921"/>
    <w:rsid w:val="004D3ABD"/>
    <w:rsid w:val="004D3BD0"/>
    <w:rsid w:val="004D43D5"/>
    <w:rsid w:val="004D47C0"/>
    <w:rsid w:val="004D48B1"/>
    <w:rsid w:val="004D4A2C"/>
    <w:rsid w:val="004D5344"/>
    <w:rsid w:val="004D53BA"/>
    <w:rsid w:val="004D5765"/>
    <w:rsid w:val="004D5B13"/>
    <w:rsid w:val="004D5D82"/>
    <w:rsid w:val="004D62B5"/>
    <w:rsid w:val="004D6715"/>
    <w:rsid w:val="004D67B1"/>
    <w:rsid w:val="004D694C"/>
    <w:rsid w:val="004D6A3C"/>
    <w:rsid w:val="004D6CD3"/>
    <w:rsid w:val="004D6CE8"/>
    <w:rsid w:val="004D6D53"/>
    <w:rsid w:val="004D7366"/>
    <w:rsid w:val="004D74F0"/>
    <w:rsid w:val="004D781B"/>
    <w:rsid w:val="004D7AD5"/>
    <w:rsid w:val="004D7F3D"/>
    <w:rsid w:val="004E01E1"/>
    <w:rsid w:val="004E0AA0"/>
    <w:rsid w:val="004E0D0E"/>
    <w:rsid w:val="004E0E9F"/>
    <w:rsid w:val="004E0F58"/>
    <w:rsid w:val="004E1427"/>
    <w:rsid w:val="004E188A"/>
    <w:rsid w:val="004E2192"/>
    <w:rsid w:val="004E21BB"/>
    <w:rsid w:val="004E27E7"/>
    <w:rsid w:val="004E29DF"/>
    <w:rsid w:val="004E2C6C"/>
    <w:rsid w:val="004E31FA"/>
    <w:rsid w:val="004E3352"/>
    <w:rsid w:val="004E3515"/>
    <w:rsid w:val="004E370C"/>
    <w:rsid w:val="004E373A"/>
    <w:rsid w:val="004E4338"/>
    <w:rsid w:val="004E4430"/>
    <w:rsid w:val="004E4749"/>
    <w:rsid w:val="004E4B27"/>
    <w:rsid w:val="004E4B4A"/>
    <w:rsid w:val="004E4C19"/>
    <w:rsid w:val="004E4CC5"/>
    <w:rsid w:val="004E4CF5"/>
    <w:rsid w:val="004E4D97"/>
    <w:rsid w:val="004E5351"/>
    <w:rsid w:val="004E547B"/>
    <w:rsid w:val="004E623C"/>
    <w:rsid w:val="004E624B"/>
    <w:rsid w:val="004E6691"/>
    <w:rsid w:val="004E694E"/>
    <w:rsid w:val="004E6B46"/>
    <w:rsid w:val="004E6C47"/>
    <w:rsid w:val="004E6D9F"/>
    <w:rsid w:val="004E704A"/>
    <w:rsid w:val="004F0003"/>
    <w:rsid w:val="004F0AAB"/>
    <w:rsid w:val="004F0B40"/>
    <w:rsid w:val="004F0C0E"/>
    <w:rsid w:val="004F100F"/>
    <w:rsid w:val="004F10C2"/>
    <w:rsid w:val="004F160B"/>
    <w:rsid w:val="004F18B5"/>
    <w:rsid w:val="004F1AEB"/>
    <w:rsid w:val="004F1D6C"/>
    <w:rsid w:val="004F262C"/>
    <w:rsid w:val="004F29CA"/>
    <w:rsid w:val="004F2E7F"/>
    <w:rsid w:val="004F302E"/>
    <w:rsid w:val="004F385C"/>
    <w:rsid w:val="004F3AEC"/>
    <w:rsid w:val="004F3C7F"/>
    <w:rsid w:val="004F3F8C"/>
    <w:rsid w:val="004F44E3"/>
    <w:rsid w:val="004F4A63"/>
    <w:rsid w:val="004F4BD8"/>
    <w:rsid w:val="004F4DC9"/>
    <w:rsid w:val="004F4DCE"/>
    <w:rsid w:val="004F540B"/>
    <w:rsid w:val="004F5679"/>
    <w:rsid w:val="004F57D5"/>
    <w:rsid w:val="004F5AA8"/>
    <w:rsid w:val="004F5C44"/>
    <w:rsid w:val="004F5D4D"/>
    <w:rsid w:val="004F5EE9"/>
    <w:rsid w:val="004F62EA"/>
    <w:rsid w:val="004F62F0"/>
    <w:rsid w:val="004F6721"/>
    <w:rsid w:val="004F6869"/>
    <w:rsid w:val="004F69DD"/>
    <w:rsid w:val="004F6F51"/>
    <w:rsid w:val="004F74A7"/>
    <w:rsid w:val="004F7646"/>
    <w:rsid w:val="004F7725"/>
    <w:rsid w:val="004F7FEA"/>
    <w:rsid w:val="005008C2"/>
    <w:rsid w:val="00500A61"/>
    <w:rsid w:val="00501230"/>
    <w:rsid w:val="00501AF6"/>
    <w:rsid w:val="00501DDE"/>
    <w:rsid w:val="00502540"/>
    <w:rsid w:val="005028B1"/>
    <w:rsid w:val="0050298E"/>
    <w:rsid w:val="00502D42"/>
    <w:rsid w:val="005031CF"/>
    <w:rsid w:val="005037AE"/>
    <w:rsid w:val="0050387A"/>
    <w:rsid w:val="005038EC"/>
    <w:rsid w:val="00503AFF"/>
    <w:rsid w:val="00503B2C"/>
    <w:rsid w:val="00503CFA"/>
    <w:rsid w:val="00503DF4"/>
    <w:rsid w:val="005041C2"/>
    <w:rsid w:val="005051B9"/>
    <w:rsid w:val="005055F8"/>
    <w:rsid w:val="0050578B"/>
    <w:rsid w:val="00505797"/>
    <w:rsid w:val="00505A4A"/>
    <w:rsid w:val="0050647C"/>
    <w:rsid w:val="005064F9"/>
    <w:rsid w:val="00506562"/>
    <w:rsid w:val="005066E4"/>
    <w:rsid w:val="005067FC"/>
    <w:rsid w:val="005069AC"/>
    <w:rsid w:val="005069EC"/>
    <w:rsid w:val="00506FC8"/>
    <w:rsid w:val="005071E4"/>
    <w:rsid w:val="005072DD"/>
    <w:rsid w:val="005101E2"/>
    <w:rsid w:val="0051036A"/>
    <w:rsid w:val="0051053B"/>
    <w:rsid w:val="0051057B"/>
    <w:rsid w:val="00510757"/>
    <w:rsid w:val="0051075E"/>
    <w:rsid w:val="00510D65"/>
    <w:rsid w:val="0051104A"/>
    <w:rsid w:val="00511628"/>
    <w:rsid w:val="0051190C"/>
    <w:rsid w:val="005123F4"/>
    <w:rsid w:val="0051265A"/>
    <w:rsid w:val="00512666"/>
    <w:rsid w:val="0051281F"/>
    <w:rsid w:val="005128B2"/>
    <w:rsid w:val="00512C0A"/>
    <w:rsid w:val="00512DCE"/>
    <w:rsid w:val="005131EB"/>
    <w:rsid w:val="00513474"/>
    <w:rsid w:val="005137C3"/>
    <w:rsid w:val="00513A2E"/>
    <w:rsid w:val="00513B2B"/>
    <w:rsid w:val="00513FDE"/>
    <w:rsid w:val="0051425C"/>
    <w:rsid w:val="0051458C"/>
    <w:rsid w:val="005146D3"/>
    <w:rsid w:val="005148D6"/>
    <w:rsid w:val="00514E5E"/>
    <w:rsid w:val="005153CB"/>
    <w:rsid w:val="00515709"/>
    <w:rsid w:val="00515C5D"/>
    <w:rsid w:val="00515D10"/>
    <w:rsid w:val="00515D31"/>
    <w:rsid w:val="00515E73"/>
    <w:rsid w:val="0051622A"/>
    <w:rsid w:val="0051637B"/>
    <w:rsid w:val="005165A1"/>
    <w:rsid w:val="005166CA"/>
    <w:rsid w:val="00516E86"/>
    <w:rsid w:val="00517148"/>
    <w:rsid w:val="0051715E"/>
    <w:rsid w:val="005172D9"/>
    <w:rsid w:val="0051776B"/>
    <w:rsid w:val="00517836"/>
    <w:rsid w:val="00517AAB"/>
    <w:rsid w:val="00517B21"/>
    <w:rsid w:val="005202C2"/>
    <w:rsid w:val="00520714"/>
    <w:rsid w:val="00520782"/>
    <w:rsid w:val="00520801"/>
    <w:rsid w:val="00520B3B"/>
    <w:rsid w:val="00520CBF"/>
    <w:rsid w:val="00520EF5"/>
    <w:rsid w:val="005211AE"/>
    <w:rsid w:val="0052148F"/>
    <w:rsid w:val="005219EE"/>
    <w:rsid w:val="005219F5"/>
    <w:rsid w:val="00521C8B"/>
    <w:rsid w:val="00521DD1"/>
    <w:rsid w:val="005222E0"/>
    <w:rsid w:val="00522C42"/>
    <w:rsid w:val="00522CA6"/>
    <w:rsid w:val="00522E2F"/>
    <w:rsid w:val="005236EE"/>
    <w:rsid w:val="00523D26"/>
    <w:rsid w:val="00524254"/>
    <w:rsid w:val="0052426C"/>
    <w:rsid w:val="00524FD0"/>
    <w:rsid w:val="005250F2"/>
    <w:rsid w:val="005251E7"/>
    <w:rsid w:val="005253E7"/>
    <w:rsid w:val="005254A5"/>
    <w:rsid w:val="005255E4"/>
    <w:rsid w:val="00525CA7"/>
    <w:rsid w:val="00525D90"/>
    <w:rsid w:val="00526B4E"/>
    <w:rsid w:val="00526D39"/>
    <w:rsid w:val="00526E17"/>
    <w:rsid w:val="005274C9"/>
    <w:rsid w:val="005274F6"/>
    <w:rsid w:val="005276B3"/>
    <w:rsid w:val="0053053C"/>
    <w:rsid w:val="0053091F"/>
    <w:rsid w:val="00530B8F"/>
    <w:rsid w:val="00530C46"/>
    <w:rsid w:val="00531622"/>
    <w:rsid w:val="005317F1"/>
    <w:rsid w:val="00531AF5"/>
    <w:rsid w:val="00531D2E"/>
    <w:rsid w:val="0053240A"/>
    <w:rsid w:val="00532422"/>
    <w:rsid w:val="005328BB"/>
    <w:rsid w:val="0053291F"/>
    <w:rsid w:val="00532CAA"/>
    <w:rsid w:val="0053300A"/>
    <w:rsid w:val="005330A4"/>
    <w:rsid w:val="0053327B"/>
    <w:rsid w:val="005334BC"/>
    <w:rsid w:val="00533614"/>
    <w:rsid w:val="00533664"/>
    <w:rsid w:val="005336A2"/>
    <w:rsid w:val="005337F2"/>
    <w:rsid w:val="005339C7"/>
    <w:rsid w:val="00533AC3"/>
    <w:rsid w:val="00533BA4"/>
    <w:rsid w:val="00534261"/>
    <w:rsid w:val="00534264"/>
    <w:rsid w:val="0053471D"/>
    <w:rsid w:val="0053477B"/>
    <w:rsid w:val="00534AC9"/>
    <w:rsid w:val="00534B1A"/>
    <w:rsid w:val="00534C9A"/>
    <w:rsid w:val="0053505B"/>
    <w:rsid w:val="00535565"/>
    <w:rsid w:val="00536082"/>
    <w:rsid w:val="005360C9"/>
    <w:rsid w:val="0053651F"/>
    <w:rsid w:val="00536823"/>
    <w:rsid w:val="005369C7"/>
    <w:rsid w:val="00536F5B"/>
    <w:rsid w:val="0053702F"/>
    <w:rsid w:val="00537033"/>
    <w:rsid w:val="00537059"/>
    <w:rsid w:val="005375C7"/>
    <w:rsid w:val="00537942"/>
    <w:rsid w:val="00537957"/>
    <w:rsid w:val="00537973"/>
    <w:rsid w:val="005379A7"/>
    <w:rsid w:val="00537C8D"/>
    <w:rsid w:val="00540A4F"/>
    <w:rsid w:val="00540BC3"/>
    <w:rsid w:val="00540BEF"/>
    <w:rsid w:val="00540D1D"/>
    <w:rsid w:val="0054105C"/>
    <w:rsid w:val="0054118B"/>
    <w:rsid w:val="00541274"/>
    <w:rsid w:val="0054141C"/>
    <w:rsid w:val="00541429"/>
    <w:rsid w:val="005418DC"/>
    <w:rsid w:val="005420AD"/>
    <w:rsid w:val="0054263A"/>
    <w:rsid w:val="00542857"/>
    <w:rsid w:val="00542AF4"/>
    <w:rsid w:val="00542B58"/>
    <w:rsid w:val="0054328B"/>
    <w:rsid w:val="0054347E"/>
    <w:rsid w:val="0054375C"/>
    <w:rsid w:val="00543888"/>
    <w:rsid w:val="00543950"/>
    <w:rsid w:val="00543B6A"/>
    <w:rsid w:val="00544035"/>
    <w:rsid w:val="005442CE"/>
    <w:rsid w:val="005444BD"/>
    <w:rsid w:val="00544757"/>
    <w:rsid w:val="00544C32"/>
    <w:rsid w:val="00544EBA"/>
    <w:rsid w:val="0054518A"/>
    <w:rsid w:val="00545402"/>
    <w:rsid w:val="00545679"/>
    <w:rsid w:val="00545A92"/>
    <w:rsid w:val="00545F46"/>
    <w:rsid w:val="00546006"/>
    <w:rsid w:val="005463AD"/>
    <w:rsid w:val="005472D7"/>
    <w:rsid w:val="005472F5"/>
    <w:rsid w:val="005473C7"/>
    <w:rsid w:val="00547429"/>
    <w:rsid w:val="00547486"/>
    <w:rsid w:val="00547BFF"/>
    <w:rsid w:val="00547FBC"/>
    <w:rsid w:val="005500E0"/>
    <w:rsid w:val="00550168"/>
    <w:rsid w:val="005508C6"/>
    <w:rsid w:val="00550AE9"/>
    <w:rsid w:val="00550B95"/>
    <w:rsid w:val="00550E3F"/>
    <w:rsid w:val="00550EC9"/>
    <w:rsid w:val="00551149"/>
    <w:rsid w:val="005512F6"/>
    <w:rsid w:val="0055145B"/>
    <w:rsid w:val="005514DB"/>
    <w:rsid w:val="005515B4"/>
    <w:rsid w:val="005515D1"/>
    <w:rsid w:val="00551621"/>
    <w:rsid w:val="00551823"/>
    <w:rsid w:val="00552050"/>
    <w:rsid w:val="00552170"/>
    <w:rsid w:val="0055250B"/>
    <w:rsid w:val="005528FE"/>
    <w:rsid w:val="00552A34"/>
    <w:rsid w:val="00552F06"/>
    <w:rsid w:val="00552F09"/>
    <w:rsid w:val="00552F0B"/>
    <w:rsid w:val="00552F89"/>
    <w:rsid w:val="00553184"/>
    <w:rsid w:val="005536A6"/>
    <w:rsid w:val="00553847"/>
    <w:rsid w:val="00553AD1"/>
    <w:rsid w:val="005541D3"/>
    <w:rsid w:val="005542BB"/>
    <w:rsid w:val="00554468"/>
    <w:rsid w:val="0055464F"/>
    <w:rsid w:val="00554801"/>
    <w:rsid w:val="00555221"/>
    <w:rsid w:val="005552EC"/>
    <w:rsid w:val="00555496"/>
    <w:rsid w:val="00555BB4"/>
    <w:rsid w:val="00555BB5"/>
    <w:rsid w:val="0055639A"/>
    <w:rsid w:val="00556BD0"/>
    <w:rsid w:val="00556E7F"/>
    <w:rsid w:val="00557226"/>
    <w:rsid w:val="00557476"/>
    <w:rsid w:val="005576E3"/>
    <w:rsid w:val="00557C18"/>
    <w:rsid w:val="005602FA"/>
    <w:rsid w:val="00560621"/>
    <w:rsid w:val="00560ABB"/>
    <w:rsid w:val="00560D37"/>
    <w:rsid w:val="005610C8"/>
    <w:rsid w:val="00561130"/>
    <w:rsid w:val="0056120E"/>
    <w:rsid w:val="005613E9"/>
    <w:rsid w:val="005614F2"/>
    <w:rsid w:val="00561EFA"/>
    <w:rsid w:val="0056203F"/>
    <w:rsid w:val="005623F0"/>
    <w:rsid w:val="005625D5"/>
    <w:rsid w:val="005629AC"/>
    <w:rsid w:val="00562C05"/>
    <w:rsid w:val="00562DFB"/>
    <w:rsid w:val="005633E8"/>
    <w:rsid w:val="005637AB"/>
    <w:rsid w:val="00563C0C"/>
    <w:rsid w:val="00565BFB"/>
    <w:rsid w:val="00565E36"/>
    <w:rsid w:val="0056640C"/>
    <w:rsid w:val="005666E4"/>
    <w:rsid w:val="00566A52"/>
    <w:rsid w:val="005673CA"/>
    <w:rsid w:val="005677EC"/>
    <w:rsid w:val="00567933"/>
    <w:rsid w:val="00567EB7"/>
    <w:rsid w:val="00567F55"/>
    <w:rsid w:val="00570132"/>
    <w:rsid w:val="0057039C"/>
    <w:rsid w:val="005706E1"/>
    <w:rsid w:val="00570A3F"/>
    <w:rsid w:val="00570BE4"/>
    <w:rsid w:val="00570D12"/>
    <w:rsid w:val="00570E6E"/>
    <w:rsid w:val="00571E73"/>
    <w:rsid w:val="0057206B"/>
    <w:rsid w:val="005723E7"/>
    <w:rsid w:val="00572530"/>
    <w:rsid w:val="005725C2"/>
    <w:rsid w:val="005726AB"/>
    <w:rsid w:val="005727E6"/>
    <w:rsid w:val="00572E66"/>
    <w:rsid w:val="00573035"/>
    <w:rsid w:val="00573214"/>
    <w:rsid w:val="00573511"/>
    <w:rsid w:val="00573809"/>
    <w:rsid w:val="005739BB"/>
    <w:rsid w:val="00573AF0"/>
    <w:rsid w:val="00573B2C"/>
    <w:rsid w:val="00573D0A"/>
    <w:rsid w:val="00574041"/>
    <w:rsid w:val="00574110"/>
    <w:rsid w:val="005745EE"/>
    <w:rsid w:val="00574877"/>
    <w:rsid w:val="00574937"/>
    <w:rsid w:val="005749C8"/>
    <w:rsid w:val="00574F32"/>
    <w:rsid w:val="00575456"/>
    <w:rsid w:val="005754D1"/>
    <w:rsid w:val="0057595E"/>
    <w:rsid w:val="00575F6D"/>
    <w:rsid w:val="005763B2"/>
    <w:rsid w:val="00576742"/>
    <w:rsid w:val="005767D0"/>
    <w:rsid w:val="00576B71"/>
    <w:rsid w:val="00576B9A"/>
    <w:rsid w:val="00577082"/>
    <w:rsid w:val="005772C0"/>
    <w:rsid w:val="00577327"/>
    <w:rsid w:val="00577950"/>
    <w:rsid w:val="00577ABE"/>
    <w:rsid w:val="00577CC6"/>
    <w:rsid w:val="00577D6B"/>
    <w:rsid w:val="00580184"/>
    <w:rsid w:val="00580281"/>
    <w:rsid w:val="005803A6"/>
    <w:rsid w:val="005804CF"/>
    <w:rsid w:val="00580CE3"/>
    <w:rsid w:val="00580EEB"/>
    <w:rsid w:val="00581046"/>
    <w:rsid w:val="005814BA"/>
    <w:rsid w:val="005816DE"/>
    <w:rsid w:val="00581794"/>
    <w:rsid w:val="005818BA"/>
    <w:rsid w:val="00581942"/>
    <w:rsid w:val="005819CD"/>
    <w:rsid w:val="00581CD8"/>
    <w:rsid w:val="00581FD7"/>
    <w:rsid w:val="00582074"/>
    <w:rsid w:val="005822F4"/>
    <w:rsid w:val="00582B48"/>
    <w:rsid w:val="00583462"/>
    <w:rsid w:val="00583FB1"/>
    <w:rsid w:val="005847E6"/>
    <w:rsid w:val="00584B87"/>
    <w:rsid w:val="00584CEA"/>
    <w:rsid w:val="00584D7A"/>
    <w:rsid w:val="00585917"/>
    <w:rsid w:val="00585DAE"/>
    <w:rsid w:val="00585DD1"/>
    <w:rsid w:val="00585EDC"/>
    <w:rsid w:val="00586080"/>
    <w:rsid w:val="005862E8"/>
    <w:rsid w:val="00586659"/>
    <w:rsid w:val="00586943"/>
    <w:rsid w:val="00586CAA"/>
    <w:rsid w:val="00587104"/>
    <w:rsid w:val="00587348"/>
    <w:rsid w:val="005878A8"/>
    <w:rsid w:val="00587ABD"/>
    <w:rsid w:val="00590540"/>
    <w:rsid w:val="005908D8"/>
    <w:rsid w:val="00590A6D"/>
    <w:rsid w:val="00590C9C"/>
    <w:rsid w:val="0059128A"/>
    <w:rsid w:val="00591D95"/>
    <w:rsid w:val="0059243A"/>
    <w:rsid w:val="005925F4"/>
    <w:rsid w:val="0059260A"/>
    <w:rsid w:val="005926FB"/>
    <w:rsid w:val="00592DD2"/>
    <w:rsid w:val="00593A04"/>
    <w:rsid w:val="00593B79"/>
    <w:rsid w:val="0059410B"/>
    <w:rsid w:val="005941F5"/>
    <w:rsid w:val="00594211"/>
    <w:rsid w:val="00594681"/>
    <w:rsid w:val="0059478F"/>
    <w:rsid w:val="0059479A"/>
    <w:rsid w:val="0059480E"/>
    <w:rsid w:val="00594A21"/>
    <w:rsid w:val="00594C5A"/>
    <w:rsid w:val="00594D65"/>
    <w:rsid w:val="0059521A"/>
    <w:rsid w:val="00595375"/>
    <w:rsid w:val="00595848"/>
    <w:rsid w:val="00596458"/>
    <w:rsid w:val="00596459"/>
    <w:rsid w:val="00596680"/>
    <w:rsid w:val="00596BAA"/>
    <w:rsid w:val="00596CA6"/>
    <w:rsid w:val="00596F15"/>
    <w:rsid w:val="00596F21"/>
    <w:rsid w:val="00597931"/>
    <w:rsid w:val="00597E9A"/>
    <w:rsid w:val="00597F1B"/>
    <w:rsid w:val="005A01E1"/>
    <w:rsid w:val="005A0607"/>
    <w:rsid w:val="005A065B"/>
    <w:rsid w:val="005A08F1"/>
    <w:rsid w:val="005A0FD5"/>
    <w:rsid w:val="005A101A"/>
    <w:rsid w:val="005A11E0"/>
    <w:rsid w:val="005A11E3"/>
    <w:rsid w:val="005A11ED"/>
    <w:rsid w:val="005A14DC"/>
    <w:rsid w:val="005A16D5"/>
    <w:rsid w:val="005A190B"/>
    <w:rsid w:val="005A1C7E"/>
    <w:rsid w:val="005A1E44"/>
    <w:rsid w:val="005A28A0"/>
    <w:rsid w:val="005A2C8A"/>
    <w:rsid w:val="005A2D86"/>
    <w:rsid w:val="005A3170"/>
    <w:rsid w:val="005A32B9"/>
    <w:rsid w:val="005A3374"/>
    <w:rsid w:val="005A337C"/>
    <w:rsid w:val="005A38EF"/>
    <w:rsid w:val="005A3CDF"/>
    <w:rsid w:val="005A3D15"/>
    <w:rsid w:val="005A4002"/>
    <w:rsid w:val="005A46A6"/>
    <w:rsid w:val="005A4A01"/>
    <w:rsid w:val="005A4BCA"/>
    <w:rsid w:val="005A4D42"/>
    <w:rsid w:val="005A5151"/>
    <w:rsid w:val="005A54B3"/>
    <w:rsid w:val="005A55A2"/>
    <w:rsid w:val="005A56B7"/>
    <w:rsid w:val="005A57D8"/>
    <w:rsid w:val="005A5993"/>
    <w:rsid w:val="005A59DC"/>
    <w:rsid w:val="005A601C"/>
    <w:rsid w:val="005A619F"/>
    <w:rsid w:val="005A64AB"/>
    <w:rsid w:val="005A65A8"/>
    <w:rsid w:val="005A77E7"/>
    <w:rsid w:val="005A77FE"/>
    <w:rsid w:val="005A7884"/>
    <w:rsid w:val="005A7ABD"/>
    <w:rsid w:val="005B00D1"/>
    <w:rsid w:val="005B0930"/>
    <w:rsid w:val="005B0950"/>
    <w:rsid w:val="005B11A2"/>
    <w:rsid w:val="005B1244"/>
    <w:rsid w:val="005B176A"/>
    <w:rsid w:val="005B196B"/>
    <w:rsid w:val="005B242C"/>
    <w:rsid w:val="005B246E"/>
    <w:rsid w:val="005B2D30"/>
    <w:rsid w:val="005B2E05"/>
    <w:rsid w:val="005B31F9"/>
    <w:rsid w:val="005B3680"/>
    <w:rsid w:val="005B380E"/>
    <w:rsid w:val="005B381C"/>
    <w:rsid w:val="005B382A"/>
    <w:rsid w:val="005B383A"/>
    <w:rsid w:val="005B3C1B"/>
    <w:rsid w:val="005B3DCD"/>
    <w:rsid w:val="005B47F4"/>
    <w:rsid w:val="005B47FF"/>
    <w:rsid w:val="005B4E47"/>
    <w:rsid w:val="005B52A4"/>
    <w:rsid w:val="005B52C0"/>
    <w:rsid w:val="005B635E"/>
    <w:rsid w:val="005B683C"/>
    <w:rsid w:val="005B689D"/>
    <w:rsid w:val="005B705F"/>
    <w:rsid w:val="005B73DB"/>
    <w:rsid w:val="005C010F"/>
    <w:rsid w:val="005C0146"/>
    <w:rsid w:val="005C0158"/>
    <w:rsid w:val="005C01D3"/>
    <w:rsid w:val="005C03EF"/>
    <w:rsid w:val="005C06EA"/>
    <w:rsid w:val="005C0B9F"/>
    <w:rsid w:val="005C0BB4"/>
    <w:rsid w:val="005C1077"/>
    <w:rsid w:val="005C1596"/>
    <w:rsid w:val="005C231B"/>
    <w:rsid w:val="005C2C52"/>
    <w:rsid w:val="005C2D01"/>
    <w:rsid w:val="005C2DAB"/>
    <w:rsid w:val="005C3CB9"/>
    <w:rsid w:val="005C4AAC"/>
    <w:rsid w:val="005C4EC5"/>
    <w:rsid w:val="005C5941"/>
    <w:rsid w:val="005C59D3"/>
    <w:rsid w:val="005C5BC2"/>
    <w:rsid w:val="005C5D1E"/>
    <w:rsid w:val="005C653C"/>
    <w:rsid w:val="005C658D"/>
    <w:rsid w:val="005C6EE6"/>
    <w:rsid w:val="005C7517"/>
    <w:rsid w:val="005C75D8"/>
    <w:rsid w:val="005C7700"/>
    <w:rsid w:val="005C78CD"/>
    <w:rsid w:val="005C79B1"/>
    <w:rsid w:val="005C7A31"/>
    <w:rsid w:val="005C7B8B"/>
    <w:rsid w:val="005C7C74"/>
    <w:rsid w:val="005C7EB4"/>
    <w:rsid w:val="005D0DD6"/>
    <w:rsid w:val="005D12B7"/>
    <w:rsid w:val="005D1593"/>
    <w:rsid w:val="005D200E"/>
    <w:rsid w:val="005D23FB"/>
    <w:rsid w:val="005D2493"/>
    <w:rsid w:val="005D25F8"/>
    <w:rsid w:val="005D269D"/>
    <w:rsid w:val="005D2748"/>
    <w:rsid w:val="005D2964"/>
    <w:rsid w:val="005D297E"/>
    <w:rsid w:val="005D29E9"/>
    <w:rsid w:val="005D2E1C"/>
    <w:rsid w:val="005D3272"/>
    <w:rsid w:val="005D3931"/>
    <w:rsid w:val="005D3B5E"/>
    <w:rsid w:val="005D3D7C"/>
    <w:rsid w:val="005D44B1"/>
    <w:rsid w:val="005D44F3"/>
    <w:rsid w:val="005D45F6"/>
    <w:rsid w:val="005D4A02"/>
    <w:rsid w:val="005D4B1C"/>
    <w:rsid w:val="005D4DAD"/>
    <w:rsid w:val="005D4F92"/>
    <w:rsid w:val="005D5905"/>
    <w:rsid w:val="005D5C24"/>
    <w:rsid w:val="005D5D86"/>
    <w:rsid w:val="005D5F25"/>
    <w:rsid w:val="005D5F3F"/>
    <w:rsid w:val="005D6021"/>
    <w:rsid w:val="005D60C9"/>
    <w:rsid w:val="005D636B"/>
    <w:rsid w:val="005D6808"/>
    <w:rsid w:val="005D6B88"/>
    <w:rsid w:val="005D72F3"/>
    <w:rsid w:val="005D77F4"/>
    <w:rsid w:val="005D7B9A"/>
    <w:rsid w:val="005D7C5A"/>
    <w:rsid w:val="005E039A"/>
    <w:rsid w:val="005E0C9B"/>
    <w:rsid w:val="005E0CF2"/>
    <w:rsid w:val="005E0D65"/>
    <w:rsid w:val="005E0F5A"/>
    <w:rsid w:val="005E11C1"/>
    <w:rsid w:val="005E1755"/>
    <w:rsid w:val="005E245D"/>
    <w:rsid w:val="005E29CD"/>
    <w:rsid w:val="005E2F58"/>
    <w:rsid w:val="005E354C"/>
    <w:rsid w:val="005E35BE"/>
    <w:rsid w:val="005E3F80"/>
    <w:rsid w:val="005E3FAC"/>
    <w:rsid w:val="005E43C3"/>
    <w:rsid w:val="005E49A2"/>
    <w:rsid w:val="005E4C8E"/>
    <w:rsid w:val="005E4DA0"/>
    <w:rsid w:val="005E56AB"/>
    <w:rsid w:val="005E5B18"/>
    <w:rsid w:val="005E5BC4"/>
    <w:rsid w:val="005E6182"/>
    <w:rsid w:val="005E63CF"/>
    <w:rsid w:val="005E657A"/>
    <w:rsid w:val="005E6933"/>
    <w:rsid w:val="005E6BD1"/>
    <w:rsid w:val="005E6C0E"/>
    <w:rsid w:val="005E6E39"/>
    <w:rsid w:val="005E734A"/>
    <w:rsid w:val="005E7834"/>
    <w:rsid w:val="005E7C14"/>
    <w:rsid w:val="005E7D91"/>
    <w:rsid w:val="005F034B"/>
    <w:rsid w:val="005F0A0C"/>
    <w:rsid w:val="005F0FA7"/>
    <w:rsid w:val="005F1B0C"/>
    <w:rsid w:val="005F1DC0"/>
    <w:rsid w:val="005F1F3E"/>
    <w:rsid w:val="005F2510"/>
    <w:rsid w:val="005F2547"/>
    <w:rsid w:val="005F2746"/>
    <w:rsid w:val="005F2CC9"/>
    <w:rsid w:val="005F2DF4"/>
    <w:rsid w:val="005F2E61"/>
    <w:rsid w:val="005F3394"/>
    <w:rsid w:val="005F36E8"/>
    <w:rsid w:val="005F395B"/>
    <w:rsid w:val="005F4857"/>
    <w:rsid w:val="005F4BAC"/>
    <w:rsid w:val="005F549D"/>
    <w:rsid w:val="005F6078"/>
    <w:rsid w:val="005F6B3A"/>
    <w:rsid w:val="005F70DF"/>
    <w:rsid w:val="005F751A"/>
    <w:rsid w:val="005F79B7"/>
    <w:rsid w:val="0060012C"/>
    <w:rsid w:val="0060015E"/>
    <w:rsid w:val="00600270"/>
    <w:rsid w:val="006008E2"/>
    <w:rsid w:val="00600EB5"/>
    <w:rsid w:val="00600F05"/>
    <w:rsid w:val="00601931"/>
    <w:rsid w:val="00601C2E"/>
    <w:rsid w:val="006021DC"/>
    <w:rsid w:val="00602784"/>
    <w:rsid w:val="00602848"/>
    <w:rsid w:val="00602904"/>
    <w:rsid w:val="00602969"/>
    <w:rsid w:val="00602A62"/>
    <w:rsid w:val="00602DDD"/>
    <w:rsid w:val="00602F19"/>
    <w:rsid w:val="006033C9"/>
    <w:rsid w:val="00603685"/>
    <w:rsid w:val="0060379C"/>
    <w:rsid w:val="00604301"/>
    <w:rsid w:val="00604475"/>
    <w:rsid w:val="00604A3D"/>
    <w:rsid w:val="00604DEF"/>
    <w:rsid w:val="0060538F"/>
    <w:rsid w:val="0060592F"/>
    <w:rsid w:val="00605B2E"/>
    <w:rsid w:val="00605F35"/>
    <w:rsid w:val="00605F5C"/>
    <w:rsid w:val="006060C5"/>
    <w:rsid w:val="0060641D"/>
    <w:rsid w:val="00606679"/>
    <w:rsid w:val="006068CF"/>
    <w:rsid w:val="00606B17"/>
    <w:rsid w:val="006072E3"/>
    <w:rsid w:val="0060733E"/>
    <w:rsid w:val="00607A68"/>
    <w:rsid w:val="00607DEA"/>
    <w:rsid w:val="00610026"/>
    <w:rsid w:val="00610502"/>
    <w:rsid w:val="0061085A"/>
    <w:rsid w:val="00610916"/>
    <w:rsid w:val="006114F8"/>
    <w:rsid w:val="00611779"/>
    <w:rsid w:val="006122C1"/>
    <w:rsid w:val="006125BA"/>
    <w:rsid w:val="006125C1"/>
    <w:rsid w:val="0061338A"/>
    <w:rsid w:val="0061367F"/>
    <w:rsid w:val="00613C81"/>
    <w:rsid w:val="00613CC4"/>
    <w:rsid w:val="0061524F"/>
    <w:rsid w:val="00615286"/>
    <w:rsid w:val="00615A32"/>
    <w:rsid w:val="00615C19"/>
    <w:rsid w:val="00615FB6"/>
    <w:rsid w:val="00617023"/>
    <w:rsid w:val="006174EC"/>
    <w:rsid w:val="0061759C"/>
    <w:rsid w:val="006176FA"/>
    <w:rsid w:val="00617789"/>
    <w:rsid w:val="00617F27"/>
    <w:rsid w:val="006203CF"/>
    <w:rsid w:val="006206EC"/>
    <w:rsid w:val="00620C24"/>
    <w:rsid w:val="00620D97"/>
    <w:rsid w:val="00621058"/>
    <w:rsid w:val="00621238"/>
    <w:rsid w:val="006213DD"/>
    <w:rsid w:val="0062153B"/>
    <w:rsid w:val="006221B1"/>
    <w:rsid w:val="006221E2"/>
    <w:rsid w:val="00622311"/>
    <w:rsid w:val="006224CF"/>
    <w:rsid w:val="0062270F"/>
    <w:rsid w:val="0062273F"/>
    <w:rsid w:val="00622B9E"/>
    <w:rsid w:val="00622BAC"/>
    <w:rsid w:val="00622C07"/>
    <w:rsid w:val="00622F06"/>
    <w:rsid w:val="0062301C"/>
    <w:rsid w:val="0062389D"/>
    <w:rsid w:val="0062399C"/>
    <w:rsid w:val="006239D3"/>
    <w:rsid w:val="00623DE9"/>
    <w:rsid w:val="00623E96"/>
    <w:rsid w:val="006246D9"/>
    <w:rsid w:val="0062487C"/>
    <w:rsid w:val="006249AA"/>
    <w:rsid w:val="00624B73"/>
    <w:rsid w:val="00624C26"/>
    <w:rsid w:val="00624D48"/>
    <w:rsid w:val="00624D8B"/>
    <w:rsid w:val="00624E24"/>
    <w:rsid w:val="00624EEB"/>
    <w:rsid w:val="006257D9"/>
    <w:rsid w:val="00625993"/>
    <w:rsid w:val="00625A20"/>
    <w:rsid w:val="00625A2F"/>
    <w:rsid w:val="00625ACD"/>
    <w:rsid w:val="00625E71"/>
    <w:rsid w:val="00626269"/>
    <w:rsid w:val="006262B2"/>
    <w:rsid w:val="0062683D"/>
    <w:rsid w:val="006269AB"/>
    <w:rsid w:val="00626ADE"/>
    <w:rsid w:val="00626B4D"/>
    <w:rsid w:val="00626B58"/>
    <w:rsid w:val="00627032"/>
    <w:rsid w:val="00627512"/>
    <w:rsid w:val="00627858"/>
    <w:rsid w:val="00627983"/>
    <w:rsid w:val="0062799B"/>
    <w:rsid w:val="006279D7"/>
    <w:rsid w:val="00627CD4"/>
    <w:rsid w:val="00630100"/>
    <w:rsid w:val="006304CC"/>
    <w:rsid w:val="00630761"/>
    <w:rsid w:val="0063085F"/>
    <w:rsid w:val="00630A1D"/>
    <w:rsid w:val="00630A57"/>
    <w:rsid w:val="00630CC4"/>
    <w:rsid w:val="00630F84"/>
    <w:rsid w:val="006312C7"/>
    <w:rsid w:val="006313A4"/>
    <w:rsid w:val="00631510"/>
    <w:rsid w:val="006319AC"/>
    <w:rsid w:val="00631D01"/>
    <w:rsid w:val="00631D93"/>
    <w:rsid w:val="0063210C"/>
    <w:rsid w:val="00632214"/>
    <w:rsid w:val="006322A7"/>
    <w:rsid w:val="00632CAD"/>
    <w:rsid w:val="00632CCD"/>
    <w:rsid w:val="00633126"/>
    <w:rsid w:val="00633179"/>
    <w:rsid w:val="00633360"/>
    <w:rsid w:val="00633471"/>
    <w:rsid w:val="00633524"/>
    <w:rsid w:val="006338F4"/>
    <w:rsid w:val="006343DF"/>
    <w:rsid w:val="00634E48"/>
    <w:rsid w:val="00635479"/>
    <w:rsid w:val="006354A1"/>
    <w:rsid w:val="006359AF"/>
    <w:rsid w:val="00635CCA"/>
    <w:rsid w:val="00635FFE"/>
    <w:rsid w:val="00636023"/>
    <w:rsid w:val="00636511"/>
    <w:rsid w:val="00636A3E"/>
    <w:rsid w:val="00636AD7"/>
    <w:rsid w:val="00636C39"/>
    <w:rsid w:val="00636E0D"/>
    <w:rsid w:val="00636E36"/>
    <w:rsid w:val="00636EBF"/>
    <w:rsid w:val="00636FAC"/>
    <w:rsid w:val="00637FE3"/>
    <w:rsid w:val="00640079"/>
    <w:rsid w:val="00640439"/>
    <w:rsid w:val="00640517"/>
    <w:rsid w:val="0064103D"/>
    <w:rsid w:val="00641206"/>
    <w:rsid w:val="00641221"/>
    <w:rsid w:val="0064131F"/>
    <w:rsid w:val="00641409"/>
    <w:rsid w:val="0064153E"/>
    <w:rsid w:val="00641EE7"/>
    <w:rsid w:val="00642408"/>
    <w:rsid w:val="00642584"/>
    <w:rsid w:val="0064267E"/>
    <w:rsid w:val="00642703"/>
    <w:rsid w:val="00642884"/>
    <w:rsid w:val="0064292B"/>
    <w:rsid w:val="00642952"/>
    <w:rsid w:val="00642A08"/>
    <w:rsid w:val="00642E1C"/>
    <w:rsid w:val="00643065"/>
    <w:rsid w:val="0064306A"/>
    <w:rsid w:val="00643076"/>
    <w:rsid w:val="0064316D"/>
    <w:rsid w:val="00643212"/>
    <w:rsid w:val="006432DF"/>
    <w:rsid w:val="0064381B"/>
    <w:rsid w:val="0064386A"/>
    <w:rsid w:val="0064389B"/>
    <w:rsid w:val="00643A2B"/>
    <w:rsid w:val="00643A5D"/>
    <w:rsid w:val="00643CFB"/>
    <w:rsid w:val="00643ED6"/>
    <w:rsid w:val="006442A5"/>
    <w:rsid w:val="0064443F"/>
    <w:rsid w:val="0064444D"/>
    <w:rsid w:val="006445A0"/>
    <w:rsid w:val="00644A91"/>
    <w:rsid w:val="00644E6E"/>
    <w:rsid w:val="006456C0"/>
    <w:rsid w:val="006456D9"/>
    <w:rsid w:val="006459C5"/>
    <w:rsid w:val="00645C3B"/>
    <w:rsid w:val="00645C67"/>
    <w:rsid w:val="00646496"/>
    <w:rsid w:val="00646875"/>
    <w:rsid w:val="00646978"/>
    <w:rsid w:val="00647284"/>
    <w:rsid w:val="00647628"/>
    <w:rsid w:val="006476A0"/>
    <w:rsid w:val="0065015A"/>
    <w:rsid w:val="006505F9"/>
    <w:rsid w:val="00650642"/>
    <w:rsid w:val="006506F7"/>
    <w:rsid w:val="00650A3A"/>
    <w:rsid w:val="00650BF7"/>
    <w:rsid w:val="00650F13"/>
    <w:rsid w:val="00650F1E"/>
    <w:rsid w:val="0065181B"/>
    <w:rsid w:val="006518AE"/>
    <w:rsid w:val="00651B3C"/>
    <w:rsid w:val="006521CC"/>
    <w:rsid w:val="00652436"/>
    <w:rsid w:val="00652805"/>
    <w:rsid w:val="00652A0C"/>
    <w:rsid w:val="00652EF5"/>
    <w:rsid w:val="006538A7"/>
    <w:rsid w:val="00653998"/>
    <w:rsid w:val="00653DFD"/>
    <w:rsid w:val="00654084"/>
    <w:rsid w:val="00654348"/>
    <w:rsid w:val="006545DB"/>
    <w:rsid w:val="006548CF"/>
    <w:rsid w:val="006548E3"/>
    <w:rsid w:val="00654D44"/>
    <w:rsid w:val="0065505C"/>
    <w:rsid w:val="006554AB"/>
    <w:rsid w:val="0065585E"/>
    <w:rsid w:val="00655A2D"/>
    <w:rsid w:val="00655EC6"/>
    <w:rsid w:val="006564C1"/>
    <w:rsid w:val="0065655F"/>
    <w:rsid w:val="006568CE"/>
    <w:rsid w:val="0065734C"/>
    <w:rsid w:val="00657855"/>
    <w:rsid w:val="00657944"/>
    <w:rsid w:val="00657D2B"/>
    <w:rsid w:val="00657FCA"/>
    <w:rsid w:val="00660291"/>
    <w:rsid w:val="0066055F"/>
    <w:rsid w:val="00660BDF"/>
    <w:rsid w:val="00660DD3"/>
    <w:rsid w:val="00660EAA"/>
    <w:rsid w:val="0066115F"/>
    <w:rsid w:val="00661284"/>
    <w:rsid w:val="00661323"/>
    <w:rsid w:val="00661503"/>
    <w:rsid w:val="00661957"/>
    <w:rsid w:val="00662074"/>
    <w:rsid w:val="0066279B"/>
    <w:rsid w:val="00662A04"/>
    <w:rsid w:val="00662C47"/>
    <w:rsid w:val="006630F5"/>
    <w:rsid w:val="00663441"/>
    <w:rsid w:val="006635AF"/>
    <w:rsid w:val="0066363A"/>
    <w:rsid w:val="00663EE8"/>
    <w:rsid w:val="00664746"/>
    <w:rsid w:val="006647B5"/>
    <w:rsid w:val="006649DA"/>
    <w:rsid w:val="00664A33"/>
    <w:rsid w:val="00664B2D"/>
    <w:rsid w:val="00664D19"/>
    <w:rsid w:val="00664DDE"/>
    <w:rsid w:val="00664E80"/>
    <w:rsid w:val="00665095"/>
    <w:rsid w:val="00665217"/>
    <w:rsid w:val="006654FF"/>
    <w:rsid w:val="006656D7"/>
    <w:rsid w:val="006658EB"/>
    <w:rsid w:val="00665AD9"/>
    <w:rsid w:val="00665EE9"/>
    <w:rsid w:val="00665FDA"/>
    <w:rsid w:val="0066614D"/>
    <w:rsid w:val="0066691D"/>
    <w:rsid w:val="00666B07"/>
    <w:rsid w:val="00666BBA"/>
    <w:rsid w:val="00666C88"/>
    <w:rsid w:val="006674CB"/>
    <w:rsid w:val="006674F6"/>
    <w:rsid w:val="00667F81"/>
    <w:rsid w:val="00667F92"/>
    <w:rsid w:val="00670053"/>
    <w:rsid w:val="00670193"/>
    <w:rsid w:val="00670297"/>
    <w:rsid w:val="00670AA0"/>
    <w:rsid w:val="00670C20"/>
    <w:rsid w:val="00670C46"/>
    <w:rsid w:val="00670F74"/>
    <w:rsid w:val="00671134"/>
    <w:rsid w:val="006711EA"/>
    <w:rsid w:val="00671379"/>
    <w:rsid w:val="0067138B"/>
    <w:rsid w:val="00671397"/>
    <w:rsid w:val="006713E5"/>
    <w:rsid w:val="006714BC"/>
    <w:rsid w:val="006714DB"/>
    <w:rsid w:val="00671743"/>
    <w:rsid w:val="0067181E"/>
    <w:rsid w:val="00671FA9"/>
    <w:rsid w:val="00671FD2"/>
    <w:rsid w:val="00672248"/>
    <w:rsid w:val="006722A4"/>
    <w:rsid w:val="00672356"/>
    <w:rsid w:val="00672427"/>
    <w:rsid w:val="0067247A"/>
    <w:rsid w:val="0067265E"/>
    <w:rsid w:val="00672809"/>
    <w:rsid w:val="0067283B"/>
    <w:rsid w:val="00672876"/>
    <w:rsid w:val="006729A2"/>
    <w:rsid w:val="00672F2D"/>
    <w:rsid w:val="00672F5B"/>
    <w:rsid w:val="00672F6A"/>
    <w:rsid w:val="00672F94"/>
    <w:rsid w:val="006732A1"/>
    <w:rsid w:val="00673308"/>
    <w:rsid w:val="006736C3"/>
    <w:rsid w:val="00673704"/>
    <w:rsid w:val="00673AF7"/>
    <w:rsid w:val="00673C74"/>
    <w:rsid w:val="00673F94"/>
    <w:rsid w:val="00674106"/>
    <w:rsid w:val="00674393"/>
    <w:rsid w:val="006743BC"/>
    <w:rsid w:val="006748AD"/>
    <w:rsid w:val="00674904"/>
    <w:rsid w:val="006750A4"/>
    <w:rsid w:val="0067525B"/>
    <w:rsid w:val="00675944"/>
    <w:rsid w:val="00675E8D"/>
    <w:rsid w:val="00676588"/>
    <w:rsid w:val="006765FD"/>
    <w:rsid w:val="00676A1A"/>
    <w:rsid w:val="00676A86"/>
    <w:rsid w:val="00677468"/>
    <w:rsid w:val="00677478"/>
    <w:rsid w:val="0067754A"/>
    <w:rsid w:val="00677916"/>
    <w:rsid w:val="006779A6"/>
    <w:rsid w:val="006779BA"/>
    <w:rsid w:val="00677F06"/>
    <w:rsid w:val="00680191"/>
    <w:rsid w:val="006803A4"/>
    <w:rsid w:val="00680E4F"/>
    <w:rsid w:val="00680FC7"/>
    <w:rsid w:val="0068106B"/>
    <w:rsid w:val="00681609"/>
    <w:rsid w:val="0068164C"/>
    <w:rsid w:val="006817C9"/>
    <w:rsid w:val="00681DAF"/>
    <w:rsid w:val="00681E2C"/>
    <w:rsid w:val="00682996"/>
    <w:rsid w:val="00683179"/>
    <w:rsid w:val="00683342"/>
    <w:rsid w:val="00683463"/>
    <w:rsid w:val="00684639"/>
    <w:rsid w:val="00684EC0"/>
    <w:rsid w:val="00684F2E"/>
    <w:rsid w:val="00685002"/>
    <w:rsid w:val="006852AE"/>
    <w:rsid w:val="00685A32"/>
    <w:rsid w:val="00685CE1"/>
    <w:rsid w:val="006863AB"/>
    <w:rsid w:val="006863E0"/>
    <w:rsid w:val="006869EE"/>
    <w:rsid w:val="00686D89"/>
    <w:rsid w:val="00686FCF"/>
    <w:rsid w:val="0068728F"/>
    <w:rsid w:val="00687BD1"/>
    <w:rsid w:val="00687F60"/>
    <w:rsid w:val="006900C7"/>
    <w:rsid w:val="006905B4"/>
    <w:rsid w:val="00690877"/>
    <w:rsid w:val="00690FA7"/>
    <w:rsid w:val="0069112E"/>
    <w:rsid w:val="006911BD"/>
    <w:rsid w:val="006913D4"/>
    <w:rsid w:val="0069180A"/>
    <w:rsid w:val="0069190F"/>
    <w:rsid w:val="00691FBF"/>
    <w:rsid w:val="006922DB"/>
    <w:rsid w:val="006926A2"/>
    <w:rsid w:val="0069287D"/>
    <w:rsid w:val="0069298C"/>
    <w:rsid w:val="00692C06"/>
    <w:rsid w:val="00692DB0"/>
    <w:rsid w:val="006930DB"/>
    <w:rsid w:val="00693B91"/>
    <w:rsid w:val="00694329"/>
    <w:rsid w:val="00694339"/>
    <w:rsid w:val="00694436"/>
    <w:rsid w:val="00694720"/>
    <w:rsid w:val="00694C71"/>
    <w:rsid w:val="006958E0"/>
    <w:rsid w:val="00696AA5"/>
    <w:rsid w:val="00697055"/>
    <w:rsid w:val="0069769A"/>
    <w:rsid w:val="00697DD0"/>
    <w:rsid w:val="00697DD4"/>
    <w:rsid w:val="00697EF3"/>
    <w:rsid w:val="006A01C2"/>
    <w:rsid w:val="006A03BD"/>
    <w:rsid w:val="006A05A9"/>
    <w:rsid w:val="006A0677"/>
    <w:rsid w:val="006A0B4A"/>
    <w:rsid w:val="006A0C8E"/>
    <w:rsid w:val="006A0CAB"/>
    <w:rsid w:val="006A0E0F"/>
    <w:rsid w:val="006A10D8"/>
    <w:rsid w:val="006A11D5"/>
    <w:rsid w:val="006A1430"/>
    <w:rsid w:val="006A1D56"/>
    <w:rsid w:val="006A203D"/>
    <w:rsid w:val="006A25FC"/>
    <w:rsid w:val="006A2A12"/>
    <w:rsid w:val="006A2DF4"/>
    <w:rsid w:val="006A3336"/>
    <w:rsid w:val="006A353A"/>
    <w:rsid w:val="006A38EC"/>
    <w:rsid w:val="006A38F1"/>
    <w:rsid w:val="006A4105"/>
    <w:rsid w:val="006A4792"/>
    <w:rsid w:val="006A47C4"/>
    <w:rsid w:val="006A4974"/>
    <w:rsid w:val="006A4998"/>
    <w:rsid w:val="006A49AC"/>
    <w:rsid w:val="006A4AFD"/>
    <w:rsid w:val="006A4EE5"/>
    <w:rsid w:val="006A53CD"/>
    <w:rsid w:val="006A5ABA"/>
    <w:rsid w:val="006A5DBB"/>
    <w:rsid w:val="006A6057"/>
    <w:rsid w:val="006A62BB"/>
    <w:rsid w:val="006A71BC"/>
    <w:rsid w:val="006A7267"/>
    <w:rsid w:val="006A761D"/>
    <w:rsid w:val="006A7898"/>
    <w:rsid w:val="006A79D0"/>
    <w:rsid w:val="006A7FA5"/>
    <w:rsid w:val="006B0095"/>
    <w:rsid w:val="006B0113"/>
    <w:rsid w:val="006B0480"/>
    <w:rsid w:val="006B0759"/>
    <w:rsid w:val="006B083F"/>
    <w:rsid w:val="006B0875"/>
    <w:rsid w:val="006B097C"/>
    <w:rsid w:val="006B0CF5"/>
    <w:rsid w:val="006B0E04"/>
    <w:rsid w:val="006B13E0"/>
    <w:rsid w:val="006B1AD1"/>
    <w:rsid w:val="006B1B0F"/>
    <w:rsid w:val="006B1C8F"/>
    <w:rsid w:val="006B1CA4"/>
    <w:rsid w:val="006B212C"/>
    <w:rsid w:val="006B2397"/>
    <w:rsid w:val="006B24F9"/>
    <w:rsid w:val="006B26C1"/>
    <w:rsid w:val="006B26E9"/>
    <w:rsid w:val="006B2DF4"/>
    <w:rsid w:val="006B3080"/>
    <w:rsid w:val="006B368A"/>
    <w:rsid w:val="006B3E8D"/>
    <w:rsid w:val="006B41F1"/>
    <w:rsid w:val="006B4200"/>
    <w:rsid w:val="006B4D9C"/>
    <w:rsid w:val="006B50C6"/>
    <w:rsid w:val="006B532F"/>
    <w:rsid w:val="006B53B0"/>
    <w:rsid w:val="006B5C42"/>
    <w:rsid w:val="006B5CF6"/>
    <w:rsid w:val="006B5EE5"/>
    <w:rsid w:val="006B6DBA"/>
    <w:rsid w:val="006B7867"/>
    <w:rsid w:val="006B7B72"/>
    <w:rsid w:val="006B7B9E"/>
    <w:rsid w:val="006B7E69"/>
    <w:rsid w:val="006B7E97"/>
    <w:rsid w:val="006B7F56"/>
    <w:rsid w:val="006C01ED"/>
    <w:rsid w:val="006C06BB"/>
    <w:rsid w:val="006C06DC"/>
    <w:rsid w:val="006C07C6"/>
    <w:rsid w:val="006C0823"/>
    <w:rsid w:val="006C094C"/>
    <w:rsid w:val="006C0B0F"/>
    <w:rsid w:val="006C0E79"/>
    <w:rsid w:val="006C1229"/>
    <w:rsid w:val="006C12FE"/>
    <w:rsid w:val="006C23F3"/>
    <w:rsid w:val="006C2502"/>
    <w:rsid w:val="006C293A"/>
    <w:rsid w:val="006C2A53"/>
    <w:rsid w:val="006C2A73"/>
    <w:rsid w:val="006C31DB"/>
    <w:rsid w:val="006C33F8"/>
    <w:rsid w:val="006C38B5"/>
    <w:rsid w:val="006C39CC"/>
    <w:rsid w:val="006C3C3D"/>
    <w:rsid w:val="006C3D80"/>
    <w:rsid w:val="006C411C"/>
    <w:rsid w:val="006C4350"/>
    <w:rsid w:val="006C4449"/>
    <w:rsid w:val="006C44BD"/>
    <w:rsid w:val="006C460E"/>
    <w:rsid w:val="006C4650"/>
    <w:rsid w:val="006C4740"/>
    <w:rsid w:val="006C4AD0"/>
    <w:rsid w:val="006C5459"/>
    <w:rsid w:val="006C54CC"/>
    <w:rsid w:val="006C5672"/>
    <w:rsid w:val="006C591D"/>
    <w:rsid w:val="006C5C90"/>
    <w:rsid w:val="006C6288"/>
    <w:rsid w:val="006C63CC"/>
    <w:rsid w:val="006C6690"/>
    <w:rsid w:val="006C6927"/>
    <w:rsid w:val="006C6991"/>
    <w:rsid w:val="006C6B32"/>
    <w:rsid w:val="006C6BD5"/>
    <w:rsid w:val="006C6C85"/>
    <w:rsid w:val="006C70E8"/>
    <w:rsid w:val="006C717E"/>
    <w:rsid w:val="006C7213"/>
    <w:rsid w:val="006C7489"/>
    <w:rsid w:val="006C768A"/>
    <w:rsid w:val="006C7738"/>
    <w:rsid w:val="006C7905"/>
    <w:rsid w:val="006C7A87"/>
    <w:rsid w:val="006C7B81"/>
    <w:rsid w:val="006C7E88"/>
    <w:rsid w:val="006C7F11"/>
    <w:rsid w:val="006C7FB5"/>
    <w:rsid w:val="006D0273"/>
    <w:rsid w:val="006D02E7"/>
    <w:rsid w:val="006D0398"/>
    <w:rsid w:val="006D084C"/>
    <w:rsid w:val="006D0B20"/>
    <w:rsid w:val="006D0B57"/>
    <w:rsid w:val="006D0BF3"/>
    <w:rsid w:val="006D0E38"/>
    <w:rsid w:val="006D0EF5"/>
    <w:rsid w:val="006D158B"/>
    <w:rsid w:val="006D1A02"/>
    <w:rsid w:val="006D1E93"/>
    <w:rsid w:val="006D1F8E"/>
    <w:rsid w:val="006D2194"/>
    <w:rsid w:val="006D2379"/>
    <w:rsid w:val="006D260F"/>
    <w:rsid w:val="006D2C56"/>
    <w:rsid w:val="006D2DD7"/>
    <w:rsid w:val="006D2E7A"/>
    <w:rsid w:val="006D3280"/>
    <w:rsid w:val="006D377D"/>
    <w:rsid w:val="006D3861"/>
    <w:rsid w:val="006D3E6B"/>
    <w:rsid w:val="006D445E"/>
    <w:rsid w:val="006D4595"/>
    <w:rsid w:val="006D4852"/>
    <w:rsid w:val="006D54E3"/>
    <w:rsid w:val="006D5709"/>
    <w:rsid w:val="006D5882"/>
    <w:rsid w:val="006D59E5"/>
    <w:rsid w:val="006D5C9C"/>
    <w:rsid w:val="006D5DA4"/>
    <w:rsid w:val="006D5F58"/>
    <w:rsid w:val="006D63B4"/>
    <w:rsid w:val="006D675A"/>
    <w:rsid w:val="006D69F0"/>
    <w:rsid w:val="006D6A61"/>
    <w:rsid w:val="006D6B34"/>
    <w:rsid w:val="006D6C0A"/>
    <w:rsid w:val="006D6E04"/>
    <w:rsid w:val="006D6FC7"/>
    <w:rsid w:val="006D7002"/>
    <w:rsid w:val="006D700F"/>
    <w:rsid w:val="006D752F"/>
    <w:rsid w:val="006D781D"/>
    <w:rsid w:val="006D7D9F"/>
    <w:rsid w:val="006E0123"/>
    <w:rsid w:val="006E0418"/>
    <w:rsid w:val="006E04B1"/>
    <w:rsid w:val="006E05C5"/>
    <w:rsid w:val="006E230B"/>
    <w:rsid w:val="006E2DA2"/>
    <w:rsid w:val="006E357A"/>
    <w:rsid w:val="006E3850"/>
    <w:rsid w:val="006E3DA7"/>
    <w:rsid w:val="006E3DCF"/>
    <w:rsid w:val="006E4027"/>
    <w:rsid w:val="006E4075"/>
    <w:rsid w:val="006E466B"/>
    <w:rsid w:val="006E4D7A"/>
    <w:rsid w:val="006E4E7D"/>
    <w:rsid w:val="006E5263"/>
    <w:rsid w:val="006E55F5"/>
    <w:rsid w:val="006E5B9A"/>
    <w:rsid w:val="006E5CE2"/>
    <w:rsid w:val="006E6254"/>
    <w:rsid w:val="006E63EF"/>
    <w:rsid w:val="006E6AC2"/>
    <w:rsid w:val="006E6B98"/>
    <w:rsid w:val="006E734F"/>
    <w:rsid w:val="006E75C1"/>
    <w:rsid w:val="006E7C18"/>
    <w:rsid w:val="006E7C51"/>
    <w:rsid w:val="006F0195"/>
    <w:rsid w:val="006F04C6"/>
    <w:rsid w:val="006F0841"/>
    <w:rsid w:val="006F0A1E"/>
    <w:rsid w:val="006F0D53"/>
    <w:rsid w:val="006F1A12"/>
    <w:rsid w:val="006F1CA2"/>
    <w:rsid w:val="006F1DAC"/>
    <w:rsid w:val="006F20FE"/>
    <w:rsid w:val="006F26E1"/>
    <w:rsid w:val="006F2C28"/>
    <w:rsid w:val="006F2EEF"/>
    <w:rsid w:val="006F3220"/>
    <w:rsid w:val="006F350A"/>
    <w:rsid w:val="006F3BEF"/>
    <w:rsid w:val="006F3C77"/>
    <w:rsid w:val="006F3DAD"/>
    <w:rsid w:val="006F3F0F"/>
    <w:rsid w:val="006F4235"/>
    <w:rsid w:val="006F43D3"/>
    <w:rsid w:val="006F44E0"/>
    <w:rsid w:val="006F4878"/>
    <w:rsid w:val="006F49F8"/>
    <w:rsid w:val="006F4ACD"/>
    <w:rsid w:val="006F503F"/>
    <w:rsid w:val="006F56E4"/>
    <w:rsid w:val="006F5785"/>
    <w:rsid w:val="006F5F93"/>
    <w:rsid w:val="006F5FD7"/>
    <w:rsid w:val="006F61A2"/>
    <w:rsid w:val="006F6255"/>
    <w:rsid w:val="006F6491"/>
    <w:rsid w:val="006F6B91"/>
    <w:rsid w:val="006F6CEA"/>
    <w:rsid w:val="006F6D1F"/>
    <w:rsid w:val="006F7076"/>
    <w:rsid w:val="006F724D"/>
    <w:rsid w:val="006F7322"/>
    <w:rsid w:val="006F7834"/>
    <w:rsid w:val="006F7B84"/>
    <w:rsid w:val="007005FA"/>
    <w:rsid w:val="0070095D"/>
    <w:rsid w:val="00700C69"/>
    <w:rsid w:val="0070109C"/>
    <w:rsid w:val="007010ED"/>
    <w:rsid w:val="007013A5"/>
    <w:rsid w:val="00701427"/>
    <w:rsid w:val="00701843"/>
    <w:rsid w:val="00701C8D"/>
    <w:rsid w:val="00701EEC"/>
    <w:rsid w:val="00702385"/>
    <w:rsid w:val="007027E5"/>
    <w:rsid w:val="00702D58"/>
    <w:rsid w:val="00702E45"/>
    <w:rsid w:val="007031E7"/>
    <w:rsid w:val="00703324"/>
    <w:rsid w:val="00703CB7"/>
    <w:rsid w:val="00703E40"/>
    <w:rsid w:val="00704012"/>
    <w:rsid w:val="00704982"/>
    <w:rsid w:val="007053FB"/>
    <w:rsid w:val="00705482"/>
    <w:rsid w:val="00705A94"/>
    <w:rsid w:val="007060BC"/>
    <w:rsid w:val="00706384"/>
    <w:rsid w:val="0070654E"/>
    <w:rsid w:val="00706FE1"/>
    <w:rsid w:val="0070723F"/>
    <w:rsid w:val="007073B4"/>
    <w:rsid w:val="007075DD"/>
    <w:rsid w:val="0070779E"/>
    <w:rsid w:val="00707BB3"/>
    <w:rsid w:val="00710019"/>
    <w:rsid w:val="00710225"/>
    <w:rsid w:val="0071035C"/>
    <w:rsid w:val="00711263"/>
    <w:rsid w:val="007113C9"/>
    <w:rsid w:val="00711533"/>
    <w:rsid w:val="00711542"/>
    <w:rsid w:val="007116D3"/>
    <w:rsid w:val="007118FE"/>
    <w:rsid w:val="00711CC9"/>
    <w:rsid w:val="00711D3C"/>
    <w:rsid w:val="007120D7"/>
    <w:rsid w:val="007120E5"/>
    <w:rsid w:val="007129A5"/>
    <w:rsid w:val="00712B81"/>
    <w:rsid w:val="00712E55"/>
    <w:rsid w:val="00712EFA"/>
    <w:rsid w:val="00712F93"/>
    <w:rsid w:val="0071382B"/>
    <w:rsid w:val="00713F08"/>
    <w:rsid w:val="007141C4"/>
    <w:rsid w:val="00714284"/>
    <w:rsid w:val="007142CA"/>
    <w:rsid w:val="007144F8"/>
    <w:rsid w:val="007146BF"/>
    <w:rsid w:val="007148E3"/>
    <w:rsid w:val="00714C0D"/>
    <w:rsid w:val="0071572C"/>
    <w:rsid w:val="0071591E"/>
    <w:rsid w:val="00715AA7"/>
    <w:rsid w:val="00715B73"/>
    <w:rsid w:val="0071604F"/>
    <w:rsid w:val="00716158"/>
    <w:rsid w:val="007162CD"/>
    <w:rsid w:val="007164D6"/>
    <w:rsid w:val="0071654C"/>
    <w:rsid w:val="00716702"/>
    <w:rsid w:val="0071679D"/>
    <w:rsid w:val="007168AE"/>
    <w:rsid w:val="00716DF7"/>
    <w:rsid w:val="00716F4E"/>
    <w:rsid w:val="007170EE"/>
    <w:rsid w:val="007172A6"/>
    <w:rsid w:val="007174C3"/>
    <w:rsid w:val="007177B2"/>
    <w:rsid w:val="00717B56"/>
    <w:rsid w:val="00717BB7"/>
    <w:rsid w:val="00717E74"/>
    <w:rsid w:val="00717F3B"/>
    <w:rsid w:val="0072021F"/>
    <w:rsid w:val="00720283"/>
    <w:rsid w:val="007204AB"/>
    <w:rsid w:val="00720A80"/>
    <w:rsid w:val="00720EFE"/>
    <w:rsid w:val="00721190"/>
    <w:rsid w:val="007217B8"/>
    <w:rsid w:val="0072186F"/>
    <w:rsid w:val="00721B41"/>
    <w:rsid w:val="00721CB6"/>
    <w:rsid w:val="00721CB7"/>
    <w:rsid w:val="00721DE8"/>
    <w:rsid w:val="00721ECE"/>
    <w:rsid w:val="007223A4"/>
    <w:rsid w:val="00722DFC"/>
    <w:rsid w:val="00723776"/>
    <w:rsid w:val="007237DA"/>
    <w:rsid w:val="00723803"/>
    <w:rsid w:val="00723909"/>
    <w:rsid w:val="00724BA5"/>
    <w:rsid w:val="00724BFC"/>
    <w:rsid w:val="00724DBC"/>
    <w:rsid w:val="00724DC6"/>
    <w:rsid w:val="00724EA0"/>
    <w:rsid w:val="00724F42"/>
    <w:rsid w:val="00725008"/>
    <w:rsid w:val="007253D3"/>
    <w:rsid w:val="007253D8"/>
    <w:rsid w:val="0072560D"/>
    <w:rsid w:val="0072566E"/>
    <w:rsid w:val="00725960"/>
    <w:rsid w:val="00725B2A"/>
    <w:rsid w:val="00725B57"/>
    <w:rsid w:val="007262FF"/>
    <w:rsid w:val="00726346"/>
    <w:rsid w:val="00726576"/>
    <w:rsid w:val="007267F9"/>
    <w:rsid w:val="007268C8"/>
    <w:rsid w:val="00726BEF"/>
    <w:rsid w:val="00726FF5"/>
    <w:rsid w:val="007272E6"/>
    <w:rsid w:val="00727731"/>
    <w:rsid w:val="00727B1A"/>
    <w:rsid w:val="00727B6C"/>
    <w:rsid w:val="00727D7B"/>
    <w:rsid w:val="00727D96"/>
    <w:rsid w:val="00727DB8"/>
    <w:rsid w:val="00730084"/>
    <w:rsid w:val="007300C7"/>
    <w:rsid w:val="0073013D"/>
    <w:rsid w:val="00730324"/>
    <w:rsid w:val="0073043C"/>
    <w:rsid w:val="0073054C"/>
    <w:rsid w:val="007306D5"/>
    <w:rsid w:val="00730F05"/>
    <w:rsid w:val="00730FAF"/>
    <w:rsid w:val="0073128A"/>
    <w:rsid w:val="0073130C"/>
    <w:rsid w:val="0073150F"/>
    <w:rsid w:val="0073164B"/>
    <w:rsid w:val="00731998"/>
    <w:rsid w:val="00731B4B"/>
    <w:rsid w:val="00731CA6"/>
    <w:rsid w:val="00731EB3"/>
    <w:rsid w:val="0073228B"/>
    <w:rsid w:val="00732875"/>
    <w:rsid w:val="0073312A"/>
    <w:rsid w:val="0073394C"/>
    <w:rsid w:val="00733B67"/>
    <w:rsid w:val="00733C02"/>
    <w:rsid w:val="00733C20"/>
    <w:rsid w:val="007341E2"/>
    <w:rsid w:val="0073440F"/>
    <w:rsid w:val="00734601"/>
    <w:rsid w:val="00734A35"/>
    <w:rsid w:val="00734D74"/>
    <w:rsid w:val="007354B3"/>
    <w:rsid w:val="00735512"/>
    <w:rsid w:val="00735B76"/>
    <w:rsid w:val="00736305"/>
    <w:rsid w:val="007363DA"/>
    <w:rsid w:val="007367E0"/>
    <w:rsid w:val="007367E5"/>
    <w:rsid w:val="007369F9"/>
    <w:rsid w:val="00737779"/>
    <w:rsid w:val="007379DC"/>
    <w:rsid w:val="0074026F"/>
    <w:rsid w:val="007405F9"/>
    <w:rsid w:val="00740942"/>
    <w:rsid w:val="00740A3A"/>
    <w:rsid w:val="00740DB4"/>
    <w:rsid w:val="00740FB2"/>
    <w:rsid w:val="00741344"/>
    <w:rsid w:val="007415E3"/>
    <w:rsid w:val="00741A11"/>
    <w:rsid w:val="00741C11"/>
    <w:rsid w:val="00741CD4"/>
    <w:rsid w:val="00741D23"/>
    <w:rsid w:val="00741F47"/>
    <w:rsid w:val="007421EC"/>
    <w:rsid w:val="007425A4"/>
    <w:rsid w:val="007430A2"/>
    <w:rsid w:val="007435C4"/>
    <w:rsid w:val="007439D6"/>
    <w:rsid w:val="00743B4C"/>
    <w:rsid w:val="00743E9F"/>
    <w:rsid w:val="00743EDD"/>
    <w:rsid w:val="00744155"/>
    <w:rsid w:val="0074428E"/>
    <w:rsid w:val="00744532"/>
    <w:rsid w:val="00744B32"/>
    <w:rsid w:val="00744C59"/>
    <w:rsid w:val="00745268"/>
    <w:rsid w:val="00745B69"/>
    <w:rsid w:val="00745D1D"/>
    <w:rsid w:val="00745F0E"/>
    <w:rsid w:val="00746013"/>
    <w:rsid w:val="00746073"/>
    <w:rsid w:val="0074607F"/>
    <w:rsid w:val="0074655F"/>
    <w:rsid w:val="0074664F"/>
    <w:rsid w:val="007467F1"/>
    <w:rsid w:val="007467FD"/>
    <w:rsid w:val="00746DBF"/>
    <w:rsid w:val="00746F04"/>
    <w:rsid w:val="007470AC"/>
    <w:rsid w:val="0074720B"/>
    <w:rsid w:val="007473A0"/>
    <w:rsid w:val="007477E7"/>
    <w:rsid w:val="00747839"/>
    <w:rsid w:val="0074795E"/>
    <w:rsid w:val="00747D83"/>
    <w:rsid w:val="00747F9C"/>
    <w:rsid w:val="007506BA"/>
    <w:rsid w:val="007508FA"/>
    <w:rsid w:val="00751042"/>
    <w:rsid w:val="00751109"/>
    <w:rsid w:val="007513E3"/>
    <w:rsid w:val="00751415"/>
    <w:rsid w:val="0075173C"/>
    <w:rsid w:val="007517EB"/>
    <w:rsid w:val="00751D61"/>
    <w:rsid w:val="007520A8"/>
    <w:rsid w:val="007522DF"/>
    <w:rsid w:val="0075242F"/>
    <w:rsid w:val="007527D9"/>
    <w:rsid w:val="00752953"/>
    <w:rsid w:val="00752A0E"/>
    <w:rsid w:val="00752BD5"/>
    <w:rsid w:val="00752D39"/>
    <w:rsid w:val="00753478"/>
    <w:rsid w:val="007535B6"/>
    <w:rsid w:val="00753800"/>
    <w:rsid w:val="00753909"/>
    <w:rsid w:val="0075409B"/>
    <w:rsid w:val="00754972"/>
    <w:rsid w:val="007549DF"/>
    <w:rsid w:val="00754A68"/>
    <w:rsid w:val="00754B80"/>
    <w:rsid w:val="00754F6C"/>
    <w:rsid w:val="00755646"/>
    <w:rsid w:val="007558BA"/>
    <w:rsid w:val="00755B02"/>
    <w:rsid w:val="00755EBE"/>
    <w:rsid w:val="007569E5"/>
    <w:rsid w:val="00756C8C"/>
    <w:rsid w:val="00756E16"/>
    <w:rsid w:val="00756E92"/>
    <w:rsid w:val="007572C1"/>
    <w:rsid w:val="007575BF"/>
    <w:rsid w:val="00757792"/>
    <w:rsid w:val="00757A59"/>
    <w:rsid w:val="007603BE"/>
    <w:rsid w:val="00760C3E"/>
    <w:rsid w:val="00760E43"/>
    <w:rsid w:val="00760FDE"/>
    <w:rsid w:val="00760FE7"/>
    <w:rsid w:val="00761455"/>
    <w:rsid w:val="00761847"/>
    <w:rsid w:val="00761E25"/>
    <w:rsid w:val="00761FAE"/>
    <w:rsid w:val="00762392"/>
    <w:rsid w:val="0076315B"/>
    <w:rsid w:val="007631C7"/>
    <w:rsid w:val="007637B6"/>
    <w:rsid w:val="007637F2"/>
    <w:rsid w:val="00763AA1"/>
    <w:rsid w:val="00763AE0"/>
    <w:rsid w:val="00763C7C"/>
    <w:rsid w:val="00763CAA"/>
    <w:rsid w:val="00763DA8"/>
    <w:rsid w:val="00763E66"/>
    <w:rsid w:val="00763E7F"/>
    <w:rsid w:val="00763FA0"/>
    <w:rsid w:val="00764042"/>
    <w:rsid w:val="007641C3"/>
    <w:rsid w:val="0076484B"/>
    <w:rsid w:val="007649EE"/>
    <w:rsid w:val="00764D35"/>
    <w:rsid w:val="00764D86"/>
    <w:rsid w:val="00764D99"/>
    <w:rsid w:val="00764E97"/>
    <w:rsid w:val="0076569B"/>
    <w:rsid w:val="007656E1"/>
    <w:rsid w:val="0076587F"/>
    <w:rsid w:val="00765E51"/>
    <w:rsid w:val="00766352"/>
    <w:rsid w:val="0076635A"/>
    <w:rsid w:val="00766412"/>
    <w:rsid w:val="007664F8"/>
    <w:rsid w:val="00766A32"/>
    <w:rsid w:val="00766CD4"/>
    <w:rsid w:val="00766D44"/>
    <w:rsid w:val="00766F4C"/>
    <w:rsid w:val="00766FFF"/>
    <w:rsid w:val="00767A30"/>
    <w:rsid w:val="00767DCA"/>
    <w:rsid w:val="00767F6B"/>
    <w:rsid w:val="00770193"/>
    <w:rsid w:val="00770237"/>
    <w:rsid w:val="0077038D"/>
    <w:rsid w:val="0077059C"/>
    <w:rsid w:val="00770606"/>
    <w:rsid w:val="00771021"/>
    <w:rsid w:val="007717FE"/>
    <w:rsid w:val="00771F48"/>
    <w:rsid w:val="0077273C"/>
    <w:rsid w:val="00772EEE"/>
    <w:rsid w:val="0077359C"/>
    <w:rsid w:val="0077440B"/>
    <w:rsid w:val="00774840"/>
    <w:rsid w:val="00774B05"/>
    <w:rsid w:val="00775529"/>
    <w:rsid w:val="007756D7"/>
    <w:rsid w:val="00775BF0"/>
    <w:rsid w:val="00775C1D"/>
    <w:rsid w:val="00775E7D"/>
    <w:rsid w:val="007763AE"/>
    <w:rsid w:val="00776C0A"/>
    <w:rsid w:val="00776D39"/>
    <w:rsid w:val="00776F17"/>
    <w:rsid w:val="00776F6B"/>
    <w:rsid w:val="007770A1"/>
    <w:rsid w:val="00777276"/>
    <w:rsid w:val="007779D1"/>
    <w:rsid w:val="00780460"/>
    <w:rsid w:val="00780A71"/>
    <w:rsid w:val="00780BB9"/>
    <w:rsid w:val="00780C4B"/>
    <w:rsid w:val="00780C78"/>
    <w:rsid w:val="007811AA"/>
    <w:rsid w:val="007814EE"/>
    <w:rsid w:val="0078183A"/>
    <w:rsid w:val="0078197B"/>
    <w:rsid w:val="007819C8"/>
    <w:rsid w:val="00782082"/>
    <w:rsid w:val="007821A5"/>
    <w:rsid w:val="007822CE"/>
    <w:rsid w:val="007828EA"/>
    <w:rsid w:val="00782F10"/>
    <w:rsid w:val="00783417"/>
    <w:rsid w:val="00783A06"/>
    <w:rsid w:val="00784079"/>
    <w:rsid w:val="007847EC"/>
    <w:rsid w:val="007849B2"/>
    <w:rsid w:val="007849E8"/>
    <w:rsid w:val="00784BE4"/>
    <w:rsid w:val="007851B8"/>
    <w:rsid w:val="0078549F"/>
    <w:rsid w:val="00785807"/>
    <w:rsid w:val="00785F24"/>
    <w:rsid w:val="00786138"/>
    <w:rsid w:val="007863E3"/>
    <w:rsid w:val="007869BA"/>
    <w:rsid w:val="00786A16"/>
    <w:rsid w:val="0078742D"/>
    <w:rsid w:val="00787556"/>
    <w:rsid w:val="00787729"/>
    <w:rsid w:val="00787C21"/>
    <w:rsid w:val="00787ED9"/>
    <w:rsid w:val="00790126"/>
    <w:rsid w:val="00790503"/>
    <w:rsid w:val="0079059A"/>
    <w:rsid w:val="007907DC"/>
    <w:rsid w:val="00790913"/>
    <w:rsid w:val="007910C1"/>
    <w:rsid w:val="00791122"/>
    <w:rsid w:val="007911D1"/>
    <w:rsid w:val="007914CB"/>
    <w:rsid w:val="00791527"/>
    <w:rsid w:val="00791941"/>
    <w:rsid w:val="00791A65"/>
    <w:rsid w:val="00791C16"/>
    <w:rsid w:val="00791D9E"/>
    <w:rsid w:val="007922D3"/>
    <w:rsid w:val="00792329"/>
    <w:rsid w:val="0079296F"/>
    <w:rsid w:val="00792EA3"/>
    <w:rsid w:val="00793018"/>
    <w:rsid w:val="0079305F"/>
    <w:rsid w:val="00793379"/>
    <w:rsid w:val="00793549"/>
    <w:rsid w:val="00793932"/>
    <w:rsid w:val="007941CF"/>
    <w:rsid w:val="007945D2"/>
    <w:rsid w:val="00794AE1"/>
    <w:rsid w:val="00794BA0"/>
    <w:rsid w:val="00794CF9"/>
    <w:rsid w:val="007953F1"/>
    <w:rsid w:val="00795962"/>
    <w:rsid w:val="00795B80"/>
    <w:rsid w:val="00795D76"/>
    <w:rsid w:val="00796176"/>
    <w:rsid w:val="0079624F"/>
    <w:rsid w:val="0079641A"/>
    <w:rsid w:val="0079649B"/>
    <w:rsid w:val="00796810"/>
    <w:rsid w:val="00796B72"/>
    <w:rsid w:val="00796C8D"/>
    <w:rsid w:val="00796C97"/>
    <w:rsid w:val="00796F30"/>
    <w:rsid w:val="00796FA5"/>
    <w:rsid w:val="00797260"/>
    <w:rsid w:val="0079746A"/>
    <w:rsid w:val="00797A6B"/>
    <w:rsid w:val="007A0C60"/>
    <w:rsid w:val="007A0CCF"/>
    <w:rsid w:val="007A0D73"/>
    <w:rsid w:val="007A0E52"/>
    <w:rsid w:val="007A0F7D"/>
    <w:rsid w:val="007A102E"/>
    <w:rsid w:val="007A10F4"/>
    <w:rsid w:val="007A167D"/>
    <w:rsid w:val="007A1A1C"/>
    <w:rsid w:val="007A2289"/>
    <w:rsid w:val="007A261D"/>
    <w:rsid w:val="007A2994"/>
    <w:rsid w:val="007A2F28"/>
    <w:rsid w:val="007A3525"/>
    <w:rsid w:val="007A35B5"/>
    <w:rsid w:val="007A3CE5"/>
    <w:rsid w:val="007A3FE4"/>
    <w:rsid w:val="007A4268"/>
    <w:rsid w:val="007A4E9B"/>
    <w:rsid w:val="007A5114"/>
    <w:rsid w:val="007A522E"/>
    <w:rsid w:val="007A52D1"/>
    <w:rsid w:val="007A559D"/>
    <w:rsid w:val="007A578C"/>
    <w:rsid w:val="007A5972"/>
    <w:rsid w:val="007A5B18"/>
    <w:rsid w:val="007A636F"/>
    <w:rsid w:val="007A63A9"/>
    <w:rsid w:val="007A654B"/>
    <w:rsid w:val="007A672A"/>
    <w:rsid w:val="007A6A07"/>
    <w:rsid w:val="007A6DFB"/>
    <w:rsid w:val="007A7599"/>
    <w:rsid w:val="007A790B"/>
    <w:rsid w:val="007A7A4C"/>
    <w:rsid w:val="007A7A78"/>
    <w:rsid w:val="007A7F84"/>
    <w:rsid w:val="007A7FBE"/>
    <w:rsid w:val="007B0049"/>
    <w:rsid w:val="007B0065"/>
    <w:rsid w:val="007B039E"/>
    <w:rsid w:val="007B0A11"/>
    <w:rsid w:val="007B0D1F"/>
    <w:rsid w:val="007B1111"/>
    <w:rsid w:val="007B1225"/>
    <w:rsid w:val="007B14FD"/>
    <w:rsid w:val="007B1651"/>
    <w:rsid w:val="007B1D06"/>
    <w:rsid w:val="007B22A8"/>
    <w:rsid w:val="007B250A"/>
    <w:rsid w:val="007B2816"/>
    <w:rsid w:val="007B2DAE"/>
    <w:rsid w:val="007B2FA8"/>
    <w:rsid w:val="007B3AA4"/>
    <w:rsid w:val="007B3BF8"/>
    <w:rsid w:val="007B3C1C"/>
    <w:rsid w:val="007B43F6"/>
    <w:rsid w:val="007B46A1"/>
    <w:rsid w:val="007B4B65"/>
    <w:rsid w:val="007B4F60"/>
    <w:rsid w:val="007B4FA7"/>
    <w:rsid w:val="007B515C"/>
    <w:rsid w:val="007B551E"/>
    <w:rsid w:val="007B56EA"/>
    <w:rsid w:val="007B5AD6"/>
    <w:rsid w:val="007B5C18"/>
    <w:rsid w:val="007B620D"/>
    <w:rsid w:val="007B6AF0"/>
    <w:rsid w:val="007B6BB6"/>
    <w:rsid w:val="007B6EB1"/>
    <w:rsid w:val="007B7012"/>
    <w:rsid w:val="007B717E"/>
    <w:rsid w:val="007B724B"/>
    <w:rsid w:val="007B72D8"/>
    <w:rsid w:val="007B7663"/>
    <w:rsid w:val="007C02C7"/>
    <w:rsid w:val="007C0AA5"/>
    <w:rsid w:val="007C0B74"/>
    <w:rsid w:val="007C0C02"/>
    <w:rsid w:val="007C0F1E"/>
    <w:rsid w:val="007C0F6D"/>
    <w:rsid w:val="007C1321"/>
    <w:rsid w:val="007C1ACE"/>
    <w:rsid w:val="007C21B3"/>
    <w:rsid w:val="007C2221"/>
    <w:rsid w:val="007C233B"/>
    <w:rsid w:val="007C2402"/>
    <w:rsid w:val="007C3179"/>
    <w:rsid w:val="007C35BD"/>
    <w:rsid w:val="007C397F"/>
    <w:rsid w:val="007C39F5"/>
    <w:rsid w:val="007C3C7F"/>
    <w:rsid w:val="007C4033"/>
    <w:rsid w:val="007C41F2"/>
    <w:rsid w:val="007C43F3"/>
    <w:rsid w:val="007C4475"/>
    <w:rsid w:val="007C48BE"/>
    <w:rsid w:val="007C4D8A"/>
    <w:rsid w:val="007C4DDE"/>
    <w:rsid w:val="007C50C3"/>
    <w:rsid w:val="007C59F3"/>
    <w:rsid w:val="007C60B6"/>
    <w:rsid w:val="007C61F2"/>
    <w:rsid w:val="007C64E1"/>
    <w:rsid w:val="007C6694"/>
    <w:rsid w:val="007C69C6"/>
    <w:rsid w:val="007C6A9A"/>
    <w:rsid w:val="007C6F2C"/>
    <w:rsid w:val="007C7BFA"/>
    <w:rsid w:val="007C7FE0"/>
    <w:rsid w:val="007D00FE"/>
    <w:rsid w:val="007D125F"/>
    <w:rsid w:val="007D1764"/>
    <w:rsid w:val="007D18D6"/>
    <w:rsid w:val="007D1CD0"/>
    <w:rsid w:val="007D229C"/>
    <w:rsid w:val="007D23B6"/>
    <w:rsid w:val="007D24C4"/>
    <w:rsid w:val="007D262E"/>
    <w:rsid w:val="007D27B5"/>
    <w:rsid w:val="007D2A47"/>
    <w:rsid w:val="007D2B83"/>
    <w:rsid w:val="007D2D23"/>
    <w:rsid w:val="007D2D3B"/>
    <w:rsid w:val="007D2EA6"/>
    <w:rsid w:val="007D3C77"/>
    <w:rsid w:val="007D43A2"/>
    <w:rsid w:val="007D43A6"/>
    <w:rsid w:val="007D45BE"/>
    <w:rsid w:val="007D45C5"/>
    <w:rsid w:val="007D45F3"/>
    <w:rsid w:val="007D47A4"/>
    <w:rsid w:val="007D4922"/>
    <w:rsid w:val="007D4E54"/>
    <w:rsid w:val="007D5041"/>
    <w:rsid w:val="007D56CC"/>
    <w:rsid w:val="007D5E4A"/>
    <w:rsid w:val="007D62DA"/>
    <w:rsid w:val="007D65EA"/>
    <w:rsid w:val="007D6E2D"/>
    <w:rsid w:val="007D6EAC"/>
    <w:rsid w:val="007D6F53"/>
    <w:rsid w:val="007D6F79"/>
    <w:rsid w:val="007D71A4"/>
    <w:rsid w:val="007D7261"/>
    <w:rsid w:val="007D7515"/>
    <w:rsid w:val="007D7CE9"/>
    <w:rsid w:val="007E01CC"/>
    <w:rsid w:val="007E0641"/>
    <w:rsid w:val="007E0A82"/>
    <w:rsid w:val="007E0CD0"/>
    <w:rsid w:val="007E0DBF"/>
    <w:rsid w:val="007E1102"/>
    <w:rsid w:val="007E1443"/>
    <w:rsid w:val="007E17E9"/>
    <w:rsid w:val="007E1849"/>
    <w:rsid w:val="007E1DEB"/>
    <w:rsid w:val="007E2DC7"/>
    <w:rsid w:val="007E34D6"/>
    <w:rsid w:val="007E3850"/>
    <w:rsid w:val="007E3CD4"/>
    <w:rsid w:val="007E3DA9"/>
    <w:rsid w:val="007E3FCA"/>
    <w:rsid w:val="007E429C"/>
    <w:rsid w:val="007E4364"/>
    <w:rsid w:val="007E4429"/>
    <w:rsid w:val="007E490E"/>
    <w:rsid w:val="007E4985"/>
    <w:rsid w:val="007E4FA8"/>
    <w:rsid w:val="007E53CB"/>
    <w:rsid w:val="007E565C"/>
    <w:rsid w:val="007E5724"/>
    <w:rsid w:val="007E6076"/>
    <w:rsid w:val="007E628B"/>
    <w:rsid w:val="007E63C4"/>
    <w:rsid w:val="007E646B"/>
    <w:rsid w:val="007E64E4"/>
    <w:rsid w:val="007E6AEE"/>
    <w:rsid w:val="007E6DAC"/>
    <w:rsid w:val="007E71AF"/>
    <w:rsid w:val="007E784C"/>
    <w:rsid w:val="007E7A44"/>
    <w:rsid w:val="007F0524"/>
    <w:rsid w:val="007F063E"/>
    <w:rsid w:val="007F0BE4"/>
    <w:rsid w:val="007F0EAC"/>
    <w:rsid w:val="007F1258"/>
    <w:rsid w:val="007F1555"/>
    <w:rsid w:val="007F1598"/>
    <w:rsid w:val="007F165F"/>
    <w:rsid w:val="007F1744"/>
    <w:rsid w:val="007F1F89"/>
    <w:rsid w:val="007F1F96"/>
    <w:rsid w:val="007F2031"/>
    <w:rsid w:val="007F2B88"/>
    <w:rsid w:val="007F2F29"/>
    <w:rsid w:val="007F2FB5"/>
    <w:rsid w:val="007F325D"/>
    <w:rsid w:val="007F3577"/>
    <w:rsid w:val="007F3662"/>
    <w:rsid w:val="007F3B03"/>
    <w:rsid w:val="007F44D9"/>
    <w:rsid w:val="007F46D2"/>
    <w:rsid w:val="007F479C"/>
    <w:rsid w:val="007F4858"/>
    <w:rsid w:val="007F489E"/>
    <w:rsid w:val="007F4A0A"/>
    <w:rsid w:val="007F4A35"/>
    <w:rsid w:val="007F4BBF"/>
    <w:rsid w:val="007F57BB"/>
    <w:rsid w:val="007F5852"/>
    <w:rsid w:val="007F6462"/>
    <w:rsid w:val="007F64A1"/>
    <w:rsid w:val="007F6781"/>
    <w:rsid w:val="007F6ACC"/>
    <w:rsid w:val="007F6B4B"/>
    <w:rsid w:val="007F704A"/>
    <w:rsid w:val="007F738A"/>
    <w:rsid w:val="007F74E6"/>
    <w:rsid w:val="007F7864"/>
    <w:rsid w:val="007F7966"/>
    <w:rsid w:val="007F7A13"/>
    <w:rsid w:val="007F7DE2"/>
    <w:rsid w:val="008000B1"/>
    <w:rsid w:val="00800200"/>
    <w:rsid w:val="00800E7F"/>
    <w:rsid w:val="00800F82"/>
    <w:rsid w:val="00801266"/>
    <w:rsid w:val="008012D5"/>
    <w:rsid w:val="008014BF"/>
    <w:rsid w:val="008016AB"/>
    <w:rsid w:val="00801740"/>
    <w:rsid w:val="0080197D"/>
    <w:rsid w:val="00801CDC"/>
    <w:rsid w:val="00801FF4"/>
    <w:rsid w:val="0080258A"/>
    <w:rsid w:val="00802AB4"/>
    <w:rsid w:val="00802BBD"/>
    <w:rsid w:val="00802D15"/>
    <w:rsid w:val="00803244"/>
    <w:rsid w:val="00803739"/>
    <w:rsid w:val="008037A4"/>
    <w:rsid w:val="008037B9"/>
    <w:rsid w:val="00803FB0"/>
    <w:rsid w:val="00804241"/>
    <w:rsid w:val="0080480C"/>
    <w:rsid w:val="00804D77"/>
    <w:rsid w:val="00805121"/>
    <w:rsid w:val="008051B0"/>
    <w:rsid w:val="008054B2"/>
    <w:rsid w:val="00805797"/>
    <w:rsid w:val="008057C1"/>
    <w:rsid w:val="008058DB"/>
    <w:rsid w:val="00805FD8"/>
    <w:rsid w:val="008069DB"/>
    <w:rsid w:val="00806A42"/>
    <w:rsid w:val="00806CC6"/>
    <w:rsid w:val="00806D90"/>
    <w:rsid w:val="00807155"/>
    <w:rsid w:val="00807439"/>
    <w:rsid w:val="008078A2"/>
    <w:rsid w:val="00807FC2"/>
    <w:rsid w:val="008104CC"/>
    <w:rsid w:val="008105B8"/>
    <w:rsid w:val="00810762"/>
    <w:rsid w:val="00810DA4"/>
    <w:rsid w:val="008112A3"/>
    <w:rsid w:val="00811724"/>
    <w:rsid w:val="00811ADD"/>
    <w:rsid w:val="00811C1E"/>
    <w:rsid w:val="00811E09"/>
    <w:rsid w:val="00811F2A"/>
    <w:rsid w:val="00812C14"/>
    <w:rsid w:val="00813052"/>
    <w:rsid w:val="008135EA"/>
    <w:rsid w:val="00813773"/>
    <w:rsid w:val="0081393E"/>
    <w:rsid w:val="00813F59"/>
    <w:rsid w:val="0081405C"/>
    <w:rsid w:val="00814689"/>
    <w:rsid w:val="00814A0D"/>
    <w:rsid w:val="00814C05"/>
    <w:rsid w:val="00814EB5"/>
    <w:rsid w:val="00814F08"/>
    <w:rsid w:val="008153DB"/>
    <w:rsid w:val="0081572F"/>
    <w:rsid w:val="00815AA3"/>
    <w:rsid w:val="00815D6B"/>
    <w:rsid w:val="008165AB"/>
    <w:rsid w:val="008165DA"/>
    <w:rsid w:val="008166CD"/>
    <w:rsid w:val="00816B61"/>
    <w:rsid w:val="0081744B"/>
    <w:rsid w:val="00817467"/>
    <w:rsid w:val="0081748E"/>
    <w:rsid w:val="00817602"/>
    <w:rsid w:val="008176E2"/>
    <w:rsid w:val="0082001D"/>
    <w:rsid w:val="008202E9"/>
    <w:rsid w:val="0082034C"/>
    <w:rsid w:val="0082034D"/>
    <w:rsid w:val="0082038E"/>
    <w:rsid w:val="00820419"/>
    <w:rsid w:val="0082054C"/>
    <w:rsid w:val="00820D12"/>
    <w:rsid w:val="00820D79"/>
    <w:rsid w:val="00820EA0"/>
    <w:rsid w:val="00820F57"/>
    <w:rsid w:val="008210AE"/>
    <w:rsid w:val="008216DF"/>
    <w:rsid w:val="00821C48"/>
    <w:rsid w:val="00822239"/>
    <w:rsid w:val="0082251E"/>
    <w:rsid w:val="008227D6"/>
    <w:rsid w:val="008231F9"/>
    <w:rsid w:val="00823A3F"/>
    <w:rsid w:val="00823BC0"/>
    <w:rsid w:val="008240B4"/>
    <w:rsid w:val="00824380"/>
    <w:rsid w:val="008243CC"/>
    <w:rsid w:val="008247D2"/>
    <w:rsid w:val="00824A5B"/>
    <w:rsid w:val="00824D5C"/>
    <w:rsid w:val="008253B5"/>
    <w:rsid w:val="00825485"/>
    <w:rsid w:val="00825C7D"/>
    <w:rsid w:val="00825FF5"/>
    <w:rsid w:val="00826362"/>
    <w:rsid w:val="00826399"/>
    <w:rsid w:val="008267E2"/>
    <w:rsid w:val="00826A69"/>
    <w:rsid w:val="00826F74"/>
    <w:rsid w:val="0082734F"/>
    <w:rsid w:val="008274F5"/>
    <w:rsid w:val="008275BD"/>
    <w:rsid w:val="00830178"/>
    <w:rsid w:val="00830414"/>
    <w:rsid w:val="008311E4"/>
    <w:rsid w:val="008317BB"/>
    <w:rsid w:val="008318EB"/>
    <w:rsid w:val="00831A40"/>
    <w:rsid w:val="00831A47"/>
    <w:rsid w:val="008320F4"/>
    <w:rsid w:val="0083262B"/>
    <w:rsid w:val="00833232"/>
    <w:rsid w:val="00833445"/>
    <w:rsid w:val="00833C37"/>
    <w:rsid w:val="00834343"/>
    <w:rsid w:val="00834BEB"/>
    <w:rsid w:val="00834D83"/>
    <w:rsid w:val="0083532D"/>
    <w:rsid w:val="008354A2"/>
    <w:rsid w:val="0083566E"/>
    <w:rsid w:val="0083582B"/>
    <w:rsid w:val="008359C3"/>
    <w:rsid w:val="00835A0A"/>
    <w:rsid w:val="00835B9A"/>
    <w:rsid w:val="00835BC4"/>
    <w:rsid w:val="00835D2B"/>
    <w:rsid w:val="00836041"/>
    <w:rsid w:val="008362C8"/>
    <w:rsid w:val="0083666F"/>
    <w:rsid w:val="00836AAE"/>
    <w:rsid w:val="00836C5D"/>
    <w:rsid w:val="00836E95"/>
    <w:rsid w:val="008373CF"/>
    <w:rsid w:val="0083767B"/>
    <w:rsid w:val="00837875"/>
    <w:rsid w:val="008378FB"/>
    <w:rsid w:val="00837949"/>
    <w:rsid w:val="0084000A"/>
    <w:rsid w:val="00840432"/>
    <w:rsid w:val="0084049B"/>
    <w:rsid w:val="0084075A"/>
    <w:rsid w:val="00840978"/>
    <w:rsid w:val="008409AA"/>
    <w:rsid w:val="00840B59"/>
    <w:rsid w:val="00840D48"/>
    <w:rsid w:val="00841631"/>
    <w:rsid w:val="00841892"/>
    <w:rsid w:val="00842688"/>
    <w:rsid w:val="00842A3B"/>
    <w:rsid w:val="00842ADC"/>
    <w:rsid w:val="00842CE2"/>
    <w:rsid w:val="00842E98"/>
    <w:rsid w:val="008431A2"/>
    <w:rsid w:val="00843460"/>
    <w:rsid w:val="0084460E"/>
    <w:rsid w:val="00844684"/>
    <w:rsid w:val="008446BE"/>
    <w:rsid w:val="008448F8"/>
    <w:rsid w:val="00844BD5"/>
    <w:rsid w:val="00844C2D"/>
    <w:rsid w:val="00844E1B"/>
    <w:rsid w:val="00845789"/>
    <w:rsid w:val="008458B3"/>
    <w:rsid w:val="00845909"/>
    <w:rsid w:val="00845C2F"/>
    <w:rsid w:val="00845EF6"/>
    <w:rsid w:val="0084625A"/>
    <w:rsid w:val="00846367"/>
    <w:rsid w:val="00846AA6"/>
    <w:rsid w:val="00846C2C"/>
    <w:rsid w:val="00846E71"/>
    <w:rsid w:val="00846FC5"/>
    <w:rsid w:val="008471E6"/>
    <w:rsid w:val="0084734C"/>
    <w:rsid w:val="00847364"/>
    <w:rsid w:val="0084739A"/>
    <w:rsid w:val="0084748D"/>
    <w:rsid w:val="00847D15"/>
    <w:rsid w:val="00847D7D"/>
    <w:rsid w:val="008502A7"/>
    <w:rsid w:val="0085033D"/>
    <w:rsid w:val="008507A3"/>
    <w:rsid w:val="008509A7"/>
    <w:rsid w:val="00850BCC"/>
    <w:rsid w:val="00850E74"/>
    <w:rsid w:val="00851277"/>
    <w:rsid w:val="0085130B"/>
    <w:rsid w:val="008513D1"/>
    <w:rsid w:val="0085159D"/>
    <w:rsid w:val="008516E3"/>
    <w:rsid w:val="008517EA"/>
    <w:rsid w:val="008517F0"/>
    <w:rsid w:val="0085195C"/>
    <w:rsid w:val="00851B69"/>
    <w:rsid w:val="00851BA4"/>
    <w:rsid w:val="00852078"/>
    <w:rsid w:val="00852379"/>
    <w:rsid w:val="008523AB"/>
    <w:rsid w:val="0085244B"/>
    <w:rsid w:val="008524FC"/>
    <w:rsid w:val="00852E45"/>
    <w:rsid w:val="00853045"/>
    <w:rsid w:val="00853225"/>
    <w:rsid w:val="00853481"/>
    <w:rsid w:val="0085365F"/>
    <w:rsid w:val="00853D22"/>
    <w:rsid w:val="008540BF"/>
    <w:rsid w:val="00854339"/>
    <w:rsid w:val="00854583"/>
    <w:rsid w:val="008551E0"/>
    <w:rsid w:val="00855370"/>
    <w:rsid w:val="008553CB"/>
    <w:rsid w:val="008555B9"/>
    <w:rsid w:val="00855613"/>
    <w:rsid w:val="00855B68"/>
    <w:rsid w:val="00855CCF"/>
    <w:rsid w:val="00855D73"/>
    <w:rsid w:val="00856653"/>
    <w:rsid w:val="00856DAE"/>
    <w:rsid w:val="00856DCB"/>
    <w:rsid w:val="008573C0"/>
    <w:rsid w:val="008574D0"/>
    <w:rsid w:val="008579FF"/>
    <w:rsid w:val="00857A02"/>
    <w:rsid w:val="00857D6F"/>
    <w:rsid w:val="00860A33"/>
    <w:rsid w:val="00860A4B"/>
    <w:rsid w:val="00860D15"/>
    <w:rsid w:val="00861168"/>
    <w:rsid w:val="008614AA"/>
    <w:rsid w:val="00861632"/>
    <w:rsid w:val="008619A3"/>
    <w:rsid w:val="00861E1C"/>
    <w:rsid w:val="00862310"/>
    <w:rsid w:val="00862883"/>
    <w:rsid w:val="00862AF4"/>
    <w:rsid w:val="00862F71"/>
    <w:rsid w:val="00863122"/>
    <w:rsid w:val="0086317B"/>
    <w:rsid w:val="00863396"/>
    <w:rsid w:val="0086350A"/>
    <w:rsid w:val="008637D7"/>
    <w:rsid w:val="00863EE6"/>
    <w:rsid w:val="008641E7"/>
    <w:rsid w:val="00864621"/>
    <w:rsid w:val="008648D3"/>
    <w:rsid w:val="00864A89"/>
    <w:rsid w:val="0086522C"/>
    <w:rsid w:val="00865940"/>
    <w:rsid w:val="00865EB2"/>
    <w:rsid w:val="00866236"/>
    <w:rsid w:val="0086650C"/>
    <w:rsid w:val="00866698"/>
    <w:rsid w:val="0086693B"/>
    <w:rsid w:val="00866A7F"/>
    <w:rsid w:val="00866B74"/>
    <w:rsid w:val="00866EE9"/>
    <w:rsid w:val="0086704F"/>
    <w:rsid w:val="008672E6"/>
    <w:rsid w:val="008673CC"/>
    <w:rsid w:val="008673DD"/>
    <w:rsid w:val="00870794"/>
    <w:rsid w:val="00870A0F"/>
    <w:rsid w:val="0087111D"/>
    <w:rsid w:val="0087138C"/>
    <w:rsid w:val="00871818"/>
    <w:rsid w:val="0087183B"/>
    <w:rsid w:val="00872110"/>
    <w:rsid w:val="008723C2"/>
    <w:rsid w:val="008723F6"/>
    <w:rsid w:val="008727BF"/>
    <w:rsid w:val="00872E6C"/>
    <w:rsid w:val="00872E71"/>
    <w:rsid w:val="00873413"/>
    <w:rsid w:val="0087344D"/>
    <w:rsid w:val="008735FC"/>
    <w:rsid w:val="00873878"/>
    <w:rsid w:val="00873B06"/>
    <w:rsid w:val="00873B53"/>
    <w:rsid w:val="008740D7"/>
    <w:rsid w:val="00874934"/>
    <w:rsid w:val="00875033"/>
    <w:rsid w:val="00875AAE"/>
    <w:rsid w:val="00876364"/>
    <w:rsid w:val="00876B40"/>
    <w:rsid w:val="00876BBD"/>
    <w:rsid w:val="00876CD8"/>
    <w:rsid w:val="0087728B"/>
    <w:rsid w:val="008774B9"/>
    <w:rsid w:val="0087753D"/>
    <w:rsid w:val="00877560"/>
    <w:rsid w:val="00877638"/>
    <w:rsid w:val="008777F2"/>
    <w:rsid w:val="00877B49"/>
    <w:rsid w:val="00877CAF"/>
    <w:rsid w:val="0088016F"/>
    <w:rsid w:val="008804F0"/>
    <w:rsid w:val="008809C1"/>
    <w:rsid w:val="00880AEC"/>
    <w:rsid w:val="00880B53"/>
    <w:rsid w:val="00880B6D"/>
    <w:rsid w:val="00880C71"/>
    <w:rsid w:val="00881536"/>
    <w:rsid w:val="00881555"/>
    <w:rsid w:val="00881BE6"/>
    <w:rsid w:val="00881C97"/>
    <w:rsid w:val="00881EED"/>
    <w:rsid w:val="00881EF5"/>
    <w:rsid w:val="00881F42"/>
    <w:rsid w:val="008820EE"/>
    <w:rsid w:val="00882E0E"/>
    <w:rsid w:val="0088312C"/>
    <w:rsid w:val="0088319C"/>
    <w:rsid w:val="008831D4"/>
    <w:rsid w:val="0088321F"/>
    <w:rsid w:val="008832A3"/>
    <w:rsid w:val="00883A6C"/>
    <w:rsid w:val="00883D52"/>
    <w:rsid w:val="00883EBF"/>
    <w:rsid w:val="00884FA6"/>
    <w:rsid w:val="008850C9"/>
    <w:rsid w:val="00885153"/>
    <w:rsid w:val="00885181"/>
    <w:rsid w:val="0088525E"/>
    <w:rsid w:val="008853B4"/>
    <w:rsid w:val="00885D36"/>
    <w:rsid w:val="00886055"/>
    <w:rsid w:val="0088636B"/>
    <w:rsid w:val="0088648C"/>
    <w:rsid w:val="00886732"/>
    <w:rsid w:val="008867B5"/>
    <w:rsid w:val="008868BF"/>
    <w:rsid w:val="00886B7B"/>
    <w:rsid w:val="00886D2D"/>
    <w:rsid w:val="00886DF8"/>
    <w:rsid w:val="00886F5D"/>
    <w:rsid w:val="0088737F"/>
    <w:rsid w:val="008873E8"/>
    <w:rsid w:val="00887736"/>
    <w:rsid w:val="00887982"/>
    <w:rsid w:val="00887CF9"/>
    <w:rsid w:val="008901D6"/>
    <w:rsid w:val="008902DC"/>
    <w:rsid w:val="0089033F"/>
    <w:rsid w:val="0089076E"/>
    <w:rsid w:val="00890850"/>
    <w:rsid w:val="00890926"/>
    <w:rsid w:val="008909CB"/>
    <w:rsid w:val="00890E80"/>
    <w:rsid w:val="00890F35"/>
    <w:rsid w:val="0089103D"/>
    <w:rsid w:val="00891165"/>
    <w:rsid w:val="00891456"/>
    <w:rsid w:val="0089166D"/>
    <w:rsid w:val="00891715"/>
    <w:rsid w:val="00891C34"/>
    <w:rsid w:val="00891E89"/>
    <w:rsid w:val="0089255E"/>
    <w:rsid w:val="008928CD"/>
    <w:rsid w:val="0089350C"/>
    <w:rsid w:val="008938C1"/>
    <w:rsid w:val="00893B6E"/>
    <w:rsid w:val="00893C5F"/>
    <w:rsid w:val="00894751"/>
    <w:rsid w:val="00894775"/>
    <w:rsid w:val="00894A8A"/>
    <w:rsid w:val="0089595A"/>
    <w:rsid w:val="008959A8"/>
    <w:rsid w:val="0089605F"/>
    <w:rsid w:val="00896351"/>
    <w:rsid w:val="00896409"/>
    <w:rsid w:val="008967D8"/>
    <w:rsid w:val="00896E28"/>
    <w:rsid w:val="00896E9E"/>
    <w:rsid w:val="00896FF4"/>
    <w:rsid w:val="00897219"/>
    <w:rsid w:val="008977A1"/>
    <w:rsid w:val="008979FB"/>
    <w:rsid w:val="00897B6C"/>
    <w:rsid w:val="00897BE6"/>
    <w:rsid w:val="008A003C"/>
    <w:rsid w:val="008A030A"/>
    <w:rsid w:val="008A0492"/>
    <w:rsid w:val="008A0564"/>
    <w:rsid w:val="008A05D6"/>
    <w:rsid w:val="008A0946"/>
    <w:rsid w:val="008A0948"/>
    <w:rsid w:val="008A0BD7"/>
    <w:rsid w:val="008A0F40"/>
    <w:rsid w:val="008A14D6"/>
    <w:rsid w:val="008A14DD"/>
    <w:rsid w:val="008A14F5"/>
    <w:rsid w:val="008A181A"/>
    <w:rsid w:val="008A1922"/>
    <w:rsid w:val="008A2394"/>
    <w:rsid w:val="008A251F"/>
    <w:rsid w:val="008A274C"/>
    <w:rsid w:val="008A29E9"/>
    <w:rsid w:val="008A2E5C"/>
    <w:rsid w:val="008A2F89"/>
    <w:rsid w:val="008A3042"/>
    <w:rsid w:val="008A304F"/>
    <w:rsid w:val="008A30B8"/>
    <w:rsid w:val="008A35CC"/>
    <w:rsid w:val="008A38D6"/>
    <w:rsid w:val="008A3BA5"/>
    <w:rsid w:val="008A3C92"/>
    <w:rsid w:val="008A3CCD"/>
    <w:rsid w:val="008A3E77"/>
    <w:rsid w:val="008A3EA5"/>
    <w:rsid w:val="008A4128"/>
    <w:rsid w:val="008A4682"/>
    <w:rsid w:val="008A485A"/>
    <w:rsid w:val="008A499F"/>
    <w:rsid w:val="008A4CFA"/>
    <w:rsid w:val="008A4DAB"/>
    <w:rsid w:val="008A50EA"/>
    <w:rsid w:val="008A5817"/>
    <w:rsid w:val="008A5BC7"/>
    <w:rsid w:val="008A5D46"/>
    <w:rsid w:val="008A5EBA"/>
    <w:rsid w:val="008A63C3"/>
    <w:rsid w:val="008A6590"/>
    <w:rsid w:val="008A683D"/>
    <w:rsid w:val="008A6C55"/>
    <w:rsid w:val="008A6D9B"/>
    <w:rsid w:val="008A71D2"/>
    <w:rsid w:val="008A7DFE"/>
    <w:rsid w:val="008B0387"/>
    <w:rsid w:val="008B040E"/>
    <w:rsid w:val="008B0BD6"/>
    <w:rsid w:val="008B123B"/>
    <w:rsid w:val="008B128E"/>
    <w:rsid w:val="008B12E8"/>
    <w:rsid w:val="008B13E5"/>
    <w:rsid w:val="008B28AE"/>
    <w:rsid w:val="008B29B8"/>
    <w:rsid w:val="008B2BCE"/>
    <w:rsid w:val="008B2D18"/>
    <w:rsid w:val="008B2E9E"/>
    <w:rsid w:val="008B3204"/>
    <w:rsid w:val="008B3651"/>
    <w:rsid w:val="008B38A6"/>
    <w:rsid w:val="008B397A"/>
    <w:rsid w:val="008B3A4C"/>
    <w:rsid w:val="008B3C26"/>
    <w:rsid w:val="008B3D12"/>
    <w:rsid w:val="008B3DA1"/>
    <w:rsid w:val="008B3F50"/>
    <w:rsid w:val="008B48D9"/>
    <w:rsid w:val="008B4A61"/>
    <w:rsid w:val="008B4C22"/>
    <w:rsid w:val="008B4C57"/>
    <w:rsid w:val="008B5021"/>
    <w:rsid w:val="008B50F8"/>
    <w:rsid w:val="008B526C"/>
    <w:rsid w:val="008B544F"/>
    <w:rsid w:val="008B5639"/>
    <w:rsid w:val="008B56B3"/>
    <w:rsid w:val="008B5832"/>
    <w:rsid w:val="008B5B58"/>
    <w:rsid w:val="008B5BF8"/>
    <w:rsid w:val="008B5F66"/>
    <w:rsid w:val="008B61D1"/>
    <w:rsid w:val="008B622C"/>
    <w:rsid w:val="008B62DC"/>
    <w:rsid w:val="008B66D1"/>
    <w:rsid w:val="008B66EE"/>
    <w:rsid w:val="008B6A55"/>
    <w:rsid w:val="008B6B19"/>
    <w:rsid w:val="008B6BA3"/>
    <w:rsid w:val="008B6F3C"/>
    <w:rsid w:val="008B74C2"/>
    <w:rsid w:val="008B7500"/>
    <w:rsid w:val="008B776E"/>
    <w:rsid w:val="008B7B47"/>
    <w:rsid w:val="008B7C3D"/>
    <w:rsid w:val="008B7CC6"/>
    <w:rsid w:val="008C0392"/>
    <w:rsid w:val="008C080B"/>
    <w:rsid w:val="008C0894"/>
    <w:rsid w:val="008C0942"/>
    <w:rsid w:val="008C0C8A"/>
    <w:rsid w:val="008C0E65"/>
    <w:rsid w:val="008C13AF"/>
    <w:rsid w:val="008C1A4C"/>
    <w:rsid w:val="008C1E87"/>
    <w:rsid w:val="008C20FE"/>
    <w:rsid w:val="008C233F"/>
    <w:rsid w:val="008C23BD"/>
    <w:rsid w:val="008C2D52"/>
    <w:rsid w:val="008C2FF1"/>
    <w:rsid w:val="008C323A"/>
    <w:rsid w:val="008C379F"/>
    <w:rsid w:val="008C38DD"/>
    <w:rsid w:val="008C405C"/>
    <w:rsid w:val="008C4565"/>
    <w:rsid w:val="008C4688"/>
    <w:rsid w:val="008C479E"/>
    <w:rsid w:val="008C4A67"/>
    <w:rsid w:val="008C4BD6"/>
    <w:rsid w:val="008C4E85"/>
    <w:rsid w:val="008C4F52"/>
    <w:rsid w:val="008C4F8A"/>
    <w:rsid w:val="008C503A"/>
    <w:rsid w:val="008C51D0"/>
    <w:rsid w:val="008C5525"/>
    <w:rsid w:val="008C5660"/>
    <w:rsid w:val="008C5B52"/>
    <w:rsid w:val="008C5BF0"/>
    <w:rsid w:val="008C601D"/>
    <w:rsid w:val="008C642E"/>
    <w:rsid w:val="008C648F"/>
    <w:rsid w:val="008C6947"/>
    <w:rsid w:val="008C6C59"/>
    <w:rsid w:val="008C6E00"/>
    <w:rsid w:val="008C6EEF"/>
    <w:rsid w:val="008C6FEA"/>
    <w:rsid w:val="008C7420"/>
    <w:rsid w:val="008C7B00"/>
    <w:rsid w:val="008C7E2D"/>
    <w:rsid w:val="008C7E67"/>
    <w:rsid w:val="008C7ED2"/>
    <w:rsid w:val="008D005C"/>
    <w:rsid w:val="008D02B3"/>
    <w:rsid w:val="008D0853"/>
    <w:rsid w:val="008D0A7B"/>
    <w:rsid w:val="008D0AA7"/>
    <w:rsid w:val="008D0C61"/>
    <w:rsid w:val="008D0E21"/>
    <w:rsid w:val="008D12B3"/>
    <w:rsid w:val="008D1312"/>
    <w:rsid w:val="008D15D2"/>
    <w:rsid w:val="008D1710"/>
    <w:rsid w:val="008D1BAC"/>
    <w:rsid w:val="008D1BFD"/>
    <w:rsid w:val="008D1FEC"/>
    <w:rsid w:val="008D2317"/>
    <w:rsid w:val="008D2B97"/>
    <w:rsid w:val="008D2C53"/>
    <w:rsid w:val="008D312F"/>
    <w:rsid w:val="008D31E3"/>
    <w:rsid w:val="008D3426"/>
    <w:rsid w:val="008D363F"/>
    <w:rsid w:val="008D3F2A"/>
    <w:rsid w:val="008D42FC"/>
    <w:rsid w:val="008D49FB"/>
    <w:rsid w:val="008D4A5C"/>
    <w:rsid w:val="008D5064"/>
    <w:rsid w:val="008D517F"/>
    <w:rsid w:val="008D5539"/>
    <w:rsid w:val="008D58DA"/>
    <w:rsid w:val="008D5B67"/>
    <w:rsid w:val="008D5F4A"/>
    <w:rsid w:val="008D60C4"/>
    <w:rsid w:val="008D60DA"/>
    <w:rsid w:val="008D61EF"/>
    <w:rsid w:val="008D67B3"/>
    <w:rsid w:val="008D6820"/>
    <w:rsid w:val="008D690E"/>
    <w:rsid w:val="008D69AC"/>
    <w:rsid w:val="008D6C8C"/>
    <w:rsid w:val="008D6E84"/>
    <w:rsid w:val="008D725F"/>
    <w:rsid w:val="008D7404"/>
    <w:rsid w:val="008D75D0"/>
    <w:rsid w:val="008D77B5"/>
    <w:rsid w:val="008D7B69"/>
    <w:rsid w:val="008D7CAA"/>
    <w:rsid w:val="008D7D55"/>
    <w:rsid w:val="008D7FF1"/>
    <w:rsid w:val="008E0369"/>
    <w:rsid w:val="008E047A"/>
    <w:rsid w:val="008E075A"/>
    <w:rsid w:val="008E0A97"/>
    <w:rsid w:val="008E0C75"/>
    <w:rsid w:val="008E1A2D"/>
    <w:rsid w:val="008E1A4B"/>
    <w:rsid w:val="008E1F4F"/>
    <w:rsid w:val="008E22A1"/>
    <w:rsid w:val="008E2396"/>
    <w:rsid w:val="008E251D"/>
    <w:rsid w:val="008E2590"/>
    <w:rsid w:val="008E2A8C"/>
    <w:rsid w:val="008E2CAD"/>
    <w:rsid w:val="008E3271"/>
    <w:rsid w:val="008E359A"/>
    <w:rsid w:val="008E3C98"/>
    <w:rsid w:val="008E3ECA"/>
    <w:rsid w:val="008E3F92"/>
    <w:rsid w:val="008E4783"/>
    <w:rsid w:val="008E47DC"/>
    <w:rsid w:val="008E4AC6"/>
    <w:rsid w:val="008E4B64"/>
    <w:rsid w:val="008E4DA2"/>
    <w:rsid w:val="008E4DC1"/>
    <w:rsid w:val="008E4EA1"/>
    <w:rsid w:val="008E500B"/>
    <w:rsid w:val="008E552F"/>
    <w:rsid w:val="008E56C5"/>
    <w:rsid w:val="008E5BDF"/>
    <w:rsid w:val="008E5D68"/>
    <w:rsid w:val="008E5FDC"/>
    <w:rsid w:val="008E61D3"/>
    <w:rsid w:val="008E6430"/>
    <w:rsid w:val="008E6595"/>
    <w:rsid w:val="008E6A95"/>
    <w:rsid w:val="008E6D66"/>
    <w:rsid w:val="008E7727"/>
    <w:rsid w:val="008E783F"/>
    <w:rsid w:val="008E7CF0"/>
    <w:rsid w:val="008F0998"/>
    <w:rsid w:val="008F0C8E"/>
    <w:rsid w:val="008F0C94"/>
    <w:rsid w:val="008F0CC8"/>
    <w:rsid w:val="008F0F35"/>
    <w:rsid w:val="008F11FE"/>
    <w:rsid w:val="008F146F"/>
    <w:rsid w:val="008F19B1"/>
    <w:rsid w:val="008F1A7A"/>
    <w:rsid w:val="008F1F09"/>
    <w:rsid w:val="008F1FCA"/>
    <w:rsid w:val="008F1FD2"/>
    <w:rsid w:val="008F2298"/>
    <w:rsid w:val="008F28C0"/>
    <w:rsid w:val="008F2E1E"/>
    <w:rsid w:val="008F32C9"/>
    <w:rsid w:val="008F33B2"/>
    <w:rsid w:val="008F3459"/>
    <w:rsid w:val="008F34DD"/>
    <w:rsid w:val="008F34FB"/>
    <w:rsid w:val="008F361C"/>
    <w:rsid w:val="008F366D"/>
    <w:rsid w:val="008F3F0B"/>
    <w:rsid w:val="008F45B4"/>
    <w:rsid w:val="008F46FF"/>
    <w:rsid w:val="008F488E"/>
    <w:rsid w:val="008F49F0"/>
    <w:rsid w:val="008F4A1C"/>
    <w:rsid w:val="008F4DA6"/>
    <w:rsid w:val="008F4DF7"/>
    <w:rsid w:val="008F517F"/>
    <w:rsid w:val="008F5338"/>
    <w:rsid w:val="008F53A9"/>
    <w:rsid w:val="008F5498"/>
    <w:rsid w:val="008F5644"/>
    <w:rsid w:val="008F569F"/>
    <w:rsid w:val="008F5931"/>
    <w:rsid w:val="008F5AF3"/>
    <w:rsid w:val="008F5B07"/>
    <w:rsid w:val="008F5B44"/>
    <w:rsid w:val="008F60DA"/>
    <w:rsid w:val="008F614E"/>
    <w:rsid w:val="008F64E7"/>
    <w:rsid w:val="008F64F3"/>
    <w:rsid w:val="008F73FD"/>
    <w:rsid w:val="008F746C"/>
    <w:rsid w:val="008F7542"/>
    <w:rsid w:val="008F75B7"/>
    <w:rsid w:val="008F798B"/>
    <w:rsid w:val="008F7A90"/>
    <w:rsid w:val="008F7D8E"/>
    <w:rsid w:val="00900691"/>
    <w:rsid w:val="009006D7"/>
    <w:rsid w:val="00900767"/>
    <w:rsid w:val="00900A43"/>
    <w:rsid w:val="00900B60"/>
    <w:rsid w:val="00900CB4"/>
    <w:rsid w:val="00901F6F"/>
    <w:rsid w:val="00902254"/>
    <w:rsid w:val="009023B0"/>
    <w:rsid w:val="00902884"/>
    <w:rsid w:val="00902AC4"/>
    <w:rsid w:val="00902C31"/>
    <w:rsid w:val="00902C8D"/>
    <w:rsid w:val="00902DBD"/>
    <w:rsid w:val="00903042"/>
    <w:rsid w:val="00903675"/>
    <w:rsid w:val="009039FC"/>
    <w:rsid w:val="009040E5"/>
    <w:rsid w:val="0090444C"/>
    <w:rsid w:val="00904957"/>
    <w:rsid w:val="00904B35"/>
    <w:rsid w:val="009050C3"/>
    <w:rsid w:val="009050C4"/>
    <w:rsid w:val="00905144"/>
    <w:rsid w:val="009059FC"/>
    <w:rsid w:val="00905E6C"/>
    <w:rsid w:val="009063B7"/>
    <w:rsid w:val="00906504"/>
    <w:rsid w:val="0090651E"/>
    <w:rsid w:val="009068B3"/>
    <w:rsid w:val="00906DEA"/>
    <w:rsid w:val="0090736E"/>
    <w:rsid w:val="0090737B"/>
    <w:rsid w:val="00907AE6"/>
    <w:rsid w:val="0091019D"/>
    <w:rsid w:val="00910373"/>
    <w:rsid w:val="00910572"/>
    <w:rsid w:val="009106A7"/>
    <w:rsid w:val="00910A1F"/>
    <w:rsid w:val="00910A6C"/>
    <w:rsid w:val="00910B77"/>
    <w:rsid w:val="00910CB0"/>
    <w:rsid w:val="00911202"/>
    <w:rsid w:val="00911B59"/>
    <w:rsid w:val="00912221"/>
    <w:rsid w:val="009127E4"/>
    <w:rsid w:val="009128B9"/>
    <w:rsid w:val="00912B8D"/>
    <w:rsid w:val="00912DCD"/>
    <w:rsid w:val="009133D7"/>
    <w:rsid w:val="00913589"/>
    <w:rsid w:val="00913A2C"/>
    <w:rsid w:val="00913A6E"/>
    <w:rsid w:val="00914437"/>
    <w:rsid w:val="0091466E"/>
    <w:rsid w:val="00914743"/>
    <w:rsid w:val="00914789"/>
    <w:rsid w:val="00914EF0"/>
    <w:rsid w:val="00914F77"/>
    <w:rsid w:val="009157D4"/>
    <w:rsid w:val="00915808"/>
    <w:rsid w:val="00915C70"/>
    <w:rsid w:val="00915D64"/>
    <w:rsid w:val="009169F2"/>
    <w:rsid w:val="00916CFA"/>
    <w:rsid w:val="00916D17"/>
    <w:rsid w:val="009171B1"/>
    <w:rsid w:val="00917567"/>
    <w:rsid w:val="00917608"/>
    <w:rsid w:val="00917718"/>
    <w:rsid w:val="00917ABF"/>
    <w:rsid w:val="00917B3A"/>
    <w:rsid w:val="00917C14"/>
    <w:rsid w:val="00917DED"/>
    <w:rsid w:val="00917F89"/>
    <w:rsid w:val="0092007F"/>
    <w:rsid w:val="0092032C"/>
    <w:rsid w:val="00920682"/>
    <w:rsid w:val="00921010"/>
    <w:rsid w:val="009213DB"/>
    <w:rsid w:val="00921A18"/>
    <w:rsid w:val="00921CDC"/>
    <w:rsid w:val="00921DEF"/>
    <w:rsid w:val="00921FAD"/>
    <w:rsid w:val="00922389"/>
    <w:rsid w:val="009226CA"/>
    <w:rsid w:val="009227CA"/>
    <w:rsid w:val="00922A9D"/>
    <w:rsid w:val="00922AED"/>
    <w:rsid w:val="00922FAC"/>
    <w:rsid w:val="009235A3"/>
    <w:rsid w:val="00923C97"/>
    <w:rsid w:val="0092418C"/>
    <w:rsid w:val="009242B0"/>
    <w:rsid w:val="00924807"/>
    <w:rsid w:val="00924C92"/>
    <w:rsid w:val="00924EED"/>
    <w:rsid w:val="00925212"/>
    <w:rsid w:val="009252A0"/>
    <w:rsid w:val="009260AF"/>
    <w:rsid w:val="00926116"/>
    <w:rsid w:val="00926137"/>
    <w:rsid w:val="009261D7"/>
    <w:rsid w:val="0092638E"/>
    <w:rsid w:val="009263F0"/>
    <w:rsid w:val="0092654B"/>
    <w:rsid w:val="009265BD"/>
    <w:rsid w:val="0092674B"/>
    <w:rsid w:val="009268FE"/>
    <w:rsid w:val="00926AFB"/>
    <w:rsid w:val="00926F35"/>
    <w:rsid w:val="0092716E"/>
    <w:rsid w:val="009276B2"/>
    <w:rsid w:val="00927D8F"/>
    <w:rsid w:val="00927E7E"/>
    <w:rsid w:val="00930358"/>
    <w:rsid w:val="009308BF"/>
    <w:rsid w:val="00930966"/>
    <w:rsid w:val="00930CC6"/>
    <w:rsid w:val="00930DF1"/>
    <w:rsid w:val="00930E74"/>
    <w:rsid w:val="0093138B"/>
    <w:rsid w:val="009316A6"/>
    <w:rsid w:val="00931D38"/>
    <w:rsid w:val="00931F2F"/>
    <w:rsid w:val="009322B2"/>
    <w:rsid w:val="0093240E"/>
    <w:rsid w:val="009328AC"/>
    <w:rsid w:val="009329AB"/>
    <w:rsid w:val="00932BE3"/>
    <w:rsid w:val="00932CCA"/>
    <w:rsid w:val="00932CEA"/>
    <w:rsid w:val="00932ED9"/>
    <w:rsid w:val="00932EDF"/>
    <w:rsid w:val="00933314"/>
    <w:rsid w:val="0093335F"/>
    <w:rsid w:val="009337BB"/>
    <w:rsid w:val="00933B39"/>
    <w:rsid w:val="00933CC4"/>
    <w:rsid w:val="00933E37"/>
    <w:rsid w:val="00933EDF"/>
    <w:rsid w:val="00934087"/>
    <w:rsid w:val="00934529"/>
    <w:rsid w:val="00934A22"/>
    <w:rsid w:val="00934A4F"/>
    <w:rsid w:val="00935C3C"/>
    <w:rsid w:val="00935F15"/>
    <w:rsid w:val="00936184"/>
    <w:rsid w:val="0093679D"/>
    <w:rsid w:val="00936973"/>
    <w:rsid w:val="00936B00"/>
    <w:rsid w:val="00936D9F"/>
    <w:rsid w:val="0093728D"/>
    <w:rsid w:val="0093728F"/>
    <w:rsid w:val="00937425"/>
    <w:rsid w:val="009402C6"/>
    <w:rsid w:val="00940963"/>
    <w:rsid w:val="00940B7D"/>
    <w:rsid w:val="009410F8"/>
    <w:rsid w:val="00941153"/>
    <w:rsid w:val="00941502"/>
    <w:rsid w:val="0094197A"/>
    <w:rsid w:val="00941C37"/>
    <w:rsid w:val="00941D55"/>
    <w:rsid w:val="00942031"/>
    <w:rsid w:val="009420BE"/>
    <w:rsid w:val="009428DE"/>
    <w:rsid w:val="009429A0"/>
    <w:rsid w:val="00942B53"/>
    <w:rsid w:val="00942D71"/>
    <w:rsid w:val="00942DCC"/>
    <w:rsid w:val="00943178"/>
    <w:rsid w:val="0094365D"/>
    <w:rsid w:val="00943B95"/>
    <w:rsid w:val="00943DED"/>
    <w:rsid w:val="00944231"/>
    <w:rsid w:val="00944899"/>
    <w:rsid w:val="00944DB2"/>
    <w:rsid w:val="00945556"/>
    <w:rsid w:val="0094592B"/>
    <w:rsid w:val="00945A00"/>
    <w:rsid w:val="00946029"/>
    <w:rsid w:val="009462DC"/>
    <w:rsid w:val="0094638E"/>
    <w:rsid w:val="009463B0"/>
    <w:rsid w:val="009469EA"/>
    <w:rsid w:val="00946F1B"/>
    <w:rsid w:val="00947798"/>
    <w:rsid w:val="0094784B"/>
    <w:rsid w:val="0094791D"/>
    <w:rsid w:val="00947946"/>
    <w:rsid w:val="00947A94"/>
    <w:rsid w:val="00947BE8"/>
    <w:rsid w:val="00950340"/>
    <w:rsid w:val="00950407"/>
    <w:rsid w:val="00950741"/>
    <w:rsid w:val="00950AEA"/>
    <w:rsid w:val="00950CB8"/>
    <w:rsid w:val="00950E76"/>
    <w:rsid w:val="00951099"/>
    <w:rsid w:val="009510CF"/>
    <w:rsid w:val="009515F0"/>
    <w:rsid w:val="00951883"/>
    <w:rsid w:val="00951D76"/>
    <w:rsid w:val="00952312"/>
    <w:rsid w:val="009523C0"/>
    <w:rsid w:val="009524C2"/>
    <w:rsid w:val="00952F38"/>
    <w:rsid w:val="0095312A"/>
    <w:rsid w:val="009531BF"/>
    <w:rsid w:val="00953213"/>
    <w:rsid w:val="00953314"/>
    <w:rsid w:val="009538CC"/>
    <w:rsid w:val="00953B30"/>
    <w:rsid w:val="009540E1"/>
    <w:rsid w:val="009542B6"/>
    <w:rsid w:val="00954840"/>
    <w:rsid w:val="0095507D"/>
    <w:rsid w:val="009552AA"/>
    <w:rsid w:val="009552FC"/>
    <w:rsid w:val="009556CD"/>
    <w:rsid w:val="00956083"/>
    <w:rsid w:val="009560DF"/>
    <w:rsid w:val="0095611F"/>
    <w:rsid w:val="009567A9"/>
    <w:rsid w:val="009568A5"/>
    <w:rsid w:val="00957108"/>
    <w:rsid w:val="0095715B"/>
    <w:rsid w:val="00957307"/>
    <w:rsid w:val="009573C9"/>
    <w:rsid w:val="00957586"/>
    <w:rsid w:val="00957A50"/>
    <w:rsid w:val="00957DEC"/>
    <w:rsid w:val="00960449"/>
    <w:rsid w:val="00960EE0"/>
    <w:rsid w:val="00960EF9"/>
    <w:rsid w:val="0096156E"/>
    <w:rsid w:val="00961771"/>
    <w:rsid w:val="009617E0"/>
    <w:rsid w:val="00961D3D"/>
    <w:rsid w:val="00961DE0"/>
    <w:rsid w:val="00961E20"/>
    <w:rsid w:val="00962787"/>
    <w:rsid w:val="009628E4"/>
    <w:rsid w:val="00962D77"/>
    <w:rsid w:val="00962F03"/>
    <w:rsid w:val="009631CF"/>
    <w:rsid w:val="00963320"/>
    <w:rsid w:val="00963A89"/>
    <w:rsid w:val="00963CCE"/>
    <w:rsid w:val="0096407E"/>
    <w:rsid w:val="0096448A"/>
    <w:rsid w:val="0096465A"/>
    <w:rsid w:val="0096478B"/>
    <w:rsid w:val="009648AD"/>
    <w:rsid w:val="00964BBF"/>
    <w:rsid w:val="00965579"/>
    <w:rsid w:val="00965D9B"/>
    <w:rsid w:val="00965F30"/>
    <w:rsid w:val="009660D9"/>
    <w:rsid w:val="00966293"/>
    <w:rsid w:val="009665DB"/>
    <w:rsid w:val="00966A40"/>
    <w:rsid w:val="00966B2B"/>
    <w:rsid w:val="00966B9C"/>
    <w:rsid w:val="009670DE"/>
    <w:rsid w:val="009672BF"/>
    <w:rsid w:val="00967ACC"/>
    <w:rsid w:val="00970033"/>
    <w:rsid w:val="009700FC"/>
    <w:rsid w:val="00970334"/>
    <w:rsid w:val="0097037B"/>
    <w:rsid w:val="009704D5"/>
    <w:rsid w:val="00970DE8"/>
    <w:rsid w:val="009714B5"/>
    <w:rsid w:val="0097189A"/>
    <w:rsid w:val="00971C29"/>
    <w:rsid w:val="00971E2C"/>
    <w:rsid w:val="00971EB1"/>
    <w:rsid w:val="00972380"/>
    <w:rsid w:val="009725C9"/>
    <w:rsid w:val="009725E8"/>
    <w:rsid w:val="00972A73"/>
    <w:rsid w:val="00973167"/>
    <w:rsid w:val="0097318B"/>
    <w:rsid w:val="009734AF"/>
    <w:rsid w:val="00973A5C"/>
    <w:rsid w:val="00973BFE"/>
    <w:rsid w:val="00973E9D"/>
    <w:rsid w:val="009745E2"/>
    <w:rsid w:val="009746B0"/>
    <w:rsid w:val="00975277"/>
    <w:rsid w:val="0097533B"/>
    <w:rsid w:val="00975619"/>
    <w:rsid w:val="009756AB"/>
    <w:rsid w:val="00975904"/>
    <w:rsid w:val="00975BA1"/>
    <w:rsid w:val="00975F30"/>
    <w:rsid w:val="009760A0"/>
    <w:rsid w:val="009767B8"/>
    <w:rsid w:val="00976A8E"/>
    <w:rsid w:val="00976CA3"/>
    <w:rsid w:val="00976D05"/>
    <w:rsid w:val="00976F5D"/>
    <w:rsid w:val="0097703C"/>
    <w:rsid w:val="0097718C"/>
    <w:rsid w:val="00977602"/>
    <w:rsid w:val="00977C33"/>
    <w:rsid w:val="00980121"/>
    <w:rsid w:val="00981003"/>
    <w:rsid w:val="009816A7"/>
    <w:rsid w:val="00981CB3"/>
    <w:rsid w:val="00981F6B"/>
    <w:rsid w:val="0098213E"/>
    <w:rsid w:val="009821AC"/>
    <w:rsid w:val="00982394"/>
    <w:rsid w:val="009824F8"/>
    <w:rsid w:val="00982F39"/>
    <w:rsid w:val="0098306C"/>
    <w:rsid w:val="0098329B"/>
    <w:rsid w:val="0098336D"/>
    <w:rsid w:val="00983D2B"/>
    <w:rsid w:val="00983E82"/>
    <w:rsid w:val="009841E0"/>
    <w:rsid w:val="0098452F"/>
    <w:rsid w:val="00984CC8"/>
    <w:rsid w:val="00984F60"/>
    <w:rsid w:val="009851DE"/>
    <w:rsid w:val="0098536D"/>
    <w:rsid w:val="00985484"/>
    <w:rsid w:val="0098555C"/>
    <w:rsid w:val="009858EC"/>
    <w:rsid w:val="00985B72"/>
    <w:rsid w:val="00985CE5"/>
    <w:rsid w:val="009861D9"/>
    <w:rsid w:val="00986243"/>
    <w:rsid w:val="00986A3A"/>
    <w:rsid w:val="00986A46"/>
    <w:rsid w:val="00986D66"/>
    <w:rsid w:val="00986DD4"/>
    <w:rsid w:val="0098702C"/>
    <w:rsid w:val="00987160"/>
    <w:rsid w:val="009873BA"/>
    <w:rsid w:val="0098784A"/>
    <w:rsid w:val="0098788E"/>
    <w:rsid w:val="00987B4C"/>
    <w:rsid w:val="00987D12"/>
    <w:rsid w:val="009903E5"/>
    <w:rsid w:val="009903FF"/>
    <w:rsid w:val="00990A1A"/>
    <w:rsid w:val="00990B56"/>
    <w:rsid w:val="00991529"/>
    <w:rsid w:val="009915A5"/>
    <w:rsid w:val="009918C1"/>
    <w:rsid w:val="0099267B"/>
    <w:rsid w:val="009930FE"/>
    <w:rsid w:val="0099336E"/>
    <w:rsid w:val="009934CF"/>
    <w:rsid w:val="00993AAF"/>
    <w:rsid w:val="00993B30"/>
    <w:rsid w:val="00993C0A"/>
    <w:rsid w:val="00993CCF"/>
    <w:rsid w:val="00993E6F"/>
    <w:rsid w:val="0099456F"/>
    <w:rsid w:val="009946BF"/>
    <w:rsid w:val="009946D7"/>
    <w:rsid w:val="00994ACD"/>
    <w:rsid w:val="00994C83"/>
    <w:rsid w:val="00995016"/>
    <w:rsid w:val="0099541A"/>
    <w:rsid w:val="009954E7"/>
    <w:rsid w:val="00995501"/>
    <w:rsid w:val="00995BFC"/>
    <w:rsid w:val="00995F54"/>
    <w:rsid w:val="00995FD4"/>
    <w:rsid w:val="00996A8D"/>
    <w:rsid w:val="00996E01"/>
    <w:rsid w:val="00996E21"/>
    <w:rsid w:val="00996ED7"/>
    <w:rsid w:val="00997104"/>
    <w:rsid w:val="00997437"/>
    <w:rsid w:val="00997562"/>
    <w:rsid w:val="00997FAE"/>
    <w:rsid w:val="00997FCA"/>
    <w:rsid w:val="009A0110"/>
    <w:rsid w:val="009A033A"/>
    <w:rsid w:val="009A0960"/>
    <w:rsid w:val="009A14C1"/>
    <w:rsid w:val="009A15FB"/>
    <w:rsid w:val="009A180A"/>
    <w:rsid w:val="009A20F6"/>
    <w:rsid w:val="009A2384"/>
    <w:rsid w:val="009A292E"/>
    <w:rsid w:val="009A2C8F"/>
    <w:rsid w:val="009A2FC1"/>
    <w:rsid w:val="009A31B9"/>
    <w:rsid w:val="009A37CA"/>
    <w:rsid w:val="009A37D3"/>
    <w:rsid w:val="009A39B3"/>
    <w:rsid w:val="009A3F90"/>
    <w:rsid w:val="009A40FB"/>
    <w:rsid w:val="009A4E59"/>
    <w:rsid w:val="009A4FE8"/>
    <w:rsid w:val="009A500D"/>
    <w:rsid w:val="009A52B1"/>
    <w:rsid w:val="009A6CF7"/>
    <w:rsid w:val="009A6D85"/>
    <w:rsid w:val="009A723D"/>
    <w:rsid w:val="009A7346"/>
    <w:rsid w:val="009A7736"/>
    <w:rsid w:val="009B0797"/>
    <w:rsid w:val="009B0A4A"/>
    <w:rsid w:val="009B0D50"/>
    <w:rsid w:val="009B0EC4"/>
    <w:rsid w:val="009B1070"/>
    <w:rsid w:val="009B1133"/>
    <w:rsid w:val="009B1764"/>
    <w:rsid w:val="009B1A8A"/>
    <w:rsid w:val="009B1DA4"/>
    <w:rsid w:val="009B1DAC"/>
    <w:rsid w:val="009B2839"/>
    <w:rsid w:val="009B29A2"/>
    <w:rsid w:val="009B2A92"/>
    <w:rsid w:val="009B2B78"/>
    <w:rsid w:val="009B2F13"/>
    <w:rsid w:val="009B301F"/>
    <w:rsid w:val="009B32AE"/>
    <w:rsid w:val="009B341D"/>
    <w:rsid w:val="009B3575"/>
    <w:rsid w:val="009B3AD2"/>
    <w:rsid w:val="009B3BF1"/>
    <w:rsid w:val="009B403E"/>
    <w:rsid w:val="009B40C6"/>
    <w:rsid w:val="009B40C9"/>
    <w:rsid w:val="009B43E5"/>
    <w:rsid w:val="009B4EE3"/>
    <w:rsid w:val="009B5039"/>
    <w:rsid w:val="009B5371"/>
    <w:rsid w:val="009B55AF"/>
    <w:rsid w:val="009B578E"/>
    <w:rsid w:val="009B57A5"/>
    <w:rsid w:val="009B5D44"/>
    <w:rsid w:val="009B6686"/>
    <w:rsid w:val="009B713F"/>
    <w:rsid w:val="009B7158"/>
    <w:rsid w:val="009B74D5"/>
    <w:rsid w:val="009B7B99"/>
    <w:rsid w:val="009C000E"/>
    <w:rsid w:val="009C099D"/>
    <w:rsid w:val="009C0EEE"/>
    <w:rsid w:val="009C117A"/>
    <w:rsid w:val="009C11CA"/>
    <w:rsid w:val="009C1439"/>
    <w:rsid w:val="009C15CE"/>
    <w:rsid w:val="009C17FD"/>
    <w:rsid w:val="009C206D"/>
    <w:rsid w:val="009C2305"/>
    <w:rsid w:val="009C2488"/>
    <w:rsid w:val="009C2726"/>
    <w:rsid w:val="009C27EB"/>
    <w:rsid w:val="009C2857"/>
    <w:rsid w:val="009C28FB"/>
    <w:rsid w:val="009C2E1B"/>
    <w:rsid w:val="009C2E2B"/>
    <w:rsid w:val="009C33A5"/>
    <w:rsid w:val="009C35FD"/>
    <w:rsid w:val="009C36E6"/>
    <w:rsid w:val="009C3C21"/>
    <w:rsid w:val="009C3DA7"/>
    <w:rsid w:val="009C3DE8"/>
    <w:rsid w:val="009C428A"/>
    <w:rsid w:val="009C4582"/>
    <w:rsid w:val="009C4D6F"/>
    <w:rsid w:val="009C4EED"/>
    <w:rsid w:val="009C5038"/>
    <w:rsid w:val="009C506D"/>
    <w:rsid w:val="009C55D6"/>
    <w:rsid w:val="009C5953"/>
    <w:rsid w:val="009C6474"/>
    <w:rsid w:val="009C6BCA"/>
    <w:rsid w:val="009C6CEB"/>
    <w:rsid w:val="009C6FFE"/>
    <w:rsid w:val="009C72FC"/>
    <w:rsid w:val="009C7330"/>
    <w:rsid w:val="009C75CF"/>
    <w:rsid w:val="009C76E6"/>
    <w:rsid w:val="009C7D0C"/>
    <w:rsid w:val="009D0324"/>
    <w:rsid w:val="009D035C"/>
    <w:rsid w:val="009D0598"/>
    <w:rsid w:val="009D0EB6"/>
    <w:rsid w:val="009D0F29"/>
    <w:rsid w:val="009D112A"/>
    <w:rsid w:val="009D1385"/>
    <w:rsid w:val="009D189E"/>
    <w:rsid w:val="009D18F2"/>
    <w:rsid w:val="009D1ACF"/>
    <w:rsid w:val="009D2207"/>
    <w:rsid w:val="009D2284"/>
    <w:rsid w:val="009D255F"/>
    <w:rsid w:val="009D2F0F"/>
    <w:rsid w:val="009D3142"/>
    <w:rsid w:val="009D352B"/>
    <w:rsid w:val="009D3587"/>
    <w:rsid w:val="009D3917"/>
    <w:rsid w:val="009D3C9F"/>
    <w:rsid w:val="009D44D9"/>
    <w:rsid w:val="009D48C2"/>
    <w:rsid w:val="009D4CE8"/>
    <w:rsid w:val="009D54C8"/>
    <w:rsid w:val="009D5549"/>
    <w:rsid w:val="009D6163"/>
    <w:rsid w:val="009D6B47"/>
    <w:rsid w:val="009D6BE5"/>
    <w:rsid w:val="009D6C4B"/>
    <w:rsid w:val="009D6E61"/>
    <w:rsid w:val="009D6ECD"/>
    <w:rsid w:val="009D7479"/>
    <w:rsid w:val="009D754D"/>
    <w:rsid w:val="009D77FE"/>
    <w:rsid w:val="009D78B4"/>
    <w:rsid w:val="009D7BD1"/>
    <w:rsid w:val="009D7D93"/>
    <w:rsid w:val="009D7DAD"/>
    <w:rsid w:val="009D7F2A"/>
    <w:rsid w:val="009D7FE0"/>
    <w:rsid w:val="009E0109"/>
    <w:rsid w:val="009E0573"/>
    <w:rsid w:val="009E0589"/>
    <w:rsid w:val="009E06B2"/>
    <w:rsid w:val="009E0BAE"/>
    <w:rsid w:val="009E0FC8"/>
    <w:rsid w:val="009E15AA"/>
    <w:rsid w:val="009E194C"/>
    <w:rsid w:val="009E1D08"/>
    <w:rsid w:val="009E20E2"/>
    <w:rsid w:val="009E24A6"/>
    <w:rsid w:val="009E24FB"/>
    <w:rsid w:val="009E2C76"/>
    <w:rsid w:val="009E2D0E"/>
    <w:rsid w:val="009E2DF1"/>
    <w:rsid w:val="009E2DFA"/>
    <w:rsid w:val="009E2FD8"/>
    <w:rsid w:val="009E336B"/>
    <w:rsid w:val="009E3472"/>
    <w:rsid w:val="009E3923"/>
    <w:rsid w:val="009E4171"/>
    <w:rsid w:val="009E44B8"/>
    <w:rsid w:val="009E4A07"/>
    <w:rsid w:val="009E4A66"/>
    <w:rsid w:val="009E4B96"/>
    <w:rsid w:val="009E4BB3"/>
    <w:rsid w:val="009E55F3"/>
    <w:rsid w:val="009E5642"/>
    <w:rsid w:val="009E5C6C"/>
    <w:rsid w:val="009E5CCE"/>
    <w:rsid w:val="009E6279"/>
    <w:rsid w:val="009E64BD"/>
    <w:rsid w:val="009E6828"/>
    <w:rsid w:val="009E730B"/>
    <w:rsid w:val="009E7990"/>
    <w:rsid w:val="009E7D81"/>
    <w:rsid w:val="009F0850"/>
    <w:rsid w:val="009F0895"/>
    <w:rsid w:val="009F0F07"/>
    <w:rsid w:val="009F109C"/>
    <w:rsid w:val="009F113E"/>
    <w:rsid w:val="009F1397"/>
    <w:rsid w:val="009F141A"/>
    <w:rsid w:val="009F2287"/>
    <w:rsid w:val="009F2B54"/>
    <w:rsid w:val="009F2DF5"/>
    <w:rsid w:val="009F3055"/>
    <w:rsid w:val="009F3060"/>
    <w:rsid w:val="009F35D8"/>
    <w:rsid w:val="009F38AC"/>
    <w:rsid w:val="009F4259"/>
    <w:rsid w:val="009F49F3"/>
    <w:rsid w:val="009F4F34"/>
    <w:rsid w:val="009F4FDB"/>
    <w:rsid w:val="009F51E3"/>
    <w:rsid w:val="009F5364"/>
    <w:rsid w:val="009F559E"/>
    <w:rsid w:val="009F55B6"/>
    <w:rsid w:val="009F5953"/>
    <w:rsid w:val="009F6183"/>
    <w:rsid w:val="009F6297"/>
    <w:rsid w:val="009F6345"/>
    <w:rsid w:val="009F6780"/>
    <w:rsid w:val="009F6967"/>
    <w:rsid w:val="009F6999"/>
    <w:rsid w:val="009F6B26"/>
    <w:rsid w:val="009F6C53"/>
    <w:rsid w:val="009F6DEF"/>
    <w:rsid w:val="009F6FE4"/>
    <w:rsid w:val="009F71D4"/>
    <w:rsid w:val="009F7454"/>
    <w:rsid w:val="009F75BD"/>
    <w:rsid w:val="009F764B"/>
    <w:rsid w:val="009F76EF"/>
    <w:rsid w:val="009F791A"/>
    <w:rsid w:val="009F7A05"/>
    <w:rsid w:val="009F7CF5"/>
    <w:rsid w:val="009F7E36"/>
    <w:rsid w:val="00A00282"/>
    <w:rsid w:val="00A0031E"/>
    <w:rsid w:val="00A00340"/>
    <w:rsid w:val="00A003D2"/>
    <w:rsid w:val="00A00570"/>
    <w:rsid w:val="00A00C55"/>
    <w:rsid w:val="00A00CF3"/>
    <w:rsid w:val="00A012ED"/>
    <w:rsid w:val="00A01A44"/>
    <w:rsid w:val="00A01C17"/>
    <w:rsid w:val="00A01C21"/>
    <w:rsid w:val="00A01C6B"/>
    <w:rsid w:val="00A01CC2"/>
    <w:rsid w:val="00A01EDF"/>
    <w:rsid w:val="00A0201F"/>
    <w:rsid w:val="00A0204F"/>
    <w:rsid w:val="00A02088"/>
    <w:rsid w:val="00A027CA"/>
    <w:rsid w:val="00A03244"/>
    <w:rsid w:val="00A03263"/>
    <w:rsid w:val="00A03479"/>
    <w:rsid w:val="00A03F1D"/>
    <w:rsid w:val="00A03FF5"/>
    <w:rsid w:val="00A043E8"/>
    <w:rsid w:val="00A044F7"/>
    <w:rsid w:val="00A04C87"/>
    <w:rsid w:val="00A04FA3"/>
    <w:rsid w:val="00A051F7"/>
    <w:rsid w:val="00A05272"/>
    <w:rsid w:val="00A054B4"/>
    <w:rsid w:val="00A05507"/>
    <w:rsid w:val="00A05812"/>
    <w:rsid w:val="00A05D71"/>
    <w:rsid w:val="00A05DA0"/>
    <w:rsid w:val="00A05ECB"/>
    <w:rsid w:val="00A05F32"/>
    <w:rsid w:val="00A06324"/>
    <w:rsid w:val="00A064D6"/>
    <w:rsid w:val="00A06513"/>
    <w:rsid w:val="00A06575"/>
    <w:rsid w:val="00A06C4F"/>
    <w:rsid w:val="00A06DA5"/>
    <w:rsid w:val="00A06F64"/>
    <w:rsid w:val="00A109DC"/>
    <w:rsid w:val="00A10EFD"/>
    <w:rsid w:val="00A10FC0"/>
    <w:rsid w:val="00A11052"/>
    <w:rsid w:val="00A110D8"/>
    <w:rsid w:val="00A111D1"/>
    <w:rsid w:val="00A11CFD"/>
    <w:rsid w:val="00A1217F"/>
    <w:rsid w:val="00A121B3"/>
    <w:rsid w:val="00A12462"/>
    <w:rsid w:val="00A1265A"/>
    <w:rsid w:val="00A126FD"/>
    <w:rsid w:val="00A12C1D"/>
    <w:rsid w:val="00A12FE5"/>
    <w:rsid w:val="00A1314B"/>
    <w:rsid w:val="00A1368B"/>
    <w:rsid w:val="00A13AB6"/>
    <w:rsid w:val="00A148F8"/>
    <w:rsid w:val="00A1493C"/>
    <w:rsid w:val="00A14F57"/>
    <w:rsid w:val="00A14F63"/>
    <w:rsid w:val="00A152F8"/>
    <w:rsid w:val="00A153D5"/>
    <w:rsid w:val="00A15DD0"/>
    <w:rsid w:val="00A16537"/>
    <w:rsid w:val="00A16687"/>
    <w:rsid w:val="00A16986"/>
    <w:rsid w:val="00A16BDB"/>
    <w:rsid w:val="00A17019"/>
    <w:rsid w:val="00A170BC"/>
    <w:rsid w:val="00A173D8"/>
    <w:rsid w:val="00A17722"/>
    <w:rsid w:val="00A178FA"/>
    <w:rsid w:val="00A20004"/>
    <w:rsid w:val="00A20009"/>
    <w:rsid w:val="00A20020"/>
    <w:rsid w:val="00A20196"/>
    <w:rsid w:val="00A2024D"/>
    <w:rsid w:val="00A2069C"/>
    <w:rsid w:val="00A20A4D"/>
    <w:rsid w:val="00A20B9D"/>
    <w:rsid w:val="00A20D7E"/>
    <w:rsid w:val="00A214E6"/>
    <w:rsid w:val="00A2150C"/>
    <w:rsid w:val="00A21AA7"/>
    <w:rsid w:val="00A2230C"/>
    <w:rsid w:val="00A22577"/>
    <w:rsid w:val="00A22D46"/>
    <w:rsid w:val="00A23399"/>
    <w:rsid w:val="00A23615"/>
    <w:rsid w:val="00A23727"/>
    <w:rsid w:val="00A2392D"/>
    <w:rsid w:val="00A23A4B"/>
    <w:rsid w:val="00A23F8C"/>
    <w:rsid w:val="00A24639"/>
    <w:rsid w:val="00A2470E"/>
    <w:rsid w:val="00A2474D"/>
    <w:rsid w:val="00A24AAF"/>
    <w:rsid w:val="00A24C75"/>
    <w:rsid w:val="00A24D68"/>
    <w:rsid w:val="00A24D72"/>
    <w:rsid w:val="00A2533A"/>
    <w:rsid w:val="00A25609"/>
    <w:rsid w:val="00A25714"/>
    <w:rsid w:val="00A259BD"/>
    <w:rsid w:val="00A25B6D"/>
    <w:rsid w:val="00A2615E"/>
    <w:rsid w:val="00A2652F"/>
    <w:rsid w:val="00A26B4C"/>
    <w:rsid w:val="00A26BC5"/>
    <w:rsid w:val="00A26E9C"/>
    <w:rsid w:val="00A27132"/>
    <w:rsid w:val="00A2729E"/>
    <w:rsid w:val="00A27E1E"/>
    <w:rsid w:val="00A30095"/>
    <w:rsid w:val="00A301C2"/>
    <w:rsid w:val="00A305B5"/>
    <w:rsid w:val="00A30899"/>
    <w:rsid w:val="00A30B5E"/>
    <w:rsid w:val="00A3145A"/>
    <w:rsid w:val="00A31B26"/>
    <w:rsid w:val="00A323E3"/>
    <w:rsid w:val="00A3271F"/>
    <w:rsid w:val="00A32B7A"/>
    <w:rsid w:val="00A32BCB"/>
    <w:rsid w:val="00A3369D"/>
    <w:rsid w:val="00A336AA"/>
    <w:rsid w:val="00A33AE9"/>
    <w:rsid w:val="00A33F13"/>
    <w:rsid w:val="00A34DDB"/>
    <w:rsid w:val="00A34E74"/>
    <w:rsid w:val="00A35193"/>
    <w:rsid w:val="00A351B6"/>
    <w:rsid w:val="00A354D1"/>
    <w:rsid w:val="00A35E79"/>
    <w:rsid w:val="00A35FA2"/>
    <w:rsid w:val="00A36025"/>
    <w:rsid w:val="00A36575"/>
    <w:rsid w:val="00A365B0"/>
    <w:rsid w:val="00A36D4D"/>
    <w:rsid w:val="00A36EE1"/>
    <w:rsid w:val="00A37CEE"/>
    <w:rsid w:val="00A37DBE"/>
    <w:rsid w:val="00A37DC6"/>
    <w:rsid w:val="00A37E63"/>
    <w:rsid w:val="00A400BC"/>
    <w:rsid w:val="00A40225"/>
    <w:rsid w:val="00A40353"/>
    <w:rsid w:val="00A405FD"/>
    <w:rsid w:val="00A4104E"/>
    <w:rsid w:val="00A41565"/>
    <w:rsid w:val="00A41654"/>
    <w:rsid w:val="00A41A4F"/>
    <w:rsid w:val="00A41AB0"/>
    <w:rsid w:val="00A41BE5"/>
    <w:rsid w:val="00A41CC7"/>
    <w:rsid w:val="00A41ED2"/>
    <w:rsid w:val="00A42483"/>
    <w:rsid w:val="00A42C57"/>
    <w:rsid w:val="00A42CA8"/>
    <w:rsid w:val="00A43393"/>
    <w:rsid w:val="00A43AD9"/>
    <w:rsid w:val="00A43DD9"/>
    <w:rsid w:val="00A4479E"/>
    <w:rsid w:val="00A44B58"/>
    <w:rsid w:val="00A44D2A"/>
    <w:rsid w:val="00A45C2E"/>
    <w:rsid w:val="00A465CA"/>
    <w:rsid w:val="00A4680C"/>
    <w:rsid w:val="00A46BF0"/>
    <w:rsid w:val="00A47197"/>
    <w:rsid w:val="00A47393"/>
    <w:rsid w:val="00A47A57"/>
    <w:rsid w:val="00A47CF9"/>
    <w:rsid w:val="00A47D89"/>
    <w:rsid w:val="00A5062C"/>
    <w:rsid w:val="00A50929"/>
    <w:rsid w:val="00A50D9C"/>
    <w:rsid w:val="00A5116E"/>
    <w:rsid w:val="00A511CD"/>
    <w:rsid w:val="00A5129A"/>
    <w:rsid w:val="00A51334"/>
    <w:rsid w:val="00A515B9"/>
    <w:rsid w:val="00A515BB"/>
    <w:rsid w:val="00A51A02"/>
    <w:rsid w:val="00A51ABA"/>
    <w:rsid w:val="00A51D02"/>
    <w:rsid w:val="00A51DAF"/>
    <w:rsid w:val="00A52335"/>
    <w:rsid w:val="00A5258F"/>
    <w:rsid w:val="00A52DA1"/>
    <w:rsid w:val="00A52E27"/>
    <w:rsid w:val="00A53CA1"/>
    <w:rsid w:val="00A54794"/>
    <w:rsid w:val="00A55076"/>
    <w:rsid w:val="00A555B3"/>
    <w:rsid w:val="00A55808"/>
    <w:rsid w:val="00A55A4F"/>
    <w:rsid w:val="00A55BA9"/>
    <w:rsid w:val="00A55D6F"/>
    <w:rsid w:val="00A567DD"/>
    <w:rsid w:val="00A569A7"/>
    <w:rsid w:val="00A56E7E"/>
    <w:rsid w:val="00A56FEB"/>
    <w:rsid w:val="00A5750E"/>
    <w:rsid w:val="00A577BD"/>
    <w:rsid w:val="00A57CE0"/>
    <w:rsid w:val="00A6045B"/>
    <w:rsid w:val="00A604EE"/>
    <w:rsid w:val="00A605E3"/>
    <w:rsid w:val="00A60890"/>
    <w:rsid w:val="00A609D5"/>
    <w:rsid w:val="00A60FF2"/>
    <w:rsid w:val="00A62017"/>
    <w:rsid w:val="00A62025"/>
    <w:rsid w:val="00A62237"/>
    <w:rsid w:val="00A6262B"/>
    <w:rsid w:val="00A62818"/>
    <w:rsid w:val="00A6286E"/>
    <w:rsid w:val="00A62C7D"/>
    <w:rsid w:val="00A62EA3"/>
    <w:rsid w:val="00A62FA8"/>
    <w:rsid w:val="00A62FED"/>
    <w:rsid w:val="00A6367A"/>
    <w:rsid w:val="00A636AD"/>
    <w:rsid w:val="00A64488"/>
    <w:rsid w:val="00A644A8"/>
    <w:rsid w:val="00A64869"/>
    <w:rsid w:val="00A64B69"/>
    <w:rsid w:val="00A64BAA"/>
    <w:rsid w:val="00A6520E"/>
    <w:rsid w:val="00A6521A"/>
    <w:rsid w:val="00A65451"/>
    <w:rsid w:val="00A657B3"/>
    <w:rsid w:val="00A65876"/>
    <w:rsid w:val="00A660C9"/>
    <w:rsid w:val="00A66244"/>
    <w:rsid w:val="00A664D9"/>
    <w:rsid w:val="00A6652B"/>
    <w:rsid w:val="00A66755"/>
    <w:rsid w:val="00A66A1B"/>
    <w:rsid w:val="00A66C85"/>
    <w:rsid w:val="00A67480"/>
    <w:rsid w:val="00A67602"/>
    <w:rsid w:val="00A67F2C"/>
    <w:rsid w:val="00A67F7A"/>
    <w:rsid w:val="00A67FDE"/>
    <w:rsid w:val="00A70230"/>
    <w:rsid w:val="00A7038C"/>
    <w:rsid w:val="00A70E04"/>
    <w:rsid w:val="00A7139D"/>
    <w:rsid w:val="00A716EE"/>
    <w:rsid w:val="00A71B4E"/>
    <w:rsid w:val="00A71CA2"/>
    <w:rsid w:val="00A71FC2"/>
    <w:rsid w:val="00A72024"/>
    <w:rsid w:val="00A72561"/>
    <w:rsid w:val="00A72F6D"/>
    <w:rsid w:val="00A732CF"/>
    <w:rsid w:val="00A7346E"/>
    <w:rsid w:val="00A737B1"/>
    <w:rsid w:val="00A737C9"/>
    <w:rsid w:val="00A737F9"/>
    <w:rsid w:val="00A73A46"/>
    <w:rsid w:val="00A7432E"/>
    <w:rsid w:val="00A750F8"/>
    <w:rsid w:val="00A7529D"/>
    <w:rsid w:val="00A75491"/>
    <w:rsid w:val="00A754A5"/>
    <w:rsid w:val="00A75719"/>
    <w:rsid w:val="00A75BAB"/>
    <w:rsid w:val="00A761A9"/>
    <w:rsid w:val="00A76413"/>
    <w:rsid w:val="00A76BF3"/>
    <w:rsid w:val="00A76EAF"/>
    <w:rsid w:val="00A7735C"/>
    <w:rsid w:val="00A7762B"/>
    <w:rsid w:val="00A77A05"/>
    <w:rsid w:val="00A77A4A"/>
    <w:rsid w:val="00A77E8B"/>
    <w:rsid w:val="00A80291"/>
    <w:rsid w:val="00A80376"/>
    <w:rsid w:val="00A80626"/>
    <w:rsid w:val="00A8067C"/>
    <w:rsid w:val="00A806D1"/>
    <w:rsid w:val="00A809D6"/>
    <w:rsid w:val="00A80DD6"/>
    <w:rsid w:val="00A81073"/>
    <w:rsid w:val="00A8168F"/>
    <w:rsid w:val="00A818E0"/>
    <w:rsid w:val="00A81A04"/>
    <w:rsid w:val="00A81A8F"/>
    <w:rsid w:val="00A81C8C"/>
    <w:rsid w:val="00A8201C"/>
    <w:rsid w:val="00A82694"/>
    <w:rsid w:val="00A8289A"/>
    <w:rsid w:val="00A82DE7"/>
    <w:rsid w:val="00A8311E"/>
    <w:rsid w:val="00A8366A"/>
    <w:rsid w:val="00A8370D"/>
    <w:rsid w:val="00A83B4B"/>
    <w:rsid w:val="00A83C71"/>
    <w:rsid w:val="00A83F13"/>
    <w:rsid w:val="00A840CA"/>
    <w:rsid w:val="00A84350"/>
    <w:rsid w:val="00A849D9"/>
    <w:rsid w:val="00A84F4B"/>
    <w:rsid w:val="00A856F8"/>
    <w:rsid w:val="00A85D6F"/>
    <w:rsid w:val="00A8607D"/>
    <w:rsid w:val="00A863F9"/>
    <w:rsid w:val="00A864F2"/>
    <w:rsid w:val="00A86967"/>
    <w:rsid w:val="00A86AD1"/>
    <w:rsid w:val="00A87846"/>
    <w:rsid w:val="00A878C3"/>
    <w:rsid w:val="00A87972"/>
    <w:rsid w:val="00A87AC3"/>
    <w:rsid w:val="00A87AC9"/>
    <w:rsid w:val="00A87C77"/>
    <w:rsid w:val="00A87F25"/>
    <w:rsid w:val="00A904B7"/>
    <w:rsid w:val="00A90BD2"/>
    <w:rsid w:val="00A91049"/>
    <w:rsid w:val="00A91834"/>
    <w:rsid w:val="00A91869"/>
    <w:rsid w:val="00A91888"/>
    <w:rsid w:val="00A91B57"/>
    <w:rsid w:val="00A92972"/>
    <w:rsid w:val="00A92AF4"/>
    <w:rsid w:val="00A92BD8"/>
    <w:rsid w:val="00A92D8A"/>
    <w:rsid w:val="00A93068"/>
    <w:rsid w:val="00A930B8"/>
    <w:rsid w:val="00A931CD"/>
    <w:rsid w:val="00A93359"/>
    <w:rsid w:val="00A937FD"/>
    <w:rsid w:val="00A93B64"/>
    <w:rsid w:val="00A93BD5"/>
    <w:rsid w:val="00A940F8"/>
    <w:rsid w:val="00A944D8"/>
    <w:rsid w:val="00A947B4"/>
    <w:rsid w:val="00A94913"/>
    <w:rsid w:val="00A94998"/>
    <w:rsid w:val="00A94AF9"/>
    <w:rsid w:val="00A94B50"/>
    <w:rsid w:val="00A94C78"/>
    <w:rsid w:val="00A94F58"/>
    <w:rsid w:val="00A953DB"/>
    <w:rsid w:val="00A95410"/>
    <w:rsid w:val="00A955E3"/>
    <w:rsid w:val="00A9565E"/>
    <w:rsid w:val="00A956D6"/>
    <w:rsid w:val="00A95A57"/>
    <w:rsid w:val="00A961EB"/>
    <w:rsid w:val="00A9622D"/>
    <w:rsid w:val="00A9628A"/>
    <w:rsid w:val="00A96546"/>
    <w:rsid w:val="00A966A1"/>
    <w:rsid w:val="00A96EB0"/>
    <w:rsid w:val="00A9720A"/>
    <w:rsid w:val="00A972A8"/>
    <w:rsid w:val="00A97772"/>
    <w:rsid w:val="00A97CA1"/>
    <w:rsid w:val="00A97CC6"/>
    <w:rsid w:val="00AA02C4"/>
    <w:rsid w:val="00AA0669"/>
    <w:rsid w:val="00AA06F7"/>
    <w:rsid w:val="00AA1189"/>
    <w:rsid w:val="00AA1248"/>
    <w:rsid w:val="00AA12BE"/>
    <w:rsid w:val="00AA13D6"/>
    <w:rsid w:val="00AA15B6"/>
    <w:rsid w:val="00AA177F"/>
    <w:rsid w:val="00AA1A6E"/>
    <w:rsid w:val="00AA2609"/>
    <w:rsid w:val="00AA2667"/>
    <w:rsid w:val="00AA2D55"/>
    <w:rsid w:val="00AA3259"/>
    <w:rsid w:val="00AA3445"/>
    <w:rsid w:val="00AA3D4F"/>
    <w:rsid w:val="00AA403A"/>
    <w:rsid w:val="00AA41D7"/>
    <w:rsid w:val="00AA4319"/>
    <w:rsid w:val="00AA48EC"/>
    <w:rsid w:val="00AA4DF0"/>
    <w:rsid w:val="00AA570E"/>
    <w:rsid w:val="00AA57C6"/>
    <w:rsid w:val="00AA5A6B"/>
    <w:rsid w:val="00AA62AB"/>
    <w:rsid w:val="00AA637A"/>
    <w:rsid w:val="00AA6CB8"/>
    <w:rsid w:val="00AA6F04"/>
    <w:rsid w:val="00AA70AB"/>
    <w:rsid w:val="00AA767D"/>
    <w:rsid w:val="00AA7CD8"/>
    <w:rsid w:val="00AB0476"/>
    <w:rsid w:val="00AB05A7"/>
    <w:rsid w:val="00AB05B9"/>
    <w:rsid w:val="00AB0702"/>
    <w:rsid w:val="00AB0754"/>
    <w:rsid w:val="00AB076A"/>
    <w:rsid w:val="00AB0817"/>
    <w:rsid w:val="00AB0ACF"/>
    <w:rsid w:val="00AB0E7F"/>
    <w:rsid w:val="00AB0F9D"/>
    <w:rsid w:val="00AB10C8"/>
    <w:rsid w:val="00AB1B72"/>
    <w:rsid w:val="00AB22C5"/>
    <w:rsid w:val="00AB24C3"/>
    <w:rsid w:val="00AB26D6"/>
    <w:rsid w:val="00AB29CC"/>
    <w:rsid w:val="00AB2AA4"/>
    <w:rsid w:val="00AB2F54"/>
    <w:rsid w:val="00AB2FAB"/>
    <w:rsid w:val="00AB3173"/>
    <w:rsid w:val="00AB388F"/>
    <w:rsid w:val="00AB3C28"/>
    <w:rsid w:val="00AB3E94"/>
    <w:rsid w:val="00AB3EEA"/>
    <w:rsid w:val="00AB43DB"/>
    <w:rsid w:val="00AB441D"/>
    <w:rsid w:val="00AB472A"/>
    <w:rsid w:val="00AB4963"/>
    <w:rsid w:val="00AB4A25"/>
    <w:rsid w:val="00AB4A78"/>
    <w:rsid w:val="00AB4C61"/>
    <w:rsid w:val="00AB5462"/>
    <w:rsid w:val="00AB54B0"/>
    <w:rsid w:val="00AB5813"/>
    <w:rsid w:val="00AB5F97"/>
    <w:rsid w:val="00AB634D"/>
    <w:rsid w:val="00AB7114"/>
    <w:rsid w:val="00AB7BE8"/>
    <w:rsid w:val="00AC0212"/>
    <w:rsid w:val="00AC04A5"/>
    <w:rsid w:val="00AC0702"/>
    <w:rsid w:val="00AC0B1B"/>
    <w:rsid w:val="00AC0C37"/>
    <w:rsid w:val="00AC0D5F"/>
    <w:rsid w:val="00AC1038"/>
    <w:rsid w:val="00AC140B"/>
    <w:rsid w:val="00AC16A3"/>
    <w:rsid w:val="00AC175D"/>
    <w:rsid w:val="00AC18FD"/>
    <w:rsid w:val="00AC194E"/>
    <w:rsid w:val="00AC1DCF"/>
    <w:rsid w:val="00AC2288"/>
    <w:rsid w:val="00AC2DE9"/>
    <w:rsid w:val="00AC3190"/>
    <w:rsid w:val="00AC37AD"/>
    <w:rsid w:val="00AC3880"/>
    <w:rsid w:val="00AC3A9D"/>
    <w:rsid w:val="00AC4283"/>
    <w:rsid w:val="00AC4429"/>
    <w:rsid w:val="00AC4445"/>
    <w:rsid w:val="00AC494F"/>
    <w:rsid w:val="00AC4BEA"/>
    <w:rsid w:val="00AC50E1"/>
    <w:rsid w:val="00AC519C"/>
    <w:rsid w:val="00AC52A3"/>
    <w:rsid w:val="00AC551D"/>
    <w:rsid w:val="00AC5548"/>
    <w:rsid w:val="00AC587A"/>
    <w:rsid w:val="00AC592D"/>
    <w:rsid w:val="00AC5B51"/>
    <w:rsid w:val="00AC5BD8"/>
    <w:rsid w:val="00AC5D89"/>
    <w:rsid w:val="00AC5DEA"/>
    <w:rsid w:val="00AC5FD0"/>
    <w:rsid w:val="00AC60B0"/>
    <w:rsid w:val="00AC6667"/>
    <w:rsid w:val="00AC6D35"/>
    <w:rsid w:val="00AC6E6F"/>
    <w:rsid w:val="00AC6EDE"/>
    <w:rsid w:val="00AC71A3"/>
    <w:rsid w:val="00AC7B33"/>
    <w:rsid w:val="00AC7C21"/>
    <w:rsid w:val="00AC7CE7"/>
    <w:rsid w:val="00AC7D0E"/>
    <w:rsid w:val="00AD004F"/>
    <w:rsid w:val="00AD02B0"/>
    <w:rsid w:val="00AD04B0"/>
    <w:rsid w:val="00AD0572"/>
    <w:rsid w:val="00AD05F5"/>
    <w:rsid w:val="00AD08CD"/>
    <w:rsid w:val="00AD08D3"/>
    <w:rsid w:val="00AD0CA2"/>
    <w:rsid w:val="00AD0DD2"/>
    <w:rsid w:val="00AD1913"/>
    <w:rsid w:val="00AD1920"/>
    <w:rsid w:val="00AD19BD"/>
    <w:rsid w:val="00AD25F2"/>
    <w:rsid w:val="00AD280F"/>
    <w:rsid w:val="00AD2E7F"/>
    <w:rsid w:val="00AD39FE"/>
    <w:rsid w:val="00AD3D41"/>
    <w:rsid w:val="00AD4270"/>
    <w:rsid w:val="00AD4320"/>
    <w:rsid w:val="00AD4413"/>
    <w:rsid w:val="00AD44E3"/>
    <w:rsid w:val="00AD4748"/>
    <w:rsid w:val="00AD4959"/>
    <w:rsid w:val="00AD498E"/>
    <w:rsid w:val="00AD4A03"/>
    <w:rsid w:val="00AD4AA8"/>
    <w:rsid w:val="00AD4DC2"/>
    <w:rsid w:val="00AD5AC9"/>
    <w:rsid w:val="00AD6006"/>
    <w:rsid w:val="00AD6440"/>
    <w:rsid w:val="00AD648E"/>
    <w:rsid w:val="00AD64A2"/>
    <w:rsid w:val="00AD67B1"/>
    <w:rsid w:val="00AD6918"/>
    <w:rsid w:val="00AD6A3E"/>
    <w:rsid w:val="00AD6F54"/>
    <w:rsid w:val="00AD712B"/>
    <w:rsid w:val="00AD71C5"/>
    <w:rsid w:val="00AD71D0"/>
    <w:rsid w:val="00AD7415"/>
    <w:rsid w:val="00AD7544"/>
    <w:rsid w:val="00AD7F60"/>
    <w:rsid w:val="00AE0871"/>
    <w:rsid w:val="00AE1150"/>
    <w:rsid w:val="00AE1A61"/>
    <w:rsid w:val="00AE1B65"/>
    <w:rsid w:val="00AE1C2C"/>
    <w:rsid w:val="00AE263F"/>
    <w:rsid w:val="00AE265F"/>
    <w:rsid w:val="00AE2734"/>
    <w:rsid w:val="00AE2A35"/>
    <w:rsid w:val="00AE2EA7"/>
    <w:rsid w:val="00AE329F"/>
    <w:rsid w:val="00AE3769"/>
    <w:rsid w:val="00AE38D5"/>
    <w:rsid w:val="00AE3D94"/>
    <w:rsid w:val="00AE42DC"/>
    <w:rsid w:val="00AE4476"/>
    <w:rsid w:val="00AE49BE"/>
    <w:rsid w:val="00AE4AD3"/>
    <w:rsid w:val="00AE4BF8"/>
    <w:rsid w:val="00AE4DF0"/>
    <w:rsid w:val="00AE4FF1"/>
    <w:rsid w:val="00AE5030"/>
    <w:rsid w:val="00AE511C"/>
    <w:rsid w:val="00AE524A"/>
    <w:rsid w:val="00AE533F"/>
    <w:rsid w:val="00AE54AB"/>
    <w:rsid w:val="00AE568E"/>
    <w:rsid w:val="00AE58D4"/>
    <w:rsid w:val="00AE59F1"/>
    <w:rsid w:val="00AE5BDC"/>
    <w:rsid w:val="00AE637D"/>
    <w:rsid w:val="00AE6506"/>
    <w:rsid w:val="00AE66C6"/>
    <w:rsid w:val="00AE67AA"/>
    <w:rsid w:val="00AE6A85"/>
    <w:rsid w:val="00AE6F88"/>
    <w:rsid w:val="00AE7025"/>
    <w:rsid w:val="00AE7711"/>
    <w:rsid w:val="00AE7EDC"/>
    <w:rsid w:val="00AF05B5"/>
    <w:rsid w:val="00AF05CA"/>
    <w:rsid w:val="00AF0760"/>
    <w:rsid w:val="00AF08B8"/>
    <w:rsid w:val="00AF172D"/>
    <w:rsid w:val="00AF1B9A"/>
    <w:rsid w:val="00AF1D46"/>
    <w:rsid w:val="00AF2151"/>
    <w:rsid w:val="00AF2F98"/>
    <w:rsid w:val="00AF31DB"/>
    <w:rsid w:val="00AF327B"/>
    <w:rsid w:val="00AF33D1"/>
    <w:rsid w:val="00AF3FED"/>
    <w:rsid w:val="00AF41C4"/>
    <w:rsid w:val="00AF44B8"/>
    <w:rsid w:val="00AF4546"/>
    <w:rsid w:val="00AF49EE"/>
    <w:rsid w:val="00AF5113"/>
    <w:rsid w:val="00AF53C5"/>
    <w:rsid w:val="00AF5418"/>
    <w:rsid w:val="00AF55DD"/>
    <w:rsid w:val="00AF5AD9"/>
    <w:rsid w:val="00AF5C49"/>
    <w:rsid w:val="00AF608F"/>
    <w:rsid w:val="00AF62F3"/>
    <w:rsid w:val="00AF6AD4"/>
    <w:rsid w:val="00AF6B70"/>
    <w:rsid w:val="00AF6BE1"/>
    <w:rsid w:val="00AF6C3A"/>
    <w:rsid w:val="00AF6C8F"/>
    <w:rsid w:val="00AF6EAD"/>
    <w:rsid w:val="00AF7102"/>
    <w:rsid w:val="00AF7317"/>
    <w:rsid w:val="00AF7CF6"/>
    <w:rsid w:val="00AF7FA5"/>
    <w:rsid w:val="00B00155"/>
    <w:rsid w:val="00B0039F"/>
    <w:rsid w:val="00B00520"/>
    <w:rsid w:val="00B005F4"/>
    <w:rsid w:val="00B00837"/>
    <w:rsid w:val="00B00DBE"/>
    <w:rsid w:val="00B010D0"/>
    <w:rsid w:val="00B010D8"/>
    <w:rsid w:val="00B01BD1"/>
    <w:rsid w:val="00B01D44"/>
    <w:rsid w:val="00B01F1C"/>
    <w:rsid w:val="00B020B7"/>
    <w:rsid w:val="00B021B3"/>
    <w:rsid w:val="00B02290"/>
    <w:rsid w:val="00B02468"/>
    <w:rsid w:val="00B02849"/>
    <w:rsid w:val="00B0296D"/>
    <w:rsid w:val="00B02B3B"/>
    <w:rsid w:val="00B02DFB"/>
    <w:rsid w:val="00B02E17"/>
    <w:rsid w:val="00B02EFD"/>
    <w:rsid w:val="00B03197"/>
    <w:rsid w:val="00B037E4"/>
    <w:rsid w:val="00B038F8"/>
    <w:rsid w:val="00B03F4C"/>
    <w:rsid w:val="00B03F8F"/>
    <w:rsid w:val="00B03FB4"/>
    <w:rsid w:val="00B0410A"/>
    <w:rsid w:val="00B0470E"/>
    <w:rsid w:val="00B04C0B"/>
    <w:rsid w:val="00B04C45"/>
    <w:rsid w:val="00B04C80"/>
    <w:rsid w:val="00B05C15"/>
    <w:rsid w:val="00B0603E"/>
    <w:rsid w:val="00B0641E"/>
    <w:rsid w:val="00B073CE"/>
    <w:rsid w:val="00B073E1"/>
    <w:rsid w:val="00B07836"/>
    <w:rsid w:val="00B079F7"/>
    <w:rsid w:val="00B07B0F"/>
    <w:rsid w:val="00B07C73"/>
    <w:rsid w:val="00B07E41"/>
    <w:rsid w:val="00B07FB7"/>
    <w:rsid w:val="00B1035A"/>
    <w:rsid w:val="00B10669"/>
    <w:rsid w:val="00B108FA"/>
    <w:rsid w:val="00B10E48"/>
    <w:rsid w:val="00B1137B"/>
    <w:rsid w:val="00B11687"/>
    <w:rsid w:val="00B11BCE"/>
    <w:rsid w:val="00B1201F"/>
    <w:rsid w:val="00B12172"/>
    <w:rsid w:val="00B1261B"/>
    <w:rsid w:val="00B1281D"/>
    <w:rsid w:val="00B14020"/>
    <w:rsid w:val="00B14060"/>
    <w:rsid w:val="00B14292"/>
    <w:rsid w:val="00B15058"/>
    <w:rsid w:val="00B15156"/>
    <w:rsid w:val="00B153E8"/>
    <w:rsid w:val="00B15499"/>
    <w:rsid w:val="00B15BA4"/>
    <w:rsid w:val="00B15C47"/>
    <w:rsid w:val="00B15DCC"/>
    <w:rsid w:val="00B1637B"/>
    <w:rsid w:val="00B166CC"/>
    <w:rsid w:val="00B169A4"/>
    <w:rsid w:val="00B169CB"/>
    <w:rsid w:val="00B17009"/>
    <w:rsid w:val="00B1736B"/>
    <w:rsid w:val="00B17E49"/>
    <w:rsid w:val="00B20014"/>
    <w:rsid w:val="00B20066"/>
    <w:rsid w:val="00B207BE"/>
    <w:rsid w:val="00B20854"/>
    <w:rsid w:val="00B20A07"/>
    <w:rsid w:val="00B20C6F"/>
    <w:rsid w:val="00B2119D"/>
    <w:rsid w:val="00B21560"/>
    <w:rsid w:val="00B21BB1"/>
    <w:rsid w:val="00B21FB7"/>
    <w:rsid w:val="00B22352"/>
    <w:rsid w:val="00B223EF"/>
    <w:rsid w:val="00B22591"/>
    <w:rsid w:val="00B22604"/>
    <w:rsid w:val="00B2274E"/>
    <w:rsid w:val="00B22B66"/>
    <w:rsid w:val="00B22BA6"/>
    <w:rsid w:val="00B22C0B"/>
    <w:rsid w:val="00B22E8C"/>
    <w:rsid w:val="00B2311B"/>
    <w:rsid w:val="00B23564"/>
    <w:rsid w:val="00B23776"/>
    <w:rsid w:val="00B238B1"/>
    <w:rsid w:val="00B23982"/>
    <w:rsid w:val="00B2448C"/>
    <w:rsid w:val="00B2476C"/>
    <w:rsid w:val="00B24911"/>
    <w:rsid w:val="00B24AC8"/>
    <w:rsid w:val="00B24B29"/>
    <w:rsid w:val="00B24F80"/>
    <w:rsid w:val="00B250CB"/>
    <w:rsid w:val="00B253FF"/>
    <w:rsid w:val="00B25514"/>
    <w:rsid w:val="00B257C1"/>
    <w:rsid w:val="00B259E8"/>
    <w:rsid w:val="00B25B11"/>
    <w:rsid w:val="00B25F42"/>
    <w:rsid w:val="00B25F8A"/>
    <w:rsid w:val="00B262B0"/>
    <w:rsid w:val="00B26686"/>
    <w:rsid w:val="00B26F3B"/>
    <w:rsid w:val="00B27276"/>
    <w:rsid w:val="00B27478"/>
    <w:rsid w:val="00B27C38"/>
    <w:rsid w:val="00B306F4"/>
    <w:rsid w:val="00B30DF5"/>
    <w:rsid w:val="00B30F30"/>
    <w:rsid w:val="00B31290"/>
    <w:rsid w:val="00B3162B"/>
    <w:rsid w:val="00B319BA"/>
    <w:rsid w:val="00B31BA0"/>
    <w:rsid w:val="00B31D5A"/>
    <w:rsid w:val="00B31FE5"/>
    <w:rsid w:val="00B3241B"/>
    <w:rsid w:val="00B32481"/>
    <w:rsid w:val="00B324C1"/>
    <w:rsid w:val="00B324CC"/>
    <w:rsid w:val="00B329DE"/>
    <w:rsid w:val="00B32CB2"/>
    <w:rsid w:val="00B32DE1"/>
    <w:rsid w:val="00B336C8"/>
    <w:rsid w:val="00B33784"/>
    <w:rsid w:val="00B339BC"/>
    <w:rsid w:val="00B33E4F"/>
    <w:rsid w:val="00B3458B"/>
    <w:rsid w:val="00B34871"/>
    <w:rsid w:val="00B34D08"/>
    <w:rsid w:val="00B3520F"/>
    <w:rsid w:val="00B354AC"/>
    <w:rsid w:val="00B35C55"/>
    <w:rsid w:val="00B35D18"/>
    <w:rsid w:val="00B3694F"/>
    <w:rsid w:val="00B369B8"/>
    <w:rsid w:val="00B36A0D"/>
    <w:rsid w:val="00B36AB2"/>
    <w:rsid w:val="00B36E48"/>
    <w:rsid w:val="00B36EE5"/>
    <w:rsid w:val="00B3707C"/>
    <w:rsid w:val="00B37334"/>
    <w:rsid w:val="00B375BD"/>
    <w:rsid w:val="00B376E5"/>
    <w:rsid w:val="00B37800"/>
    <w:rsid w:val="00B37D1F"/>
    <w:rsid w:val="00B406ED"/>
    <w:rsid w:val="00B40AB1"/>
    <w:rsid w:val="00B41028"/>
    <w:rsid w:val="00B41ADF"/>
    <w:rsid w:val="00B41E74"/>
    <w:rsid w:val="00B41EE7"/>
    <w:rsid w:val="00B4205A"/>
    <w:rsid w:val="00B4215B"/>
    <w:rsid w:val="00B42378"/>
    <w:rsid w:val="00B429E9"/>
    <w:rsid w:val="00B430AE"/>
    <w:rsid w:val="00B434E3"/>
    <w:rsid w:val="00B43544"/>
    <w:rsid w:val="00B43A78"/>
    <w:rsid w:val="00B43A8E"/>
    <w:rsid w:val="00B43CE2"/>
    <w:rsid w:val="00B43D2F"/>
    <w:rsid w:val="00B43E81"/>
    <w:rsid w:val="00B43EE0"/>
    <w:rsid w:val="00B43F3F"/>
    <w:rsid w:val="00B43FB4"/>
    <w:rsid w:val="00B4402F"/>
    <w:rsid w:val="00B4415A"/>
    <w:rsid w:val="00B44857"/>
    <w:rsid w:val="00B44B5A"/>
    <w:rsid w:val="00B44BC8"/>
    <w:rsid w:val="00B4503F"/>
    <w:rsid w:val="00B451E1"/>
    <w:rsid w:val="00B4532B"/>
    <w:rsid w:val="00B453EA"/>
    <w:rsid w:val="00B456D8"/>
    <w:rsid w:val="00B459C9"/>
    <w:rsid w:val="00B45E13"/>
    <w:rsid w:val="00B46021"/>
    <w:rsid w:val="00B465A4"/>
    <w:rsid w:val="00B465D0"/>
    <w:rsid w:val="00B46A8F"/>
    <w:rsid w:val="00B46B78"/>
    <w:rsid w:val="00B46CB2"/>
    <w:rsid w:val="00B46CFA"/>
    <w:rsid w:val="00B46F93"/>
    <w:rsid w:val="00B47286"/>
    <w:rsid w:val="00B47616"/>
    <w:rsid w:val="00B47C38"/>
    <w:rsid w:val="00B47ECB"/>
    <w:rsid w:val="00B47F27"/>
    <w:rsid w:val="00B50412"/>
    <w:rsid w:val="00B5050C"/>
    <w:rsid w:val="00B50F07"/>
    <w:rsid w:val="00B51019"/>
    <w:rsid w:val="00B51106"/>
    <w:rsid w:val="00B5131B"/>
    <w:rsid w:val="00B51C5C"/>
    <w:rsid w:val="00B51D4C"/>
    <w:rsid w:val="00B51DA6"/>
    <w:rsid w:val="00B52508"/>
    <w:rsid w:val="00B52571"/>
    <w:rsid w:val="00B5283D"/>
    <w:rsid w:val="00B529B7"/>
    <w:rsid w:val="00B52D23"/>
    <w:rsid w:val="00B52E56"/>
    <w:rsid w:val="00B52F10"/>
    <w:rsid w:val="00B53236"/>
    <w:rsid w:val="00B533AB"/>
    <w:rsid w:val="00B53555"/>
    <w:rsid w:val="00B53824"/>
    <w:rsid w:val="00B53A83"/>
    <w:rsid w:val="00B53AD7"/>
    <w:rsid w:val="00B53D9F"/>
    <w:rsid w:val="00B5457F"/>
    <w:rsid w:val="00B54799"/>
    <w:rsid w:val="00B5499B"/>
    <w:rsid w:val="00B54A9D"/>
    <w:rsid w:val="00B54E36"/>
    <w:rsid w:val="00B54FAF"/>
    <w:rsid w:val="00B5519D"/>
    <w:rsid w:val="00B554EC"/>
    <w:rsid w:val="00B5558A"/>
    <w:rsid w:val="00B55B47"/>
    <w:rsid w:val="00B55BEB"/>
    <w:rsid w:val="00B55C50"/>
    <w:rsid w:val="00B55D81"/>
    <w:rsid w:val="00B55DD5"/>
    <w:rsid w:val="00B55FC2"/>
    <w:rsid w:val="00B5636A"/>
    <w:rsid w:val="00B56B5B"/>
    <w:rsid w:val="00B575DE"/>
    <w:rsid w:val="00B57A74"/>
    <w:rsid w:val="00B57BC2"/>
    <w:rsid w:val="00B57D0C"/>
    <w:rsid w:val="00B57E76"/>
    <w:rsid w:val="00B6063B"/>
    <w:rsid w:val="00B61B6D"/>
    <w:rsid w:val="00B629E7"/>
    <w:rsid w:val="00B62BFE"/>
    <w:rsid w:val="00B62CFE"/>
    <w:rsid w:val="00B63069"/>
    <w:rsid w:val="00B638C2"/>
    <w:rsid w:val="00B63A2D"/>
    <w:rsid w:val="00B6450F"/>
    <w:rsid w:val="00B645D0"/>
    <w:rsid w:val="00B64FC6"/>
    <w:rsid w:val="00B65142"/>
    <w:rsid w:val="00B652BB"/>
    <w:rsid w:val="00B655A0"/>
    <w:rsid w:val="00B65A08"/>
    <w:rsid w:val="00B65ABF"/>
    <w:rsid w:val="00B665A7"/>
    <w:rsid w:val="00B66639"/>
    <w:rsid w:val="00B66D00"/>
    <w:rsid w:val="00B66D0A"/>
    <w:rsid w:val="00B66DB2"/>
    <w:rsid w:val="00B67247"/>
    <w:rsid w:val="00B67401"/>
    <w:rsid w:val="00B674B1"/>
    <w:rsid w:val="00B675A8"/>
    <w:rsid w:val="00B676A9"/>
    <w:rsid w:val="00B679F5"/>
    <w:rsid w:val="00B703FA"/>
    <w:rsid w:val="00B70489"/>
    <w:rsid w:val="00B7063F"/>
    <w:rsid w:val="00B7096F"/>
    <w:rsid w:val="00B70A99"/>
    <w:rsid w:val="00B70C77"/>
    <w:rsid w:val="00B71190"/>
    <w:rsid w:val="00B713A2"/>
    <w:rsid w:val="00B7161E"/>
    <w:rsid w:val="00B718AD"/>
    <w:rsid w:val="00B71988"/>
    <w:rsid w:val="00B71A2F"/>
    <w:rsid w:val="00B71FDB"/>
    <w:rsid w:val="00B722FB"/>
    <w:rsid w:val="00B7234A"/>
    <w:rsid w:val="00B72447"/>
    <w:rsid w:val="00B726C1"/>
    <w:rsid w:val="00B72742"/>
    <w:rsid w:val="00B7279E"/>
    <w:rsid w:val="00B72952"/>
    <w:rsid w:val="00B72A4A"/>
    <w:rsid w:val="00B73097"/>
    <w:rsid w:val="00B73202"/>
    <w:rsid w:val="00B73211"/>
    <w:rsid w:val="00B73232"/>
    <w:rsid w:val="00B7345A"/>
    <w:rsid w:val="00B7388C"/>
    <w:rsid w:val="00B7415C"/>
    <w:rsid w:val="00B74B43"/>
    <w:rsid w:val="00B74C0C"/>
    <w:rsid w:val="00B75014"/>
    <w:rsid w:val="00B75459"/>
    <w:rsid w:val="00B75694"/>
    <w:rsid w:val="00B75AF1"/>
    <w:rsid w:val="00B76327"/>
    <w:rsid w:val="00B76F04"/>
    <w:rsid w:val="00B77542"/>
    <w:rsid w:val="00B7758E"/>
    <w:rsid w:val="00B77898"/>
    <w:rsid w:val="00B806A8"/>
    <w:rsid w:val="00B809F7"/>
    <w:rsid w:val="00B80A8E"/>
    <w:rsid w:val="00B81402"/>
    <w:rsid w:val="00B81500"/>
    <w:rsid w:val="00B81A90"/>
    <w:rsid w:val="00B81D8D"/>
    <w:rsid w:val="00B81D9E"/>
    <w:rsid w:val="00B81F07"/>
    <w:rsid w:val="00B8223B"/>
    <w:rsid w:val="00B82262"/>
    <w:rsid w:val="00B8256C"/>
    <w:rsid w:val="00B8258D"/>
    <w:rsid w:val="00B82DB4"/>
    <w:rsid w:val="00B82ED3"/>
    <w:rsid w:val="00B8310B"/>
    <w:rsid w:val="00B836B5"/>
    <w:rsid w:val="00B839C5"/>
    <w:rsid w:val="00B84AA1"/>
    <w:rsid w:val="00B84EF5"/>
    <w:rsid w:val="00B85203"/>
    <w:rsid w:val="00B8520F"/>
    <w:rsid w:val="00B85536"/>
    <w:rsid w:val="00B85BB2"/>
    <w:rsid w:val="00B85BB9"/>
    <w:rsid w:val="00B8620E"/>
    <w:rsid w:val="00B8625B"/>
    <w:rsid w:val="00B862A2"/>
    <w:rsid w:val="00B8645F"/>
    <w:rsid w:val="00B86471"/>
    <w:rsid w:val="00B869E2"/>
    <w:rsid w:val="00B86B1D"/>
    <w:rsid w:val="00B86C1F"/>
    <w:rsid w:val="00B86E7A"/>
    <w:rsid w:val="00B86E95"/>
    <w:rsid w:val="00B8729B"/>
    <w:rsid w:val="00B87616"/>
    <w:rsid w:val="00B878D7"/>
    <w:rsid w:val="00B87BB2"/>
    <w:rsid w:val="00B87C0A"/>
    <w:rsid w:val="00B87C92"/>
    <w:rsid w:val="00B87D59"/>
    <w:rsid w:val="00B87DFE"/>
    <w:rsid w:val="00B9062B"/>
    <w:rsid w:val="00B906AB"/>
    <w:rsid w:val="00B90A47"/>
    <w:rsid w:val="00B913C6"/>
    <w:rsid w:val="00B91520"/>
    <w:rsid w:val="00B9153F"/>
    <w:rsid w:val="00B9159C"/>
    <w:rsid w:val="00B919FE"/>
    <w:rsid w:val="00B91AC4"/>
    <w:rsid w:val="00B91CC4"/>
    <w:rsid w:val="00B920BC"/>
    <w:rsid w:val="00B9213E"/>
    <w:rsid w:val="00B9242D"/>
    <w:rsid w:val="00B9243F"/>
    <w:rsid w:val="00B9299F"/>
    <w:rsid w:val="00B92E97"/>
    <w:rsid w:val="00B93231"/>
    <w:rsid w:val="00B93574"/>
    <w:rsid w:val="00B93637"/>
    <w:rsid w:val="00B937D9"/>
    <w:rsid w:val="00B938A9"/>
    <w:rsid w:val="00B93AB6"/>
    <w:rsid w:val="00B93BB3"/>
    <w:rsid w:val="00B942AF"/>
    <w:rsid w:val="00B942F6"/>
    <w:rsid w:val="00B945C4"/>
    <w:rsid w:val="00B947EE"/>
    <w:rsid w:val="00B94DB3"/>
    <w:rsid w:val="00B95250"/>
    <w:rsid w:val="00B95271"/>
    <w:rsid w:val="00B9568F"/>
    <w:rsid w:val="00B95AC8"/>
    <w:rsid w:val="00B967A9"/>
    <w:rsid w:val="00B9692A"/>
    <w:rsid w:val="00B96C18"/>
    <w:rsid w:val="00B96FD7"/>
    <w:rsid w:val="00B970CE"/>
    <w:rsid w:val="00B97341"/>
    <w:rsid w:val="00B97393"/>
    <w:rsid w:val="00B975DD"/>
    <w:rsid w:val="00B9776D"/>
    <w:rsid w:val="00B977BA"/>
    <w:rsid w:val="00B979FE"/>
    <w:rsid w:val="00B97A35"/>
    <w:rsid w:val="00B97BC6"/>
    <w:rsid w:val="00BA0117"/>
    <w:rsid w:val="00BA06B7"/>
    <w:rsid w:val="00BA0826"/>
    <w:rsid w:val="00BA086B"/>
    <w:rsid w:val="00BA09FC"/>
    <w:rsid w:val="00BA0AFF"/>
    <w:rsid w:val="00BA0E3F"/>
    <w:rsid w:val="00BA18EE"/>
    <w:rsid w:val="00BA1F6B"/>
    <w:rsid w:val="00BA2076"/>
    <w:rsid w:val="00BA2933"/>
    <w:rsid w:val="00BA2A31"/>
    <w:rsid w:val="00BA327B"/>
    <w:rsid w:val="00BA36BD"/>
    <w:rsid w:val="00BA3738"/>
    <w:rsid w:val="00BA37E3"/>
    <w:rsid w:val="00BA39F7"/>
    <w:rsid w:val="00BA3AEF"/>
    <w:rsid w:val="00BA4340"/>
    <w:rsid w:val="00BA44C1"/>
    <w:rsid w:val="00BA479D"/>
    <w:rsid w:val="00BA495D"/>
    <w:rsid w:val="00BA4AA2"/>
    <w:rsid w:val="00BA509B"/>
    <w:rsid w:val="00BA50DA"/>
    <w:rsid w:val="00BA561F"/>
    <w:rsid w:val="00BA5981"/>
    <w:rsid w:val="00BA5F7F"/>
    <w:rsid w:val="00BA60E8"/>
    <w:rsid w:val="00BA62C7"/>
    <w:rsid w:val="00BA66EA"/>
    <w:rsid w:val="00BA673B"/>
    <w:rsid w:val="00BA67E8"/>
    <w:rsid w:val="00BA6A2B"/>
    <w:rsid w:val="00BA6B58"/>
    <w:rsid w:val="00BA7065"/>
    <w:rsid w:val="00BA7140"/>
    <w:rsid w:val="00BA7DC8"/>
    <w:rsid w:val="00BA7EEB"/>
    <w:rsid w:val="00BB0BDE"/>
    <w:rsid w:val="00BB12AB"/>
    <w:rsid w:val="00BB13B7"/>
    <w:rsid w:val="00BB1467"/>
    <w:rsid w:val="00BB147A"/>
    <w:rsid w:val="00BB23B8"/>
    <w:rsid w:val="00BB240A"/>
    <w:rsid w:val="00BB2DA6"/>
    <w:rsid w:val="00BB2DAA"/>
    <w:rsid w:val="00BB2DF4"/>
    <w:rsid w:val="00BB31D1"/>
    <w:rsid w:val="00BB3A73"/>
    <w:rsid w:val="00BB4241"/>
    <w:rsid w:val="00BB4CFD"/>
    <w:rsid w:val="00BB4DBA"/>
    <w:rsid w:val="00BB4E8D"/>
    <w:rsid w:val="00BB511A"/>
    <w:rsid w:val="00BB5A1E"/>
    <w:rsid w:val="00BB5CEE"/>
    <w:rsid w:val="00BB5D0C"/>
    <w:rsid w:val="00BB6254"/>
    <w:rsid w:val="00BB6328"/>
    <w:rsid w:val="00BB6BCB"/>
    <w:rsid w:val="00BB6C8C"/>
    <w:rsid w:val="00BB6CB0"/>
    <w:rsid w:val="00BB6D17"/>
    <w:rsid w:val="00BB78A5"/>
    <w:rsid w:val="00BB7AA1"/>
    <w:rsid w:val="00BB7ECA"/>
    <w:rsid w:val="00BC0096"/>
    <w:rsid w:val="00BC0532"/>
    <w:rsid w:val="00BC0940"/>
    <w:rsid w:val="00BC0B41"/>
    <w:rsid w:val="00BC0EF5"/>
    <w:rsid w:val="00BC10F3"/>
    <w:rsid w:val="00BC15CD"/>
    <w:rsid w:val="00BC17FA"/>
    <w:rsid w:val="00BC1822"/>
    <w:rsid w:val="00BC1A99"/>
    <w:rsid w:val="00BC1C58"/>
    <w:rsid w:val="00BC1D78"/>
    <w:rsid w:val="00BC22AF"/>
    <w:rsid w:val="00BC24EC"/>
    <w:rsid w:val="00BC288D"/>
    <w:rsid w:val="00BC2B36"/>
    <w:rsid w:val="00BC2C92"/>
    <w:rsid w:val="00BC3C45"/>
    <w:rsid w:val="00BC3D6C"/>
    <w:rsid w:val="00BC3DCE"/>
    <w:rsid w:val="00BC3E4A"/>
    <w:rsid w:val="00BC3E83"/>
    <w:rsid w:val="00BC40AA"/>
    <w:rsid w:val="00BC43AD"/>
    <w:rsid w:val="00BC4BA8"/>
    <w:rsid w:val="00BC4F87"/>
    <w:rsid w:val="00BC509E"/>
    <w:rsid w:val="00BC52B6"/>
    <w:rsid w:val="00BC52C3"/>
    <w:rsid w:val="00BC557E"/>
    <w:rsid w:val="00BC5764"/>
    <w:rsid w:val="00BC587F"/>
    <w:rsid w:val="00BC5AAE"/>
    <w:rsid w:val="00BC5BD7"/>
    <w:rsid w:val="00BC5C54"/>
    <w:rsid w:val="00BC5DFC"/>
    <w:rsid w:val="00BC654E"/>
    <w:rsid w:val="00BC65D9"/>
    <w:rsid w:val="00BC6AA0"/>
    <w:rsid w:val="00BC6C02"/>
    <w:rsid w:val="00BC6C2D"/>
    <w:rsid w:val="00BC6DBE"/>
    <w:rsid w:val="00BC6F53"/>
    <w:rsid w:val="00BC745C"/>
    <w:rsid w:val="00BC7620"/>
    <w:rsid w:val="00BC7823"/>
    <w:rsid w:val="00BC7B76"/>
    <w:rsid w:val="00BC7E83"/>
    <w:rsid w:val="00BD04BE"/>
    <w:rsid w:val="00BD0AD2"/>
    <w:rsid w:val="00BD0BB6"/>
    <w:rsid w:val="00BD0DA0"/>
    <w:rsid w:val="00BD0ECA"/>
    <w:rsid w:val="00BD13C5"/>
    <w:rsid w:val="00BD16B4"/>
    <w:rsid w:val="00BD1966"/>
    <w:rsid w:val="00BD208D"/>
    <w:rsid w:val="00BD2268"/>
    <w:rsid w:val="00BD22B5"/>
    <w:rsid w:val="00BD2B52"/>
    <w:rsid w:val="00BD2F42"/>
    <w:rsid w:val="00BD3551"/>
    <w:rsid w:val="00BD3638"/>
    <w:rsid w:val="00BD40AF"/>
    <w:rsid w:val="00BD43FC"/>
    <w:rsid w:val="00BD44D3"/>
    <w:rsid w:val="00BD4863"/>
    <w:rsid w:val="00BD548D"/>
    <w:rsid w:val="00BD54D7"/>
    <w:rsid w:val="00BD5733"/>
    <w:rsid w:val="00BD5F21"/>
    <w:rsid w:val="00BD6347"/>
    <w:rsid w:val="00BD63CC"/>
    <w:rsid w:val="00BD65BA"/>
    <w:rsid w:val="00BD680A"/>
    <w:rsid w:val="00BD6DA2"/>
    <w:rsid w:val="00BD6FE1"/>
    <w:rsid w:val="00BD715A"/>
    <w:rsid w:val="00BD72BB"/>
    <w:rsid w:val="00BD7488"/>
    <w:rsid w:val="00BD768E"/>
    <w:rsid w:val="00BD776F"/>
    <w:rsid w:val="00BD7B58"/>
    <w:rsid w:val="00BD7BAD"/>
    <w:rsid w:val="00BD7D6A"/>
    <w:rsid w:val="00BE013F"/>
    <w:rsid w:val="00BE015F"/>
    <w:rsid w:val="00BE07E6"/>
    <w:rsid w:val="00BE0C0F"/>
    <w:rsid w:val="00BE0F0F"/>
    <w:rsid w:val="00BE0F76"/>
    <w:rsid w:val="00BE0FB5"/>
    <w:rsid w:val="00BE1302"/>
    <w:rsid w:val="00BE13E5"/>
    <w:rsid w:val="00BE14CF"/>
    <w:rsid w:val="00BE1789"/>
    <w:rsid w:val="00BE1AA1"/>
    <w:rsid w:val="00BE1E17"/>
    <w:rsid w:val="00BE228E"/>
    <w:rsid w:val="00BE27D5"/>
    <w:rsid w:val="00BE2934"/>
    <w:rsid w:val="00BE295F"/>
    <w:rsid w:val="00BE299D"/>
    <w:rsid w:val="00BE2BD9"/>
    <w:rsid w:val="00BE2D1F"/>
    <w:rsid w:val="00BE2FD1"/>
    <w:rsid w:val="00BE34B5"/>
    <w:rsid w:val="00BE4164"/>
    <w:rsid w:val="00BE419A"/>
    <w:rsid w:val="00BE42B0"/>
    <w:rsid w:val="00BE4D0A"/>
    <w:rsid w:val="00BE5095"/>
    <w:rsid w:val="00BE5500"/>
    <w:rsid w:val="00BE55B2"/>
    <w:rsid w:val="00BE5D60"/>
    <w:rsid w:val="00BE5EF5"/>
    <w:rsid w:val="00BE6032"/>
    <w:rsid w:val="00BE608E"/>
    <w:rsid w:val="00BE63C9"/>
    <w:rsid w:val="00BE63ED"/>
    <w:rsid w:val="00BE6546"/>
    <w:rsid w:val="00BE68DA"/>
    <w:rsid w:val="00BE6940"/>
    <w:rsid w:val="00BE6A83"/>
    <w:rsid w:val="00BE6B01"/>
    <w:rsid w:val="00BE6C09"/>
    <w:rsid w:val="00BE6FB6"/>
    <w:rsid w:val="00BE703F"/>
    <w:rsid w:val="00BE73FE"/>
    <w:rsid w:val="00BE7B01"/>
    <w:rsid w:val="00BE7ECC"/>
    <w:rsid w:val="00BF003A"/>
    <w:rsid w:val="00BF01A6"/>
    <w:rsid w:val="00BF027A"/>
    <w:rsid w:val="00BF02A5"/>
    <w:rsid w:val="00BF02AC"/>
    <w:rsid w:val="00BF0398"/>
    <w:rsid w:val="00BF0661"/>
    <w:rsid w:val="00BF0707"/>
    <w:rsid w:val="00BF0FE9"/>
    <w:rsid w:val="00BF110C"/>
    <w:rsid w:val="00BF1135"/>
    <w:rsid w:val="00BF16C2"/>
    <w:rsid w:val="00BF19E4"/>
    <w:rsid w:val="00BF1BE2"/>
    <w:rsid w:val="00BF1EDE"/>
    <w:rsid w:val="00BF1FFC"/>
    <w:rsid w:val="00BF2575"/>
    <w:rsid w:val="00BF2714"/>
    <w:rsid w:val="00BF2830"/>
    <w:rsid w:val="00BF28CD"/>
    <w:rsid w:val="00BF29CA"/>
    <w:rsid w:val="00BF2C48"/>
    <w:rsid w:val="00BF2CFA"/>
    <w:rsid w:val="00BF2CFF"/>
    <w:rsid w:val="00BF2D4B"/>
    <w:rsid w:val="00BF427C"/>
    <w:rsid w:val="00BF4633"/>
    <w:rsid w:val="00BF4D57"/>
    <w:rsid w:val="00BF4DC0"/>
    <w:rsid w:val="00BF528C"/>
    <w:rsid w:val="00BF530E"/>
    <w:rsid w:val="00BF55A1"/>
    <w:rsid w:val="00BF565C"/>
    <w:rsid w:val="00BF5700"/>
    <w:rsid w:val="00BF588C"/>
    <w:rsid w:val="00BF59FB"/>
    <w:rsid w:val="00BF5A5E"/>
    <w:rsid w:val="00BF5AD1"/>
    <w:rsid w:val="00BF5BC6"/>
    <w:rsid w:val="00BF61B3"/>
    <w:rsid w:val="00BF62DF"/>
    <w:rsid w:val="00BF6BA6"/>
    <w:rsid w:val="00BF6CA2"/>
    <w:rsid w:val="00BF6FEA"/>
    <w:rsid w:val="00BF6FFC"/>
    <w:rsid w:val="00BF7333"/>
    <w:rsid w:val="00BF73FD"/>
    <w:rsid w:val="00BF7433"/>
    <w:rsid w:val="00BF7778"/>
    <w:rsid w:val="00BF782F"/>
    <w:rsid w:val="00BF7ADA"/>
    <w:rsid w:val="00BF7B40"/>
    <w:rsid w:val="00C00019"/>
    <w:rsid w:val="00C004A8"/>
    <w:rsid w:val="00C005D0"/>
    <w:rsid w:val="00C005FA"/>
    <w:rsid w:val="00C006AC"/>
    <w:rsid w:val="00C008A1"/>
    <w:rsid w:val="00C01565"/>
    <w:rsid w:val="00C0183D"/>
    <w:rsid w:val="00C02229"/>
    <w:rsid w:val="00C025F4"/>
    <w:rsid w:val="00C0272A"/>
    <w:rsid w:val="00C02C47"/>
    <w:rsid w:val="00C02F0B"/>
    <w:rsid w:val="00C031C9"/>
    <w:rsid w:val="00C03548"/>
    <w:rsid w:val="00C03EFF"/>
    <w:rsid w:val="00C0402D"/>
    <w:rsid w:val="00C0419B"/>
    <w:rsid w:val="00C041A0"/>
    <w:rsid w:val="00C04352"/>
    <w:rsid w:val="00C0471A"/>
    <w:rsid w:val="00C04BC0"/>
    <w:rsid w:val="00C04CF3"/>
    <w:rsid w:val="00C05001"/>
    <w:rsid w:val="00C0501E"/>
    <w:rsid w:val="00C05239"/>
    <w:rsid w:val="00C0586A"/>
    <w:rsid w:val="00C05ABF"/>
    <w:rsid w:val="00C05DBD"/>
    <w:rsid w:val="00C05F43"/>
    <w:rsid w:val="00C060C0"/>
    <w:rsid w:val="00C0611A"/>
    <w:rsid w:val="00C0612C"/>
    <w:rsid w:val="00C068C9"/>
    <w:rsid w:val="00C0698C"/>
    <w:rsid w:val="00C069FD"/>
    <w:rsid w:val="00C06DD3"/>
    <w:rsid w:val="00C06DE8"/>
    <w:rsid w:val="00C06ECD"/>
    <w:rsid w:val="00C06F17"/>
    <w:rsid w:val="00C076F3"/>
    <w:rsid w:val="00C07912"/>
    <w:rsid w:val="00C10346"/>
    <w:rsid w:val="00C10CAC"/>
    <w:rsid w:val="00C10CB7"/>
    <w:rsid w:val="00C10F89"/>
    <w:rsid w:val="00C117AF"/>
    <w:rsid w:val="00C11BC3"/>
    <w:rsid w:val="00C11E94"/>
    <w:rsid w:val="00C12124"/>
    <w:rsid w:val="00C12302"/>
    <w:rsid w:val="00C12561"/>
    <w:rsid w:val="00C126DF"/>
    <w:rsid w:val="00C128F6"/>
    <w:rsid w:val="00C12904"/>
    <w:rsid w:val="00C1295F"/>
    <w:rsid w:val="00C1298A"/>
    <w:rsid w:val="00C12BB2"/>
    <w:rsid w:val="00C12E3C"/>
    <w:rsid w:val="00C12F1C"/>
    <w:rsid w:val="00C130AE"/>
    <w:rsid w:val="00C13191"/>
    <w:rsid w:val="00C13C18"/>
    <w:rsid w:val="00C141D4"/>
    <w:rsid w:val="00C1427E"/>
    <w:rsid w:val="00C142AA"/>
    <w:rsid w:val="00C143EF"/>
    <w:rsid w:val="00C14745"/>
    <w:rsid w:val="00C1577A"/>
    <w:rsid w:val="00C158CD"/>
    <w:rsid w:val="00C159B9"/>
    <w:rsid w:val="00C15DEA"/>
    <w:rsid w:val="00C15F05"/>
    <w:rsid w:val="00C160B0"/>
    <w:rsid w:val="00C1623D"/>
    <w:rsid w:val="00C1624B"/>
    <w:rsid w:val="00C163F4"/>
    <w:rsid w:val="00C16765"/>
    <w:rsid w:val="00C16C4C"/>
    <w:rsid w:val="00C16F6D"/>
    <w:rsid w:val="00C172CE"/>
    <w:rsid w:val="00C17452"/>
    <w:rsid w:val="00C17E4D"/>
    <w:rsid w:val="00C17EFC"/>
    <w:rsid w:val="00C202A2"/>
    <w:rsid w:val="00C20310"/>
    <w:rsid w:val="00C205BD"/>
    <w:rsid w:val="00C20B03"/>
    <w:rsid w:val="00C21040"/>
    <w:rsid w:val="00C2137F"/>
    <w:rsid w:val="00C21528"/>
    <w:rsid w:val="00C21582"/>
    <w:rsid w:val="00C21C29"/>
    <w:rsid w:val="00C21C7A"/>
    <w:rsid w:val="00C21D24"/>
    <w:rsid w:val="00C21E51"/>
    <w:rsid w:val="00C22046"/>
    <w:rsid w:val="00C22224"/>
    <w:rsid w:val="00C22BF5"/>
    <w:rsid w:val="00C22D68"/>
    <w:rsid w:val="00C230D9"/>
    <w:rsid w:val="00C2311F"/>
    <w:rsid w:val="00C23401"/>
    <w:rsid w:val="00C2352A"/>
    <w:rsid w:val="00C237AF"/>
    <w:rsid w:val="00C237B3"/>
    <w:rsid w:val="00C23945"/>
    <w:rsid w:val="00C23CA1"/>
    <w:rsid w:val="00C23F24"/>
    <w:rsid w:val="00C23FA5"/>
    <w:rsid w:val="00C255C0"/>
    <w:rsid w:val="00C25812"/>
    <w:rsid w:val="00C25EC4"/>
    <w:rsid w:val="00C26720"/>
    <w:rsid w:val="00C269AA"/>
    <w:rsid w:val="00C26AE4"/>
    <w:rsid w:val="00C27045"/>
    <w:rsid w:val="00C273B5"/>
    <w:rsid w:val="00C27826"/>
    <w:rsid w:val="00C27F51"/>
    <w:rsid w:val="00C303DC"/>
    <w:rsid w:val="00C30ABD"/>
    <w:rsid w:val="00C30B9C"/>
    <w:rsid w:val="00C30E36"/>
    <w:rsid w:val="00C3122D"/>
    <w:rsid w:val="00C31A9D"/>
    <w:rsid w:val="00C32022"/>
    <w:rsid w:val="00C3248D"/>
    <w:rsid w:val="00C3296F"/>
    <w:rsid w:val="00C32B02"/>
    <w:rsid w:val="00C32D03"/>
    <w:rsid w:val="00C330C2"/>
    <w:rsid w:val="00C331B9"/>
    <w:rsid w:val="00C3329D"/>
    <w:rsid w:val="00C33502"/>
    <w:rsid w:val="00C33BD4"/>
    <w:rsid w:val="00C33D78"/>
    <w:rsid w:val="00C33DEB"/>
    <w:rsid w:val="00C344B7"/>
    <w:rsid w:val="00C345E4"/>
    <w:rsid w:val="00C3479D"/>
    <w:rsid w:val="00C347EA"/>
    <w:rsid w:val="00C351CC"/>
    <w:rsid w:val="00C35284"/>
    <w:rsid w:val="00C353B0"/>
    <w:rsid w:val="00C35448"/>
    <w:rsid w:val="00C354A6"/>
    <w:rsid w:val="00C3586D"/>
    <w:rsid w:val="00C359CF"/>
    <w:rsid w:val="00C35BBF"/>
    <w:rsid w:val="00C35D00"/>
    <w:rsid w:val="00C35D97"/>
    <w:rsid w:val="00C362DB"/>
    <w:rsid w:val="00C36D5F"/>
    <w:rsid w:val="00C36E4C"/>
    <w:rsid w:val="00C370C6"/>
    <w:rsid w:val="00C37526"/>
    <w:rsid w:val="00C378A9"/>
    <w:rsid w:val="00C37909"/>
    <w:rsid w:val="00C37A81"/>
    <w:rsid w:val="00C37F83"/>
    <w:rsid w:val="00C40196"/>
    <w:rsid w:val="00C4029B"/>
    <w:rsid w:val="00C40EE3"/>
    <w:rsid w:val="00C41220"/>
    <w:rsid w:val="00C417EC"/>
    <w:rsid w:val="00C41841"/>
    <w:rsid w:val="00C41912"/>
    <w:rsid w:val="00C419C1"/>
    <w:rsid w:val="00C41D26"/>
    <w:rsid w:val="00C42079"/>
    <w:rsid w:val="00C42356"/>
    <w:rsid w:val="00C42500"/>
    <w:rsid w:val="00C42783"/>
    <w:rsid w:val="00C43002"/>
    <w:rsid w:val="00C44320"/>
    <w:rsid w:val="00C4457F"/>
    <w:rsid w:val="00C4498A"/>
    <w:rsid w:val="00C449D8"/>
    <w:rsid w:val="00C44E0F"/>
    <w:rsid w:val="00C45146"/>
    <w:rsid w:val="00C4526D"/>
    <w:rsid w:val="00C454AC"/>
    <w:rsid w:val="00C45BD1"/>
    <w:rsid w:val="00C45F07"/>
    <w:rsid w:val="00C46094"/>
    <w:rsid w:val="00C4645C"/>
    <w:rsid w:val="00C464A6"/>
    <w:rsid w:val="00C46883"/>
    <w:rsid w:val="00C47150"/>
    <w:rsid w:val="00C47587"/>
    <w:rsid w:val="00C47CAC"/>
    <w:rsid w:val="00C47F46"/>
    <w:rsid w:val="00C50015"/>
    <w:rsid w:val="00C5025C"/>
    <w:rsid w:val="00C5050E"/>
    <w:rsid w:val="00C50615"/>
    <w:rsid w:val="00C50692"/>
    <w:rsid w:val="00C507E7"/>
    <w:rsid w:val="00C50DD5"/>
    <w:rsid w:val="00C50E56"/>
    <w:rsid w:val="00C50F2D"/>
    <w:rsid w:val="00C517ED"/>
    <w:rsid w:val="00C51C5C"/>
    <w:rsid w:val="00C523AD"/>
    <w:rsid w:val="00C52E6B"/>
    <w:rsid w:val="00C53154"/>
    <w:rsid w:val="00C532F6"/>
    <w:rsid w:val="00C53429"/>
    <w:rsid w:val="00C538BD"/>
    <w:rsid w:val="00C5402F"/>
    <w:rsid w:val="00C5417B"/>
    <w:rsid w:val="00C54483"/>
    <w:rsid w:val="00C545FA"/>
    <w:rsid w:val="00C54CD2"/>
    <w:rsid w:val="00C54F6E"/>
    <w:rsid w:val="00C552B7"/>
    <w:rsid w:val="00C5556B"/>
    <w:rsid w:val="00C5565F"/>
    <w:rsid w:val="00C5571D"/>
    <w:rsid w:val="00C55BA3"/>
    <w:rsid w:val="00C55D92"/>
    <w:rsid w:val="00C55FEF"/>
    <w:rsid w:val="00C56351"/>
    <w:rsid w:val="00C56480"/>
    <w:rsid w:val="00C56565"/>
    <w:rsid w:val="00C56C9A"/>
    <w:rsid w:val="00C56D4D"/>
    <w:rsid w:val="00C5724E"/>
    <w:rsid w:val="00C57284"/>
    <w:rsid w:val="00C578F3"/>
    <w:rsid w:val="00C579B0"/>
    <w:rsid w:val="00C57A48"/>
    <w:rsid w:val="00C57B0D"/>
    <w:rsid w:val="00C57B9A"/>
    <w:rsid w:val="00C60151"/>
    <w:rsid w:val="00C6072C"/>
    <w:rsid w:val="00C60740"/>
    <w:rsid w:val="00C60C35"/>
    <w:rsid w:val="00C61792"/>
    <w:rsid w:val="00C61E6A"/>
    <w:rsid w:val="00C61FD0"/>
    <w:rsid w:val="00C624AD"/>
    <w:rsid w:val="00C62A9F"/>
    <w:rsid w:val="00C62F70"/>
    <w:rsid w:val="00C6363C"/>
    <w:rsid w:val="00C63C41"/>
    <w:rsid w:val="00C63CF0"/>
    <w:rsid w:val="00C63FD8"/>
    <w:rsid w:val="00C640DA"/>
    <w:rsid w:val="00C64977"/>
    <w:rsid w:val="00C64DD0"/>
    <w:rsid w:val="00C6537A"/>
    <w:rsid w:val="00C65551"/>
    <w:rsid w:val="00C66331"/>
    <w:rsid w:val="00C664F1"/>
    <w:rsid w:val="00C6772D"/>
    <w:rsid w:val="00C6782C"/>
    <w:rsid w:val="00C70009"/>
    <w:rsid w:val="00C70087"/>
    <w:rsid w:val="00C70747"/>
    <w:rsid w:val="00C70C5D"/>
    <w:rsid w:val="00C712C2"/>
    <w:rsid w:val="00C717DE"/>
    <w:rsid w:val="00C718AA"/>
    <w:rsid w:val="00C72388"/>
    <w:rsid w:val="00C729AB"/>
    <w:rsid w:val="00C72B5D"/>
    <w:rsid w:val="00C72BD8"/>
    <w:rsid w:val="00C730ED"/>
    <w:rsid w:val="00C736EA"/>
    <w:rsid w:val="00C73BBD"/>
    <w:rsid w:val="00C73D46"/>
    <w:rsid w:val="00C74321"/>
    <w:rsid w:val="00C745C4"/>
    <w:rsid w:val="00C74908"/>
    <w:rsid w:val="00C74A9C"/>
    <w:rsid w:val="00C74B70"/>
    <w:rsid w:val="00C74D0A"/>
    <w:rsid w:val="00C74E75"/>
    <w:rsid w:val="00C74E89"/>
    <w:rsid w:val="00C759F9"/>
    <w:rsid w:val="00C7607C"/>
    <w:rsid w:val="00C7648A"/>
    <w:rsid w:val="00C7691C"/>
    <w:rsid w:val="00C769AB"/>
    <w:rsid w:val="00C770DE"/>
    <w:rsid w:val="00C772B9"/>
    <w:rsid w:val="00C774F5"/>
    <w:rsid w:val="00C7750E"/>
    <w:rsid w:val="00C779C7"/>
    <w:rsid w:val="00C77F84"/>
    <w:rsid w:val="00C80145"/>
    <w:rsid w:val="00C8042D"/>
    <w:rsid w:val="00C804A9"/>
    <w:rsid w:val="00C8073F"/>
    <w:rsid w:val="00C80973"/>
    <w:rsid w:val="00C80D88"/>
    <w:rsid w:val="00C80E0F"/>
    <w:rsid w:val="00C81118"/>
    <w:rsid w:val="00C81769"/>
    <w:rsid w:val="00C81E12"/>
    <w:rsid w:val="00C81F68"/>
    <w:rsid w:val="00C820BC"/>
    <w:rsid w:val="00C821B3"/>
    <w:rsid w:val="00C8220D"/>
    <w:rsid w:val="00C82587"/>
    <w:rsid w:val="00C82955"/>
    <w:rsid w:val="00C82A50"/>
    <w:rsid w:val="00C82F2D"/>
    <w:rsid w:val="00C8307D"/>
    <w:rsid w:val="00C83294"/>
    <w:rsid w:val="00C835F1"/>
    <w:rsid w:val="00C8375F"/>
    <w:rsid w:val="00C837AB"/>
    <w:rsid w:val="00C839CB"/>
    <w:rsid w:val="00C83A74"/>
    <w:rsid w:val="00C84484"/>
    <w:rsid w:val="00C84B04"/>
    <w:rsid w:val="00C84B97"/>
    <w:rsid w:val="00C85E31"/>
    <w:rsid w:val="00C8615E"/>
    <w:rsid w:val="00C8693F"/>
    <w:rsid w:val="00C86AAD"/>
    <w:rsid w:val="00C86DED"/>
    <w:rsid w:val="00C87003"/>
    <w:rsid w:val="00C87103"/>
    <w:rsid w:val="00C871C4"/>
    <w:rsid w:val="00C8772A"/>
    <w:rsid w:val="00C879B6"/>
    <w:rsid w:val="00C87A88"/>
    <w:rsid w:val="00C87B5F"/>
    <w:rsid w:val="00C87EAD"/>
    <w:rsid w:val="00C901AA"/>
    <w:rsid w:val="00C905CC"/>
    <w:rsid w:val="00C906D2"/>
    <w:rsid w:val="00C90853"/>
    <w:rsid w:val="00C90857"/>
    <w:rsid w:val="00C9092B"/>
    <w:rsid w:val="00C90B26"/>
    <w:rsid w:val="00C90F9E"/>
    <w:rsid w:val="00C91524"/>
    <w:rsid w:val="00C91F6A"/>
    <w:rsid w:val="00C92450"/>
    <w:rsid w:val="00C924D0"/>
    <w:rsid w:val="00C92D0E"/>
    <w:rsid w:val="00C92FAF"/>
    <w:rsid w:val="00C93108"/>
    <w:rsid w:val="00C9336C"/>
    <w:rsid w:val="00C934BF"/>
    <w:rsid w:val="00C93547"/>
    <w:rsid w:val="00C93ADF"/>
    <w:rsid w:val="00C93CAA"/>
    <w:rsid w:val="00C94D16"/>
    <w:rsid w:val="00C9541E"/>
    <w:rsid w:val="00C954A2"/>
    <w:rsid w:val="00C955BB"/>
    <w:rsid w:val="00C95727"/>
    <w:rsid w:val="00C957B7"/>
    <w:rsid w:val="00C959A8"/>
    <w:rsid w:val="00C95C30"/>
    <w:rsid w:val="00C96048"/>
    <w:rsid w:val="00C96526"/>
    <w:rsid w:val="00C96626"/>
    <w:rsid w:val="00C968D0"/>
    <w:rsid w:val="00C96A86"/>
    <w:rsid w:val="00C96E08"/>
    <w:rsid w:val="00C97159"/>
    <w:rsid w:val="00C97682"/>
    <w:rsid w:val="00C9788F"/>
    <w:rsid w:val="00C978A8"/>
    <w:rsid w:val="00C9798B"/>
    <w:rsid w:val="00C97C60"/>
    <w:rsid w:val="00C97DAA"/>
    <w:rsid w:val="00C97F51"/>
    <w:rsid w:val="00CA026B"/>
    <w:rsid w:val="00CA046F"/>
    <w:rsid w:val="00CA0ADC"/>
    <w:rsid w:val="00CA0E03"/>
    <w:rsid w:val="00CA0E07"/>
    <w:rsid w:val="00CA1160"/>
    <w:rsid w:val="00CA127D"/>
    <w:rsid w:val="00CA16CF"/>
    <w:rsid w:val="00CA197B"/>
    <w:rsid w:val="00CA1B14"/>
    <w:rsid w:val="00CA1F0B"/>
    <w:rsid w:val="00CA20E2"/>
    <w:rsid w:val="00CA25CF"/>
    <w:rsid w:val="00CA30FA"/>
    <w:rsid w:val="00CA3287"/>
    <w:rsid w:val="00CA3641"/>
    <w:rsid w:val="00CA3C2F"/>
    <w:rsid w:val="00CA3F02"/>
    <w:rsid w:val="00CA4429"/>
    <w:rsid w:val="00CA4A6C"/>
    <w:rsid w:val="00CA505C"/>
    <w:rsid w:val="00CA560E"/>
    <w:rsid w:val="00CA59EB"/>
    <w:rsid w:val="00CA6546"/>
    <w:rsid w:val="00CA6592"/>
    <w:rsid w:val="00CA66B6"/>
    <w:rsid w:val="00CA6B2F"/>
    <w:rsid w:val="00CA6CFA"/>
    <w:rsid w:val="00CA6EAD"/>
    <w:rsid w:val="00CA6EDB"/>
    <w:rsid w:val="00CA77E0"/>
    <w:rsid w:val="00CA78C6"/>
    <w:rsid w:val="00CA78CC"/>
    <w:rsid w:val="00CA7E39"/>
    <w:rsid w:val="00CB0012"/>
    <w:rsid w:val="00CB04F1"/>
    <w:rsid w:val="00CB0648"/>
    <w:rsid w:val="00CB0E0C"/>
    <w:rsid w:val="00CB0E6F"/>
    <w:rsid w:val="00CB120B"/>
    <w:rsid w:val="00CB13DF"/>
    <w:rsid w:val="00CB158E"/>
    <w:rsid w:val="00CB1719"/>
    <w:rsid w:val="00CB1A63"/>
    <w:rsid w:val="00CB1A92"/>
    <w:rsid w:val="00CB1AC1"/>
    <w:rsid w:val="00CB1E83"/>
    <w:rsid w:val="00CB2281"/>
    <w:rsid w:val="00CB2518"/>
    <w:rsid w:val="00CB2533"/>
    <w:rsid w:val="00CB2585"/>
    <w:rsid w:val="00CB2608"/>
    <w:rsid w:val="00CB2DDA"/>
    <w:rsid w:val="00CB2EA4"/>
    <w:rsid w:val="00CB3562"/>
    <w:rsid w:val="00CB3981"/>
    <w:rsid w:val="00CB3D3A"/>
    <w:rsid w:val="00CB41D6"/>
    <w:rsid w:val="00CB454D"/>
    <w:rsid w:val="00CB496D"/>
    <w:rsid w:val="00CB4B02"/>
    <w:rsid w:val="00CB4B82"/>
    <w:rsid w:val="00CB4EB5"/>
    <w:rsid w:val="00CB50F3"/>
    <w:rsid w:val="00CB5130"/>
    <w:rsid w:val="00CB570A"/>
    <w:rsid w:val="00CB5B05"/>
    <w:rsid w:val="00CB5B5C"/>
    <w:rsid w:val="00CB5D46"/>
    <w:rsid w:val="00CB5F26"/>
    <w:rsid w:val="00CB6136"/>
    <w:rsid w:val="00CB61C0"/>
    <w:rsid w:val="00CB61DC"/>
    <w:rsid w:val="00CB6284"/>
    <w:rsid w:val="00CB62A9"/>
    <w:rsid w:val="00CB6507"/>
    <w:rsid w:val="00CB6635"/>
    <w:rsid w:val="00CB6BA6"/>
    <w:rsid w:val="00CB6C94"/>
    <w:rsid w:val="00CB70F1"/>
    <w:rsid w:val="00CB762F"/>
    <w:rsid w:val="00CB77CF"/>
    <w:rsid w:val="00CB784E"/>
    <w:rsid w:val="00CB7BDF"/>
    <w:rsid w:val="00CB7CD0"/>
    <w:rsid w:val="00CC0053"/>
    <w:rsid w:val="00CC0A9D"/>
    <w:rsid w:val="00CC0ABA"/>
    <w:rsid w:val="00CC0D58"/>
    <w:rsid w:val="00CC0F9B"/>
    <w:rsid w:val="00CC1593"/>
    <w:rsid w:val="00CC1812"/>
    <w:rsid w:val="00CC1B38"/>
    <w:rsid w:val="00CC1FF1"/>
    <w:rsid w:val="00CC2183"/>
    <w:rsid w:val="00CC2C81"/>
    <w:rsid w:val="00CC3178"/>
    <w:rsid w:val="00CC3294"/>
    <w:rsid w:val="00CC34AE"/>
    <w:rsid w:val="00CC34F1"/>
    <w:rsid w:val="00CC37E3"/>
    <w:rsid w:val="00CC3D1B"/>
    <w:rsid w:val="00CC3FE5"/>
    <w:rsid w:val="00CC4513"/>
    <w:rsid w:val="00CC4B14"/>
    <w:rsid w:val="00CC4B3C"/>
    <w:rsid w:val="00CC4DBD"/>
    <w:rsid w:val="00CC4DFE"/>
    <w:rsid w:val="00CC4E07"/>
    <w:rsid w:val="00CC50A2"/>
    <w:rsid w:val="00CC58D6"/>
    <w:rsid w:val="00CC5E88"/>
    <w:rsid w:val="00CC6101"/>
    <w:rsid w:val="00CC613D"/>
    <w:rsid w:val="00CC64E7"/>
    <w:rsid w:val="00CC64FB"/>
    <w:rsid w:val="00CC6503"/>
    <w:rsid w:val="00CC7AFE"/>
    <w:rsid w:val="00CD02B1"/>
    <w:rsid w:val="00CD0627"/>
    <w:rsid w:val="00CD0774"/>
    <w:rsid w:val="00CD0A54"/>
    <w:rsid w:val="00CD0CF0"/>
    <w:rsid w:val="00CD0E9D"/>
    <w:rsid w:val="00CD1125"/>
    <w:rsid w:val="00CD1391"/>
    <w:rsid w:val="00CD1461"/>
    <w:rsid w:val="00CD1EF0"/>
    <w:rsid w:val="00CD22F3"/>
    <w:rsid w:val="00CD23C5"/>
    <w:rsid w:val="00CD2B16"/>
    <w:rsid w:val="00CD2DA7"/>
    <w:rsid w:val="00CD316E"/>
    <w:rsid w:val="00CD367D"/>
    <w:rsid w:val="00CD4321"/>
    <w:rsid w:val="00CD439E"/>
    <w:rsid w:val="00CD43EF"/>
    <w:rsid w:val="00CD46CA"/>
    <w:rsid w:val="00CD4865"/>
    <w:rsid w:val="00CD4EC2"/>
    <w:rsid w:val="00CD5830"/>
    <w:rsid w:val="00CD5BB8"/>
    <w:rsid w:val="00CD60E7"/>
    <w:rsid w:val="00CD6406"/>
    <w:rsid w:val="00CD658D"/>
    <w:rsid w:val="00CD6C2C"/>
    <w:rsid w:val="00CD70A3"/>
    <w:rsid w:val="00CD74AA"/>
    <w:rsid w:val="00CD761C"/>
    <w:rsid w:val="00CD767D"/>
    <w:rsid w:val="00CD7860"/>
    <w:rsid w:val="00CD798C"/>
    <w:rsid w:val="00CD79B8"/>
    <w:rsid w:val="00CE01F9"/>
    <w:rsid w:val="00CE035D"/>
    <w:rsid w:val="00CE06D8"/>
    <w:rsid w:val="00CE0712"/>
    <w:rsid w:val="00CE07BF"/>
    <w:rsid w:val="00CE098C"/>
    <w:rsid w:val="00CE0AE7"/>
    <w:rsid w:val="00CE0E35"/>
    <w:rsid w:val="00CE1138"/>
    <w:rsid w:val="00CE1557"/>
    <w:rsid w:val="00CE166A"/>
    <w:rsid w:val="00CE182D"/>
    <w:rsid w:val="00CE196F"/>
    <w:rsid w:val="00CE25CB"/>
    <w:rsid w:val="00CE2D53"/>
    <w:rsid w:val="00CE2DCD"/>
    <w:rsid w:val="00CE3406"/>
    <w:rsid w:val="00CE35E7"/>
    <w:rsid w:val="00CE374A"/>
    <w:rsid w:val="00CE39B9"/>
    <w:rsid w:val="00CE3B2C"/>
    <w:rsid w:val="00CE3DA7"/>
    <w:rsid w:val="00CE3E73"/>
    <w:rsid w:val="00CE3E8B"/>
    <w:rsid w:val="00CE431E"/>
    <w:rsid w:val="00CE4403"/>
    <w:rsid w:val="00CE4846"/>
    <w:rsid w:val="00CE4A55"/>
    <w:rsid w:val="00CE4C03"/>
    <w:rsid w:val="00CE4DA1"/>
    <w:rsid w:val="00CE4ED0"/>
    <w:rsid w:val="00CE4FA9"/>
    <w:rsid w:val="00CE53A6"/>
    <w:rsid w:val="00CE558B"/>
    <w:rsid w:val="00CE5BC7"/>
    <w:rsid w:val="00CE5C73"/>
    <w:rsid w:val="00CE5F70"/>
    <w:rsid w:val="00CE6181"/>
    <w:rsid w:val="00CE68A4"/>
    <w:rsid w:val="00CE6999"/>
    <w:rsid w:val="00CE6AF4"/>
    <w:rsid w:val="00CE6B43"/>
    <w:rsid w:val="00CE6C4F"/>
    <w:rsid w:val="00CE6DF0"/>
    <w:rsid w:val="00CE6E5A"/>
    <w:rsid w:val="00CE6EF0"/>
    <w:rsid w:val="00CE765E"/>
    <w:rsid w:val="00CE7665"/>
    <w:rsid w:val="00CE7AFB"/>
    <w:rsid w:val="00CE7F2A"/>
    <w:rsid w:val="00CF0399"/>
    <w:rsid w:val="00CF0438"/>
    <w:rsid w:val="00CF04AD"/>
    <w:rsid w:val="00CF0720"/>
    <w:rsid w:val="00CF1402"/>
    <w:rsid w:val="00CF1415"/>
    <w:rsid w:val="00CF1C64"/>
    <w:rsid w:val="00CF207B"/>
    <w:rsid w:val="00CF24EC"/>
    <w:rsid w:val="00CF2722"/>
    <w:rsid w:val="00CF2737"/>
    <w:rsid w:val="00CF317D"/>
    <w:rsid w:val="00CF3276"/>
    <w:rsid w:val="00CF345A"/>
    <w:rsid w:val="00CF36D4"/>
    <w:rsid w:val="00CF3831"/>
    <w:rsid w:val="00CF3BF1"/>
    <w:rsid w:val="00CF409C"/>
    <w:rsid w:val="00CF4E5E"/>
    <w:rsid w:val="00CF55B0"/>
    <w:rsid w:val="00CF5AFD"/>
    <w:rsid w:val="00CF6B24"/>
    <w:rsid w:val="00CF6BE4"/>
    <w:rsid w:val="00CF741A"/>
    <w:rsid w:val="00CF7551"/>
    <w:rsid w:val="00CF7765"/>
    <w:rsid w:val="00D00007"/>
    <w:rsid w:val="00D000FE"/>
    <w:rsid w:val="00D007D2"/>
    <w:rsid w:val="00D00F51"/>
    <w:rsid w:val="00D0118B"/>
    <w:rsid w:val="00D0171A"/>
    <w:rsid w:val="00D01A0F"/>
    <w:rsid w:val="00D01B7A"/>
    <w:rsid w:val="00D01C2E"/>
    <w:rsid w:val="00D0268E"/>
    <w:rsid w:val="00D0290B"/>
    <w:rsid w:val="00D03385"/>
    <w:rsid w:val="00D03590"/>
    <w:rsid w:val="00D03A28"/>
    <w:rsid w:val="00D03D4E"/>
    <w:rsid w:val="00D03E3B"/>
    <w:rsid w:val="00D03F6D"/>
    <w:rsid w:val="00D03FD5"/>
    <w:rsid w:val="00D041F1"/>
    <w:rsid w:val="00D04248"/>
    <w:rsid w:val="00D042B9"/>
    <w:rsid w:val="00D0433C"/>
    <w:rsid w:val="00D04542"/>
    <w:rsid w:val="00D04EE5"/>
    <w:rsid w:val="00D051F5"/>
    <w:rsid w:val="00D0529E"/>
    <w:rsid w:val="00D05524"/>
    <w:rsid w:val="00D05954"/>
    <w:rsid w:val="00D05C74"/>
    <w:rsid w:val="00D05DAB"/>
    <w:rsid w:val="00D05F34"/>
    <w:rsid w:val="00D05F68"/>
    <w:rsid w:val="00D06253"/>
    <w:rsid w:val="00D06414"/>
    <w:rsid w:val="00D066EB"/>
    <w:rsid w:val="00D06ABC"/>
    <w:rsid w:val="00D06AF5"/>
    <w:rsid w:val="00D06DD0"/>
    <w:rsid w:val="00D07228"/>
    <w:rsid w:val="00D07229"/>
    <w:rsid w:val="00D0751D"/>
    <w:rsid w:val="00D07567"/>
    <w:rsid w:val="00D07A79"/>
    <w:rsid w:val="00D07C94"/>
    <w:rsid w:val="00D07DBF"/>
    <w:rsid w:val="00D1059B"/>
    <w:rsid w:val="00D105C7"/>
    <w:rsid w:val="00D107DF"/>
    <w:rsid w:val="00D10AC3"/>
    <w:rsid w:val="00D1125D"/>
    <w:rsid w:val="00D11499"/>
    <w:rsid w:val="00D11876"/>
    <w:rsid w:val="00D11911"/>
    <w:rsid w:val="00D1223A"/>
    <w:rsid w:val="00D12334"/>
    <w:rsid w:val="00D12ED3"/>
    <w:rsid w:val="00D1320D"/>
    <w:rsid w:val="00D13386"/>
    <w:rsid w:val="00D1358C"/>
    <w:rsid w:val="00D13E2F"/>
    <w:rsid w:val="00D142CE"/>
    <w:rsid w:val="00D14BF8"/>
    <w:rsid w:val="00D14EC2"/>
    <w:rsid w:val="00D156CE"/>
    <w:rsid w:val="00D15A9E"/>
    <w:rsid w:val="00D15CDB"/>
    <w:rsid w:val="00D15DBB"/>
    <w:rsid w:val="00D16405"/>
    <w:rsid w:val="00D16BE5"/>
    <w:rsid w:val="00D16E44"/>
    <w:rsid w:val="00D170A9"/>
    <w:rsid w:val="00D170BB"/>
    <w:rsid w:val="00D174ED"/>
    <w:rsid w:val="00D1779C"/>
    <w:rsid w:val="00D17A12"/>
    <w:rsid w:val="00D17B06"/>
    <w:rsid w:val="00D17EA3"/>
    <w:rsid w:val="00D2017F"/>
    <w:rsid w:val="00D207F7"/>
    <w:rsid w:val="00D20834"/>
    <w:rsid w:val="00D2097C"/>
    <w:rsid w:val="00D20AE9"/>
    <w:rsid w:val="00D20C55"/>
    <w:rsid w:val="00D20E78"/>
    <w:rsid w:val="00D20F82"/>
    <w:rsid w:val="00D2109B"/>
    <w:rsid w:val="00D21DCA"/>
    <w:rsid w:val="00D22022"/>
    <w:rsid w:val="00D22405"/>
    <w:rsid w:val="00D22622"/>
    <w:rsid w:val="00D22B88"/>
    <w:rsid w:val="00D22BB5"/>
    <w:rsid w:val="00D22CA8"/>
    <w:rsid w:val="00D23559"/>
    <w:rsid w:val="00D23606"/>
    <w:rsid w:val="00D23812"/>
    <w:rsid w:val="00D23F75"/>
    <w:rsid w:val="00D2425C"/>
    <w:rsid w:val="00D247B5"/>
    <w:rsid w:val="00D24C35"/>
    <w:rsid w:val="00D256EC"/>
    <w:rsid w:val="00D25814"/>
    <w:rsid w:val="00D260F7"/>
    <w:rsid w:val="00D26176"/>
    <w:rsid w:val="00D266A4"/>
    <w:rsid w:val="00D26808"/>
    <w:rsid w:val="00D26A29"/>
    <w:rsid w:val="00D271DD"/>
    <w:rsid w:val="00D2793B"/>
    <w:rsid w:val="00D27A89"/>
    <w:rsid w:val="00D27E13"/>
    <w:rsid w:val="00D27E36"/>
    <w:rsid w:val="00D30234"/>
    <w:rsid w:val="00D3074D"/>
    <w:rsid w:val="00D311C4"/>
    <w:rsid w:val="00D3134F"/>
    <w:rsid w:val="00D31639"/>
    <w:rsid w:val="00D31900"/>
    <w:rsid w:val="00D31969"/>
    <w:rsid w:val="00D31B19"/>
    <w:rsid w:val="00D31F84"/>
    <w:rsid w:val="00D32116"/>
    <w:rsid w:val="00D32A09"/>
    <w:rsid w:val="00D32C70"/>
    <w:rsid w:val="00D342A4"/>
    <w:rsid w:val="00D34327"/>
    <w:rsid w:val="00D34477"/>
    <w:rsid w:val="00D3458D"/>
    <w:rsid w:val="00D34B16"/>
    <w:rsid w:val="00D34B45"/>
    <w:rsid w:val="00D34BD4"/>
    <w:rsid w:val="00D34BED"/>
    <w:rsid w:val="00D34E1B"/>
    <w:rsid w:val="00D34F9C"/>
    <w:rsid w:val="00D357CB"/>
    <w:rsid w:val="00D358DC"/>
    <w:rsid w:val="00D3595C"/>
    <w:rsid w:val="00D35D07"/>
    <w:rsid w:val="00D3644F"/>
    <w:rsid w:val="00D36753"/>
    <w:rsid w:val="00D3680E"/>
    <w:rsid w:val="00D36C1D"/>
    <w:rsid w:val="00D36DB4"/>
    <w:rsid w:val="00D36EBA"/>
    <w:rsid w:val="00D37690"/>
    <w:rsid w:val="00D376A8"/>
    <w:rsid w:val="00D37873"/>
    <w:rsid w:val="00D37914"/>
    <w:rsid w:val="00D37918"/>
    <w:rsid w:val="00D4041C"/>
    <w:rsid w:val="00D4044F"/>
    <w:rsid w:val="00D40473"/>
    <w:rsid w:val="00D408A6"/>
    <w:rsid w:val="00D40C2F"/>
    <w:rsid w:val="00D411D0"/>
    <w:rsid w:val="00D41907"/>
    <w:rsid w:val="00D41917"/>
    <w:rsid w:val="00D41A72"/>
    <w:rsid w:val="00D41B11"/>
    <w:rsid w:val="00D41B35"/>
    <w:rsid w:val="00D41D0B"/>
    <w:rsid w:val="00D41D7A"/>
    <w:rsid w:val="00D41DB5"/>
    <w:rsid w:val="00D41F42"/>
    <w:rsid w:val="00D41F4B"/>
    <w:rsid w:val="00D42354"/>
    <w:rsid w:val="00D42F41"/>
    <w:rsid w:val="00D43008"/>
    <w:rsid w:val="00D43AB2"/>
    <w:rsid w:val="00D43AF2"/>
    <w:rsid w:val="00D43C98"/>
    <w:rsid w:val="00D43EE2"/>
    <w:rsid w:val="00D43EF5"/>
    <w:rsid w:val="00D443B3"/>
    <w:rsid w:val="00D448AD"/>
    <w:rsid w:val="00D448FC"/>
    <w:rsid w:val="00D44ADF"/>
    <w:rsid w:val="00D44B5A"/>
    <w:rsid w:val="00D44CD9"/>
    <w:rsid w:val="00D44EF2"/>
    <w:rsid w:val="00D44EF7"/>
    <w:rsid w:val="00D44F67"/>
    <w:rsid w:val="00D454F0"/>
    <w:rsid w:val="00D455EC"/>
    <w:rsid w:val="00D457A3"/>
    <w:rsid w:val="00D458F1"/>
    <w:rsid w:val="00D462EA"/>
    <w:rsid w:val="00D46AB6"/>
    <w:rsid w:val="00D46BC5"/>
    <w:rsid w:val="00D46DAD"/>
    <w:rsid w:val="00D47302"/>
    <w:rsid w:val="00D47390"/>
    <w:rsid w:val="00D47408"/>
    <w:rsid w:val="00D476C3"/>
    <w:rsid w:val="00D47901"/>
    <w:rsid w:val="00D47C31"/>
    <w:rsid w:val="00D47D6D"/>
    <w:rsid w:val="00D47F68"/>
    <w:rsid w:val="00D507BF"/>
    <w:rsid w:val="00D50D0A"/>
    <w:rsid w:val="00D50FF9"/>
    <w:rsid w:val="00D512A2"/>
    <w:rsid w:val="00D516E5"/>
    <w:rsid w:val="00D51BD1"/>
    <w:rsid w:val="00D51D93"/>
    <w:rsid w:val="00D51F54"/>
    <w:rsid w:val="00D52138"/>
    <w:rsid w:val="00D523E8"/>
    <w:rsid w:val="00D524E4"/>
    <w:rsid w:val="00D5268A"/>
    <w:rsid w:val="00D526CD"/>
    <w:rsid w:val="00D537B6"/>
    <w:rsid w:val="00D537C9"/>
    <w:rsid w:val="00D53C80"/>
    <w:rsid w:val="00D541F3"/>
    <w:rsid w:val="00D5498B"/>
    <w:rsid w:val="00D54C0C"/>
    <w:rsid w:val="00D55012"/>
    <w:rsid w:val="00D55128"/>
    <w:rsid w:val="00D55411"/>
    <w:rsid w:val="00D556BB"/>
    <w:rsid w:val="00D556DE"/>
    <w:rsid w:val="00D55AA3"/>
    <w:rsid w:val="00D55E0A"/>
    <w:rsid w:val="00D56396"/>
    <w:rsid w:val="00D566DF"/>
    <w:rsid w:val="00D575AC"/>
    <w:rsid w:val="00D576CF"/>
    <w:rsid w:val="00D57BF2"/>
    <w:rsid w:val="00D57C24"/>
    <w:rsid w:val="00D57C59"/>
    <w:rsid w:val="00D60418"/>
    <w:rsid w:val="00D60457"/>
    <w:rsid w:val="00D61113"/>
    <w:rsid w:val="00D613BD"/>
    <w:rsid w:val="00D61480"/>
    <w:rsid w:val="00D616AB"/>
    <w:rsid w:val="00D61D82"/>
    <w:rsid w:val="00D61DE2"/>
    <w:rsid w:val="00D624A5"/>
    <w:rsid w:val="00D63787"/>
    <w:rsid w:val="00D63885"/>
    <w:rsid w:val="00D639C7"/>
    <w:rsid w:val="00D63D2C"/>
    <w:rsid w:val="00D63F81"/>
    <w:rsid w:val="00D6441A"/>
    <w:rsid w:val="00D64A51"/>
    <w:rsid w:val="00D64C12"/>
    <w:rsid w:val="00D65172"/>
    <w:rsid w:val="00D65367"/>
    <w:rsid w:val="00D65587"/>
    <w:rsid w:val="00D659FB"/>
    <w:rsid w:val="00D65A21"/>
    <w:rsid w:val="00D65C8B"/>
    <w:rsid w:val="00D6616F"/>
    <w:rsid w:val="00D66798"/>
    <w:rsid w:val="00D671A3"/>
    <w:rsid w:val="00D673F7"/>
    <w:rsid w:val="00D67473"/>
    <w:rsid w:val="00D703AE"/>
    <w:rsid w:val="00D70BED"/>
    <w:rsid w:val="00D70DB2"/>
    <w:rsid w:val="00D711DB"/>
    <w:rsid w:val="00D7120E"/>
    <w:rsid w:val="00D7129B"/>
    <w:rsid w:val="00D714BB"/>
    <w:rsid w:val="00D71644"/>
    <w:rsid w:val="00D7184C"/>
    <w:rsid w:val="00D71C59"/>
    <w:rsid w:val="00D7289F"/>
    <w:rsid w:val="00D72EE5"/>
    <w:rsid w:val="00D72FE5"/>
    <w:rsid w:val="00D73339"/>
    <w:rsid w:val="00D73463"/>
    <w:rsid w:val="00D73AD6"/>
    <w:rsid w:val="00D73D99"/>
    <w:rsid w:val="00D741C4"/>
    <w:rsid w:val="00D7459B"/>
    <w:rsid w:val="00D7515B"/>
    <w:rsid w:val="00D75835"/>
    <w:rsid w:val="00D759DF"/>
    <w:rsid w:val="00D75E48"/>
    <w:rsid w:val="00D75F8B"/>
    <w:rsid w:val="00D761BC"/>
    <w:rsid w:val="00D766EF"/>
    <w:rsid w:val="00D76C4D"/>
    <w:rsid w:val="00D77090"/>
    <w:rsid w:val="00D7725F"/>
    <w:rsid w:val="00D7737F"/>
    <w:rsid w:val="00D77461"/>
    <w:rsid w:val="00D77538"/>
    <w:rsid w:val="00D779E8"/>
    <w:rsid w:val="00D77A97"/>
    <w:rsid w:val="00D77B45"/>
    <w:rsid w:val="00D77D11"/>
    <w:rsid w:val="00D77F58"/>
    <w:rsid w:val="00D77FF6"/>
    <w:rsid w:val="00D801AF"/>
    <w:rsid w:val="00D8032A"/>
    <w:rsid w:val="00D805BF"/>
    <w:rsid w:val="00D806AB"/>
    <w:rsid w:val="00D807FC"/>
    <w:rsid w:val="00D8098F"/>
    <w:rsid w:val="00D80BD2"/>
    <w:rsid w:val="00D80F20"/>
    <w:rsid w:val="00D80F3B"/>
    <w:rsid w:val="00D81352"/>
    <w:rsid w:val="00D81448"/>
    <w:rsid w:val="00D81906"/>
    <w:rsid w:val="00D81D54"/>
    <w:rsid w:val="00D81D7C"/>
    <w:rsid w:val="00D82097"/>
    <w:rsid w:val="00D826A2"/>
    <w:rsid w:val="00D82763"/>
    <w:rsid w:val="00D82775"/>
    <w:rsid w:val="00D82A00"/>
    <w:rsid w:val="00D82A43"/>
    <w:rsid w:val="00D82FD5"/>
    <w:rsid w:val="00D831C6"/>
    <w:rsid w:val="00D837C1"/>
    <w:rsid w:val="00D844D3"/>
    <w:rsid w:val="00D844ED"/>
    <w:rsid w:val="00D846F9"/>
    <w:rsid w:val="00D84955"/>
    <w:rsid w:val="00D84B19"/>
    <w:rsid w:val="00D84D3E"/>
    <w:rsid w:val="00D84F45"/>
    <w:rsid w:val="00D8536D"/>
    <w:rsid w:val="00D853F1"/>
    <w:rsid w:val="00D855F1"/>
    <w:rsid w:val="00D85749"/>
    <w:rsid w:val="00D8586B"/>
    <w:rsid w:val="00D85DDE"/>
    <w:rsid w:val="00D85FA6"/>
    <w:rsid w:val="00D863B7"/>
    <w:rsid w:val="00D865E1"/>
    <w:rsid w:val="00D86A4C"/>
    <w:rsid w:val="00D87146"/>
    <w:rsid w:val="00D87618"/>
    <w:rsid w:val="00D87648"/>
    <w:rsid w:val="00D8790B"/>
    <w:rsid w:val="00D87B04"/>
    <w:rsid w:val="00D87CF8"/>
    <w:rsid w:val="00D9043B"/>
    <w:rsid w:val="00D906CD"/>
    <w:rsid w:val="00D906F4"/>
    <w:rsid w:val="00D907AF"/>
    <w:rsid w:val="00D91397"/>
    <w:rsid w:val="00D914CA"/>
    <w:rsid w:val="00D9154D"/>
    <w:rsid w:val="00D91CDD"/>
    <w:rsid w:val="00D922E6"/>
    <w:rsid w:val="00D928CE"/>
    <w:rsid w:val="00D9321C"/>
    <w:rsid w:val="00D93486"/>
    <w:rsid w:val="00D9384F"/>
    <w:rsid w:val="00D93BF7"/>
    <w:rsid w:val="00D93D04"/>
    <w:rsid w:val="00D93D50"/>
    <w:rsid w:val="00D94150"/>
    <w:rsid w:val="00D9417B"/>
    <w:rsid w:val="00D94183"/>
    <w:rsid w:val="00D94B09"/>
    <w:rsid w:val="00D94C6D"/>
    <w:rsid w:val="00D95C3A"/>
    <w:rsid w:val="00D95E4E"/>
    <w:rsid w:val="00D95F03"/>
    <w:rsid w:val="00D95F61"/>
    <w:rsid w:val="00D9633A"/>
    <w:rsid w:val="00D96817"/>
    <w:rsid w:val="00D96F30"/>
    <w:rsid w:val="00D97377"/>
    <w:rsid w:val="00D97394"/>
    <w:rsid w:val="00D97611"/>
    <w:rsid w:val="00D977DE"/>
    <w:rsid w:val="00DA0437"/>
    <w:rsid w:val="00DA046C"/>
    <w:rsid w:val="00DA0538"/>
    <w:rsid w:val="00DA0876"/>
    <w:rsid w:val="00DA0E86"/>
    <w:rsid w:val="00DA10CA"/>
    <w:rsid w:val="00DA1B8C"/>
    <w:rsid w:val="00DA2484"/>
    <w:rsid w:val="00DA25E1"/>
    <w:rsid w:val="00DA29F3"/>
    <w:rsid w:val="00DA2B46"/>
    <w:rsid w:val="00DA2CC5"/>
    <w:rsid w:val="00DA2CC7"/>
    <w:rsid w:val="00DA2E04"/>
    <w:rsid w:val="00DA32B1"/>
    <w:rsid w:val="00DA36ED"/>
    <w:rsid w:val="00DA3CF0"/>
    <w:rsid w:val="00DA3D3B"/>
    <w:rsid w:val="00DA3E82"/>
    <w:rsid w:val="00DA459E"/>
    <w:rsid w:val="00DA465E"/>
    <w:rsid w:val="00DA4984"/>
    <w:rsid w:val="00DA4996"/>
    <w:rsid w:val="00DA516D"/>
    <w:rsid w:val="00DA52CF"/>
    <w:rsid w:val="00DA5587"/>
    <w:rsid w:val="00DA578C"/>
    <w:rsid w:val="00DA5A43"/>
    <w:rsid w:val="00DA5B2E"/>
    <w:rsid w:val="00DA5D82"/>
    <w:rsid w:val="00DA60D9"/>
    <w:rsid w:val="00DA64C0"/>
    <w:rsid w:val="00DA65A9"/>
    <w:rsid w:val="00DA670E"/>
    <w:rsid w:val="00DA6A31"/>
    <w:rsid w:val="00DA6A5C"/>
    <w:rsid w:val="00DA6BBC"/>
    <w:rsid w:val="00DA7054"/>
    <w:rsid w:val="00DA74F9"/>
    <w:rsid w:val="00DA74FF"/>
    <w:rsid w:val="00DA7964"/>
    <w:rsid w:val="00DA7A11"/>
    <w:rsid w:val="00DA7AC9"/>
    <w:rsid w:val="00DA7BCB"/>
    <w:rsid w:val="00DA7D72"/>
    <w:rsid w:val="00DB047F"/>
    <w:rsid w:val="00DB0623"/>
    <w:rsid w:val="00DB0D44"/>
    <w:rsid w:val="00DB108D"/>
    <w:rsid w:val="00DB11F0"/>
    <w:rsid w:val="00DB162B"/>
    <w:rsid w:val="00DB170D"/>
    <w:rsid w:val="00DB2694"/>
    <w:rsid w:val="00DB28B7"/>
    <w:rsid w:val="00DB2E49"/>
    <w:rsid w:val="00DB2F32"/>
    <w:rsid w:val="00DB375A"/>
    <w:rsid w:val="00DB3AB3"/>
    <w:rsid w:val="00DB40DB"/>
    <w:rsid w:val="00DB4389"/>
    <w:rsid w:val="00DB43BF"/>
    <w:rsid w:val="00DB4435"/>
    <w:rsid w:val="00DB4A9D"/>
    <w:rsid w:val="00DB4D3D"/>
    <w:rsid w:val="00DB4F92"/>
    <w:rsid w:val="00DB502B"/>
    <w:rsid w:val="00DB51C5"/>
    <w:rsid w:val="00DB53B4"/>
    <w:rsid w:val="00DB55C1"/>
    <w:rsid w:val="00DB58D3"/>
    <w:rsid w:val="00DB5989"/>
    <w:rsid w:val="00DB6308"/>
    <w:rsid w:val="00DB6A73"/>
    <w:rsid w:val="00DB6AF2"/>
    <w:rsid w:val="00DB75E1"/>
    <w:rsid w:val="00DB7681"/>
    <w:rsid w:val="00DB78C2"/>
    <w:rsid w:val="00DB7BF2"/>
    <w:rsid w:val="00DB7C95"/>
    <w:rsid w:val="00DB7D67"/>
    <w:rsid w:val="00DC0169"/>
    <w:rsid w:val="00DC02C7"/>
    <w:rsid w:val="00DC0320"/>
    <w:rsid w:val="00DC0946"/>
    <w:rsid w:val="00DC0986"/>
    <w:rsid w:val="00DC0A42"/>
    <w:rsid w:val="00DC0FA7"/>
    <w:rsid w:val="00DC13A0"/>
    <w:rsid w:val="00DC17C1"/>
    <w:rsid w:val="00DC1B31"/>
    <w:rsid w:val="00DC1D53"/>
    <w:rsid w:val="00DC1ED5"/>
    <w:rsid w:val="00DC26B2"/>
    <w:rsid w:val="00DC294F"/>
    <w:rsid w:val="00DC2DC3"/>
    <w:rsid w:val="00DC2EDA"/>
    <w:rsid w:val="00DC2F44"/>
    <w:rsid w:val="00DC31C9"/>
    <w:rsid w:val="00DC344C"/>
    <w:rsid w:val="00DC354C"/>
    <w:rsid w:val="00DC388C"/>
    <w:rsid w:val="00DC398B"/>
    <w:rsid w:val="00DC3D6B"/>
    <w:rsid w:val="00DC403D"/>
    <w:rsid w:val="00DC4247"/>
    <w:rsid w:val="00DC44EC"/>
    <w:rsid w:val="00DC45E6"/>
    <w:rsid w:val="00DC466E"/>
    <w:rsid w:val="00DC4913"/>
    <w:rsid w:val="00DC4ABA"/>
    <w:rsid w:val="00DC4E10"/>
    <w:rsid w:val="00DC5094"/>
    <w:rsid w:val="00DC5490"/>
    <w:rsid w:val="00DC582A"/>
    <w:rsid w:val="00DC59BE"/>
    <w:rsid w:val="00DC5C4B"/>
    <w:rsid w:val="00DC5ECB"/>
    <w:rsid w:val="00DC60F5"/>
    <w:rsid w:val="00DC6565"/>
    <w:rsid w:val="00DC65CD"/>
    <w:rsid w:val="00DC68E0"/>
    <w:rsid w:val="00DC69EF"/>
    <w:rsid w:val="00DC6B1A"/>
    <w:rsid w:val="00DC7362"/>
    <w:rsid w:val="00DC76DE"/>
    <w:rsid w:val="00DC77AE"/>
    <w:rsid w:val="00DD0213"/>
    <w:rsid w:val="00DD0279"/>
    <w:rsid w:val="00DD045A"/>
    <w:rsid w:val="00DD0533"/>
    <w:rsid w:val="00DD071D"/>
    <w:rsid w:val="00DD0D0D"/>
    <w:rsid w:val="00DD0D63"/>
    <w:rsid w:val="00DD0DCF"/>
    <w:rsid w:val="00DD15FF"/>
    <w:rsid w:val="00DD1949"/>
    <w:rsid w:val="00DD2393"/>
    <w:rsid w:val="00DD25A4"/>
    <w:rsid w:val="00DD279D"/>
    <w:rsid w:val="00DD2C01"/>
    <w:rsid w:val="00DD2E8E"/>
    <w:rsid w:val="00DD325B"/>
    <w:rsid w:val="00DD3328"/>
    <w:rsid w:val="00DD34B5"/>
    <w:rsid w:val="00DD3618"/>
    <w:rsid w:val="00DD36C1"/>
    <w:rsid w:val="00DD3AB1"/>
    <w:rsid w:val="00DD4072"/>
    <w:rsid w:val="00DD443B"/>
    <w:rsid w:val="00DD45A9"/>
    <w:rsid w:val="00DD4970"/>
    <w:rsid w:val="00DD54CF"/>
    <w:rsid w:val="00DD5548"/>
    <w:rsid w:val="00DD58FA"/>
    <w:rsid w:val="00DD5977"/>
    <w:rsid w:val="00DD6C1D"/>
    <w:rsid w:val="00DD6D9C"/>
    <w:rsid w:val="00DD6E28"/>
    <w:rsid w:val="00DD6FE1"/>
    <w:rsid w:val="00DD7060"/>
    <w:rsid w:val="00DD754F"/>
    <w:rsid w:val="00DD7604"/>
    <w:rsid w:val="00DD76C3"/>
    <w:rsid w:val="00DD77B1"/>
    <w:rsid w:val="00DD783B"/>
    <w:rsid w:val="00DD7A03"/>
    <w:rsid w:val="00DD7A99"/>
    <w:rsid w:val="00DD7E65"/>
    <w:rsid w:val="00DD7F91"/>
    <w:rsid w:val="00DE0876"/>
    <w:rsid w:val="00DE08CD"/>
    <w:rsid w:val="00DE0B31"/>
    <w:rsid w:val="00DE0B9B"/>
    <w:rsid w:val="00DE0BB5"/>
    <w:rsid w:val="00DE0ED7"/>
    <w:rsid w:val="00DE1296"/>
    <w:rsid w:val="00DE1576"/>
    <w:rsid w:val="00DE15C1"/>
    <w:rsid w:val="00DE1840"/>
    <w:rsid w:val="00DE188E"/>
    <w:rsid w:val="00DE1914"/>
    <w:rsid w:val="00DE1AE6"/>
    <w:rsid w:val="00DE1DC0"/>
    <w:rsid w:val="00DE1F73"/>
    <w:rsid w:val="00DE2AEB"/>
    <w:rsid w:val="00DE351B"/>
    <w:rsid w:val="00DE4219"/>
    <w:rsid w:val="00DE428E"/>
    <w:rsid w:val="00DE490F"/>
    <w:rsid w:val="00DE4FED"/>
    <w:rsid w:val="00DE5085"/>
    <w:rsid w:val="00DE5929"/>
    <w:rsid w:val="00DE5A24"/>
    <w:rsid w:val="00DE5A46"/>
    <w:rsid w:val="00DE5E9A"/>
    <w:rsid w:val="00DE5EAA"/>
    <w:rsid w:val="00DE6159"/>
    <w:rsid w:val="00DE645D"/>
    <w:rsid w:val="00DE6556"/>
    <w:rsid w:val="00DE6784"/>
    <w:rsid w:val="00DE6924"/>
    <w:rsid w:val="00DE6E52"/>
    <w:rsid w:val="00DE6F1C"/>
    <w:rsid w:val="00DE7113"/>
    <w:rsid w:val="00DE72F2"/>
    <w:rsid w:val="00DE73D0"/>
    <w:rsid w:val="00DE7519"/>
    <w:rsid w:val="00DE798F"/>
    <w:rsid w:val="00DE79D3"/>
    <w:rsid w:val="00DE7FA6"/>
    <w:rsid w:val="00DF064B"/>
    <w:rsid w:val="00DF1001"/>
    <w:rsid w:val="00DF11DD"/>
    <w:rsid w:val="00DF1A64"/>
    <w:rsid w:val="00DF1E77"/>
    <w:rsid w:val="00DF222B"/>
    <w:rsid w:val="00DF231E"/>
    <w:rsid w:val="00DF245D"/>
    <w:rsid w:val="00DF27E2"/>
    <w:rsid w:val="00DF330E"/>
    <w:rsid w:val="00DF340D"/>
    <w:rsid w:val="00DF3456"/>
    <w:rsid w:val="00DF3AF6"/>
    <w:rsid w:val="00DF4084"/>
    <w:rsid w:val="00DF40CE"/>
    <w:rsid w:val="00DF41A6"/>
    <w:rsid w:val="00DF468D"/>
    <w:rsid w:val="00DF4AC0"/>
    <w:rsid w:val="00DF4C5D"/>
    <w:rsid w:val="00DF5338"/>
    <w:rsid w:val="00DF5724"/>
    <w:rsid w:val="00DF5743"/>
    <w:rsid w:val="00DF579A"/>
    <w:rsid w:val="00DF5911"/>
    <w:rsid w:val="00DF591B"/>
    <w:rsid w:val="00DF5D21"/>
    <w:rsid w:val="00DF603A"/>
    <w:rsid w:val="00DF63ED"/>
    <w:rsid w:val="00DF6628"/>
    <w:rsid w:val="00DF74E3"/>
    <w:rsid w:val="00DF75C0"/>
    <w:rsid w:val="00DF78EC"/>
    <w:rsid w:val="00DF7981"/>
    <w:rsid w:val="00DF79E4"/>
    <w:rsid w:val="00DF7AE3"/>
    <w:rsid w:val="00E00AD1"/>
    <w:rsid w:val="00E00B95"/>
    <w:rsid w:val="00E01501"/>
    <w:rsid w:val="00E0152B"/>
    <w:rsid w:val="00E015F2"/>
    <w:rsid w:val="00E01611"/>
    <w:rsid w:val="00E016B8"/>
    <w:rsid w:val="00E019A3"/>
    <w:rsid w:val="00E019CB"/>
    <w:rsid w:val="00E01BF8"/>
    <w:rsid w:val="00E01F57"/>
    <w:rsid w:val="00E021F9"/>
    <w:rsid w:val="00E0231C"/>
    <w:rsid w:val="00E02362"/>
    <w:rsid w:val="00E0270A"/>
    <w:rsid w:val="00E0293F"/>
    <w:rsid w:val="00E02FF9"/>
    <w:rsid w:val="00E031DC"/>
    <w:rsid w:val="00E0338D"/>
    <w:rsid w:val="00E034F9"/>
    <w:rsid w:val="00E036E0"/>
    <w:rsid w:val="00E03C86"/>
    <w:rsid w:val="00E03D54"/>
    <w:rsid w:val="00E04404"/>
    <w:rsid w:val="00E04591"/>
    <w:rsid w:val="00E04B35"/>
    <w:rsid w:val="00E04C8E"/>
    <w:rsid w:val="00E04E99"/>
    <w:rsid w:val="00E05124"/>
    <w:rsid w:val="00E05C0C"/>
    <w:rsid w:val="00E05C3A"/>
    <w:rsid w:val="00E05F60"/>
    <w:rsid w:val="00E06351"/>
    <w:rsid w:val="00E06C8A"/>
    <w:rsid w:val="00E06C9E"/>
    <w:rsid w:val="00E06D6B"/>
    <w:rsid w:val="00E06E05"/>
    <w:rsid w:val="00E06F6D"/>
    <w:rsid w:val="00E07363"/>
    <w:rsid w:val="00E0773E"/>
    <w:rsid w:val="00E07AD2"/>
    <w:rsid w:val="00E07C23"/>
    <w:rsid w:val="00E108A0"/>
    <w:rsid w:val="00E1090E"/>
    <w:rsid w:val="00E10B24"/>
    <w:rsid w:val="00E10EBF"/>
    <w:rsid w:val="00E10F11"/>
    <w:rsid w:val="00E11312"/>
    <w:rsid w:val="00E1148F"/>
    <w:rsid w:val="00E1189F"/>
    <w:rsid w:val="00E11C09"/>
    <w:rsid w:val="00E122B3"/>
    <w:rsid w:val="00E125F6"/>
    <w:rsid w:val="00E128D5"/>
    <w:rsid w:val="00E129CB"/>
    <w:rsid w:val="00E12C28"/>
    <w:rsid w:val="00E12D35"/>
    <w:rsid w:val="00E13253"/>
    <w:rsid w:val="00E132AC"/>
    <w:rsid w:val="00E1336A"/>
    <w:rsid w:val="00E133B4"/>
    <w:rsid w:val="00E137D9"/>
    <w:rsid w:val="00E13B14"/>
    <w:rsid w:val="00E1417F"/>
    <w:rsid w:val="00E14551"/>
    <w:rsid w:val="00E14793"/>
    <w:rsid w:val="00E148F3"/>
    <w:rsid w:val="00E14D27"/>
    <w:rsid w:val="00E14F6C"/>
    <w:rsid w:val="00E15126"/>
    <w:rsid w:val="00E15404"/>
    <w:rsid w:val="00E155D4"/>
    <w:rsid w:val="00E1574F"/>
    <w:rsid w:val="00E1585F"/>
    <w:rsid w:val="00E15A3F"/>
    <w:rsid w:val="00E15F95"/>
    <w:rsid w:val="00E160CE"/>
    <w:rsid w:val="00E160EC"/>
    <w:rsid w:val="00E1618F"/>
    <w:rsid w:val="00E161EF"/>
    <w:rsid w:val="00E165FE"/>
    <w:rsid w:val="00E167CC"/>
    <w:rsid w:val="00E16942"/>
    <w:rsid w:val="00E16C40"/>
    <w:rsid w:val="00E16EAA"/>
    <w:rsid w:val="00E17308"/>
    <w:rsid w:val="00E17393"/>
    <w:rsid w:val="00E173D5"/>
    <w:rsid w:val="00E17C35"/>
    <w:rsid w:val="00E17F0E"/>
    <w:rsid w:val="00E17F59"/>
    <w:rsid w:val="00E2036B"/>
    <w:rsid w:val="00E20385"/>
    <w:rsid w:val="00E2060F"/>
    <w:rsid w:val="00E20E4B"/>
    <w:rsid w:val="00E20E69"/>
    <w:rsid w:val="00E211B9"/>
    <w:rsid w:val="00E2128A"/>
    <w:rsid w:val="00E2144B"/>
    <w:rsid w:val="00E21501"/>
    <w:rsid w:val="00E216EF"/>
    <w:rsid w:val="00E21898"/>
    <w:rsid w:val="00E220E9"/>
    <w:rsid w:val="00E22F17"/>
    <w:rsid w:val="00E235BC"/>
    <w:rsid w:val="00E23D27"/>
    <w:rsid w:val="00E23EC2"/>
    <w:rsid w:val="00E24131"/>
    <w:rsid w:val="00E241B6"/>
    <w:rsid w:val="00E24236"/>
    <w:rsid w:val="00E2438F"/>
    <w:rsid w:val="00E24D47"/>
    <w:rsid w:val="00E24F74"/>
    <w:rsid w:val="00E2535B"/>
    <w:rsid w:val="00E254A8"/>
    <w:rsid w:val="00E25520"/>
    <w:rsid w:val="00E25B59"/>
    <w:rsid w:val="00E260BB"/>
    <w:rsid w:val="00E2639A"/>
    <w:rsid w:val="00E26699"/>
    <w:rsid w:val="00E268A9"/>
    <w:rsid w:val="00E26924"/>
    <w:rsid w:val="00E26BBF"/>
    <w:rsid w:val="00E26C38"/>
    <w:rsid w:val="00E26D17"/>
    <w:rsid w:val="00E2710B"/>
    <w:rsid w:val="00E27A8D"/>
    <w:rsid w:val="00E27EA4"/>
    <w:rsid w:val="00E303E4"/>
    <w:rsid w:val="00E308B6"/>
    <w:rsid w:val="00E308E3"/>
    <w:rsid w:val="00E30CC7"/>
    <w:rsid w:val="00E30CF7"/>
    <w:rsid w:val="00E3164A"/>
    <w:rsid w:val="00E31B1F"/>
    <w:rsid w:val="00E31B8A"/>
    <w:rsid w:val="00E322C9"/>
    <w:rsid w:val="00E32350"/>
    <w:rsid w:val="00E32524"/>
    <w:rsid w:val="00E325CF"/>
    <w:rsid w:val="00E32A8B"/>
    <w:rsid w:val="00E32A8E"/>
    <w:rsid w:val="00E337FC"/>
    <w:rsid w:val="00E33868"/>
    <w:rsid w:val="00E33DB0"/>
    <w:rsid w:val="00E33E44"/>
    <w:rsid w:val="00E33F49"/>
    <w:rsid w:val="00E33F5A"/>
    <w:rsid w:val="00E3439C"/>
    <w:rsid w:val="00E346F8"/>
    <w:rsid w:val="00E34A30"/>
    <w:rsid w:val="00E34B1C"/>
    <w:rsid w:val="00E34C16"/>
    <w:rsid w:val="00E34E3F"/>
    <w:rsid w:val="00E34F1D"/>
    <w:rsid w:val="00E353B4"/>
    <w:rsid w:val="00E353C6"/>
    <w:rsid w:val="00E35E78"/>
    <w:rsid w:val="00E35E9A"/>
    <w:rsid w:val="00E36003"/>
    <w:rsid w:val="00E3630E"/>
    <w:rsid w:val="00E36A63"/>
    <w:rsid w:val="00E36D2E"/>
    <w:rsid w:val="00E36D40"/>
    <w:rsid w:val="00E36FD9"/>
    <w:rsid w:val="00E37151"/>
    <w:rsid w:val="00E37380"/>
    <w:rsid w:val="00E3759F"/>
    <w:rsid w:val="00E376E5"/>
    <w:rsid w:val="00E37801"/>
    <w:rsid w:val="00E378E7"/>
    <w:rsid w:val="00E37956"/>
    <w:rsid w:val="00E37CEB"/>
    <w:rsid w:val="00E401BD"/>
    <w:rsid w:val="00E40C88"/>
    <w:rsid w:val="00E40FD7"/>
    <w:rsid w:val="00E412E3"/>
    <w:rsid w:val="00E419D7"/>
    <w:rsid w:val="00E41A81"/>
    <w:rsid w:val="00E41C9D"/>
    <w:rsid w:val="00E4211D"/>
    <w:rsid w:val="00E42742"/>
    <w:rsid w:val="00E427D7"/>
    <w:rsid w:val="00E4293F"/>
    <w:rsid w:val="00E429E1"/>
    <w:rsid w:val="00E42C5A"/>
    <w:rsid w:val="00E42D80"/>
    <w:rsid w:val="00E4306C"/>
    <w:rsid w:val="00E430AD"/>
    <w:rsid w:val="00E431FC"/>
    <w:rsid w:val="00E43865"/>
    <w:rsid w:val="00E43B6A"/>
    <w:rsid w:val="00E446CF"/>
    <w:rsid w:val="00E44C6F"/>
    <w:rsid w:val="00E44D22"/>
    <w:rsid w:val="00E44E0D"/>
    <w:rsid w:val="00E457E0"/>
    <w:rsid w:val="00E4586C"/>
    <w:rsid w:val="00E45ABD"/>
    <w:rsid w:val="00E45C40"/>
    <w:rsid w:val="00E45F51"/>
    <w:rsid w:val="00E4605F"/>
    <w:rsid w:val="00E460BB"/>
    <w:rsid w:val="00E463E1"/>
    <w:rsid w:val="00E46A4C"/>
    <w:rsid w:val="00E46A5A"/>
    <w:rsid w:val="00E46F9C"/>
    <w:rsid w:val="00E46FCC"/>
    <w:rsid w:val="00E472F3"/>
    <w:rsid w:val="00E476DC"/>
    <w:rsid w:val="00E47C36"/>
    <w:rsid w:val="00E50050"/>
    <w:rsid w:val="00E504E8"/>
    <w:rsid w:val="00E50566"/>
    <w:rsid w:val="00E5061F"/>
    <w:rsid w:val="00E5090A"/>
    <w:rsid w:val="00E50FD6"/>
    <w:rsid w:val="00E51104"/>
    <w:rsid w:val="00E51147"/>
    <w:rsid w:val="00E513C8"/>
    <w:rsid w:val="00E513D9"/>
    <w:rsid w:val="00E514CD"/>
    <w:rsid w:val="00E5158A"/>
    <w:rsid w:val="00E519CF"/>
    <w:rsid w:val="00E522D2"/>
    <w:rsid w:val="00E527FA"/>
    <w:rsid w:val="00E52FD7"/>
    <w:rsid w:val="00E53167"/>
    <w:rsid w:val="00E5321D"/>
    <w:rsid w:val="00E534CE"/>
    <w:rsid w:val="00E535E2"/>
    <w:rsid w:val="00E5448B"/>
    <w:rsid w:val="00E54503"/>
    <w:rsid w:val="00E54694"/>
    <w:rsid w:val="00E546F0"/>
    <w:rsid w:val="00E5476B"/>
    <w:rsid w:val="00E54E86"/>
    <w:rsid w:val="00E54F5D"/>
    <w:rsid w:val="00E555FC"/>
    <w:rsid w:val="00E55982"/>
    <w:rsid w:val="00E559C1"/>
    <w:rsid w:val="00E55D51"/>
    <w:rsid w:val="00E55E67"/>
    <w:rsid w:val="00E55FCD"/>
    <w:rsid w:val="00E561C0"/>
    <w:rsid w:val="00E56216"/>
    <w:rsid w:val="00E56219"/>
    <w:rsid w:val="00E5637E"/>
    <w:rsid w:val="00E5648F"/>
    <w:rsid w:val="00E57096"/>
    <w:rsid w:val="00E573B1"/>
    <w:rsid w:val="00E57615"/>
    <w:rsid w:val="00E5761B"/>
    <w:rsid w:val="00E57BFC"/>
    <w:rsid w:val="00E600E8"/>
    <w:rsid w:val="00E601B6"/>
    <w:rsid w:val="00E6024C"/>
    <w:rsid w:val="00E602E4"/>
    <w:rsid w:val="00E60595"/>
    <w:rsid w:val="00E605F0"/>
    <w:rsid w:val="00E60B3E"/>
    <w:rsid w:val="00E60CA2"/>
    <w:rsid w:val="00E60F55"/>
    <w:rsid w:val="00E613C6"/>
    <w:rsid w:val="00E61CCE"/>
    <w:rsid w:val="00E61FE6"/>
    <w:rsid w:val="00E62BFA"/>
    <w:rsid w:val="00E62D4C"/>
    <w:rsid w:val="00E630E7"/>
    <w:rsid w:val="00E63964"/>
    <w:rsid w:val="00E63A82"/>
    <w:rsid w:val="00E63B8B"/>
    <w:rsid w:val="00E63CC6"/>
    <w:rsid w:val="00E64041"/>
    <w:rsid w:val="00E64549"/>
    <w:rsid w:val="00E64CC1"/>
    <w:rsid w:val="00E64D94"/>
    <w:rsid w:val="00E64ECB"/>
    <w:rsid w:val="00E6526B"/>
    <w:rsid w:val="00E6561D"/>
    <w:rsid w:val="00E65B84"/>
    <w:rsid w:val="00E663E3"/>
    <w:rsid w:val="00E66527"/>
    <w:rsid w:val="00E6662A"/>
    <w:rsid w:val="00E6670B"/>
    <w:rsid w:val="00E6690E"/>
    <w:rsid w:val="00E670AF"/>
    <w:rsid w:val="00E674C2"/>
    <w:rsid w:val="00E67706"/>
    <w:rsid w:val="00E67B0D"/>
    <w:rsid w:val="00E67BC3"/>
    <w:rsid w:val="00E706E8"/>
    <w:rsid w:val="00E70A1A"/>
    <w:rsid w:val="00E70E26"/>
    <w:rsid w:val="00E70F2D"/>
    <w:rsid w:val="00E7138E"/>
    <w:rsid w:val="00E7140E"/>
    <w:rsid w:val="00E7160F"/>
    <w:rsid w:val="00E71861"/>
    <w:rsid w:val="00E71862"/>
    <w:rsid w:val="00E719D3"/>
    <w:rsid w:val="00E71FBA"/>
    <w:rsid w:val="00E72135"/>
    <w:rsid w:val="00E725EE"/>
    <w:rsid w:val="00E72B9D"/>
    <w:rsid w:val="00E72D2A"/>
    <w:rsid w:val="00E72D45"/>
    <w:rsid w:val="00E7310E"/>
    <w:rsid w:val="00E7311F"/>
    <w:rsid w:val="00E73EB9"/>
    <w:rsid w:val="00E73FD4"/>
    <w:rsid w:val="00E74447"/>
    <w:rsid w:val="00E745B6"/>
    <w:rsid w:val="00E750EC"/>
    <w:rsid w:val="00E7549D"/>
    <w:rsid w:val="00E75AD5"/>
    <w:rsid w:val="00E75BAA"/>
    <w:rsid w:val="00E75D1C"/>
    <w:rsid w:val="00E75D53"/>
    <w:rsid w:val="00E766DF"/>
    <w:rsid w:val="00E770F7"/>
    <w:rsid w:val="00E772EE"/>
    <w:rsid w:val="00E77595"/>
    <w:rsid w:val="00E7767D"/>
    <w:rsid w:val="00E778D9"/>
    <w:rsid w:val="00E77B55"/>
    <w:rsid w:val="00E77BAC"/>
    <w:rsid w:val="00E77DD5"/>
    <w:rsid w:val="00E805BA"/>
    <w:rsid w:val="00E80751"/>
    <w:rsid w:val="00E80A3F"/>
    <w:rsid w:val="00E80B81"/>
    <w:rsid w:val="00E80EA6"/>
    <w:rsid w:val="00E813F8"/>
    <w:rsid w:val="00E81452"/>
    <w:rsid w:val="00E8150B"/>
    <w:rsid w:val="00E81671"/>
    <w:rsid w:val="00E8183F"/>
    <w:rsid w:val="00E81905"/>
    <w:rsid w:val="00E81B4D"/>
    <w:rsid w:val="00E81D00"/>
    <w:rsid w:val="00E81D2B"/>
    <w:rsid w:val="00E820D1"/>
    <w:rsid w:val="00E822E5"/>
    <w:rsid w:val="00E822EB"/>
    <w:rsid w:val="00E825ED"/>
    <w:rsid w:val="00E82653"/>
    <w:rsid w:val="00E8355C"/>
    <w:rsid w:val="00E837AB"/>
    <w:rsid w:val="00E8391B"/>
    <w:rsid w:val="00E83A83"/>
    <w:rsid w:val="00E83ACD"/>
    <w:rsid w:val="00E841F8"/>
    <w:rsid w:val="00E848A2"/>
    <w:rsid w:val="00E85056"/>
    <w:rsid w:val="00E85599"/>
    <w:rsid w:val="00E8580C"/>
    <w:rsid w:val="00E85C47"/>
    <w:rsid w:val="00E85D41"/>
    <w:rsid w:val="00E85E5E"/>
    <w:rsid w:val="00E86034"/>
    <w:rsid w:val="00E862D7"/>
    <w:rsid w:val="00E863AD"/>
    <w:rsid w:val="00E8688A"/>
    <w:rsid w:val="00E86A16"/>
    <w:rsid w:val="00E86DFE"/>
    <w:rsid w:val="00E86EC9"/>
    <w:rsid w:val="00E86F87"/>
    <w:rsid w:val="00E8732B"/>
    <w:rsid w:val="00E874C0"/>
    <w:rsid w:val="00E87723"/>
    <w:rsid w:val="00E878BE"/>
    <w:rsid w:val="00E878EA"/>
    <w:rsid w:val="00E87A1B"/>
    <w:rsid w:val="00E90386"/>
    <w:rsid w:val="00E9059D"/>
    <w:rsid w:val="00E90980"/>
    <w:rsid w:val="00E911EC"/>
    <w:rsid w:val="00E916C1"/>
    <w:rsid w:val="00E92163"/>
    <w:rsid w:val="00E9239E"/>
    <w:rsid w:val="00E92404"/>
    <w:rsid w:val="00E92520"/>
    <w:rsid w:val="00E92645"/>
    <w:rsid w:val="00E92668"/>
    <w:rsid w:val="00E92B72"/>
    <w:rsid w:val="00E92C33"/>
    <w:rsid w:val="00E92D95"/>
    <w:rsid w:val="00E9335B"/>
    <w:rsid w:val="00E933AE"/>
    <w:rsid w:val="00E93E98"/>
    <w:rsid w:val="00E940F4"/>
    <w:rsid w:val="00E94121"/>
    <w:rsid w:val="00E9420D"/>
    <w:rsid w:val="00E94554"/>
    <w:rsid w:val="00E94D01"/>
    <w:rsid w:val="00E94EA0"/>
    <w:rsid w:val="00E94F40"/>
    <w:rsid w:val="00E95195"/>
    <w:rsid w:val="00E95340"/>
    <w:rsid w:val="00E95631"/>
    <w:rsid w:val="00E9619D"/>
    <w:rsid w:val="00E963A0"/>
    <w:rsid w:val="00E967C8"/>
    <w:rsid w:val="00E96F70"/>
    <w:rsid w:val="00E9707C"/>
    <w:rsid w:val="00E9709D"/>
    <w:rsid w:val="00E970A3"/>
    <w:rsid w:val="00E97713"/>
    <w:rsid w:val="00E9779A"/>
    <w:rsid w:val="00EA018B"/>
    <w:rsid w:val="00EA038F"/>
    <w:rsid w:val="00EA0875"/>
    <w:rsid w:val="00EA0C14"/>
    <w:rsid w:val="00EA0E9C"/>
    <w:rsid w:val="00EA0EB5"/>
    <w:rsid w:val="00EA105D"/>
    <w:rsid w:val="00EA10C6"/>
    <w:rsid w:val="00EA15B8"/>
    <w:rsid w:val="00EA1AAC"/>
    <w:rsid w:val="00EA1C6C"/>
    <w:rsid w:val="00EA1CFD"/>
    <w:rsid w:val="00EA1F04"/>
    <w:rsid w:val="00EA2644"/>
    <w:rsid w:val="00EA27DE"/>
    <w:rsid w:val="00EA28F7"/>
    <w:rsid w:val="00EA2E9D"/>
    <w:rsid w:val="00EA2F4A"/>
    <w:rsid w:val="00EA317B"/>
    <w:rsid w:val="00EA346E"/>
    <w:rsid w:val="00EA37B7"/>
    <w:rsid w:val="00EA3922"/>
    <w:rsid w:val="00EA40F9"/>
    <w:rsid w:val="00EA4551"/>
    <w:rsid w:val="00EA455F"/>
    <w:rsid w:val="00EA4BDB"/>
    <w:rsid w:val="00EA59ED"/>
    <w:rsid w:val="00EA5D7A"/>
    <w:rsid w:val="00EA5EAA"/>
    <w:rsid w:val="00EA64B8"/>
    <w:rsid w:val="00EA6D41"/>
    <w:rsid w:val="00EA717A"/>
    <w:rsid w:val="00EA71C7"/>
    <w:rsid w:val="00EA74BA"/>
    <w:rsid w:val="00EA795C"/>
    <w:rsid w:val="00EA7D12"/>
    <w:rsid w:val="00EA7F31"/>
    <w:rsid w:val="00EB052E"/>
    <w:rsid w:val="00EB0549"/>
    <w:rsid w:val="00EB081A"/>
    <w:rsid w:val="00EB0B6B"/>
    <w:rsid w:val="00EB0D93"/>
    <w:rsid w:val="00EB0DAE"/>
    <w:rsid w:val="00EB0FE6"/>
    <w:rsid w:val="00EB10D8"/>
    <w:rsid w:val="00EB1368"/>
    <w:rsid w:val="00EB1522"/>
    <w:rsid w:val="00EB1767"/>
    <w:rsid w:val="00EB1996"/>
    <w:rsid w:val="00EB1C2A"/>
    <w:rsid w:val="00EB1C3D"/>
    <w:rsid w:val="00EB1F82"/>
    <w:rsid w:val="00EB2071"/>
    <w:rsid w:val="00EB289C"/>
    <w:rsid w:val="00EB293F"/>
    <w:rsid w:val="00EB2AC9"/>
    <w:rsid w:val="00EB2D43"/>
    <w:rsid w:val="00EB2E5E"/>
    <w:rsid w:val="00EB39BD"/>
    <w:rsid w:val="00EB3A6D"/>
    <w:rsid w:val="00EB3F2F"/>
    <w:rsid w:val="00EB406E"/>
    <w:rsid w:val="00EB4494"/>
    <w:rsid w:val="00EB4502"/>
    <w:rsid w:val="00EB451B"/>
    <w:rsid w:val="00EB49DE"/>
    <w:rsid w:val="00EB5075"/>
    <w:rsid w:val="00EB51FD"/>
    <w:rsid w:val="00EB529D"/>
    <w:rsid w:val="00EB558B"/>
    <w:rsid w:val="00EB6547"/>
    <w:rsid w:val="00EB6558"/>
    <w:rsid w:val="00EB74FD"/>
    <w:rsid w:val="00EB7811"/>
    <w:rsid w:val="00EB7C04"/>
    <w:rsid w:val="00EC00F0"/>
    <w:rsid w:val="00EC0670"/>
    <w:rsid w:val="00EC0A84"/>
    <w:rsid w:val="00EC0C60"/>
    <w:rsid w:val="00EC0C8A"/>
    <w:rsid w:val="00EC0CB8"/>
    <w:rsid w:val="00EC0D86"/>
    <w:rsid w:val="00EC15F2"/>
    <w:rsid w:val="00EC1611"/>
    <w:rsid w:val="00EC17F9"/>
    <w:rsid w:val="00EC2291"/>
    <w:rsid w:val="00EC22B7"/>
    <w:rsid w:val="00EC2588"/>
    <w:rsid w:val="00EC2A3D"/>
    <w:rsid w:val="00EC2B71"/>
    <w:rsid w:val="00EC2EA7"/>
    <w:rsid w:val="00EC2F7C"/>
    <w:rsid w:val="00EC2FFB"/>
    <w:rsid w:val="00EC2FFF"/>
    <w:rsid w:val="00EC316E"/>
    <w:rsid w:val="00EC352E"/>
    <w:rsid w:val="00EC3876"/>
    <w:rsid w:val="00EC398D"/>
    <w:rsid w:val="00EC39B8"/>
    <w:rsid w:val="00EC3FEE"/>
    <w:rsid w:val="00EC42E0"/>
    <w:rsid w:val="00EC47AF"/>
    <w:rsid w:val="00EC4836"/>
    <w:rsid w:val="00EC4B35"/>
    <w:rsid w:val="00EC4D2C"/>
    <w:rsid w:val="00EC4F55"/>
    <w:rsid w:val="00EC5242"/>
    <w:rsid w:val="00EC528A"/>
    <w:rsid w:val="00EC5463"/>
    <w:rsid w:val="00EC55EC"/>
    <w:rsid w:val="00EC57CD"/>
    <w:rsid w:val="00EC5A61"/>
    <w:rsid w:val="00EC5C45"/>
    <w:rsid w:val="00EC5DFE"/>
    <w:rsid w:val="00EC5EAF"/>
    <w:rsid w:val="00EC62B4"/>
    <w:rsid w:val="00EC63B9"/>
    <w:rsid w:val="00EC664F"/>
    <w:rsid w:val="00EC6678"/>
    <w:rsid w:val="00EC6F71"/>
    <w:rsid w:val="00EC7219"/>
    <w:rsid w:val="00EC7408"/>
    <w:rsid w:val="00EC77BC"/>
    <w:rsid w:val="00EC7AE1"/>
    <w:rsid w:val="00EC7BB0"/>
    <w:rsid w:val="00EC7D01"/>
    <w:rsid w:val="00EC7DEF"/>
    <w:rsid w:val="00EC7EA1"/>
    <w:rsid w:val="00EC7F8D"/>
    <w:rsid w:val="00EC7FEB"/>
    <w:rsid w:val="00ED006C"/>
    <w:rsid w:val="00ED0221"/>
    <w:rsid w:val="00ED0249"/>
    <w:rsid w:val="00ED0436"/>
    <w:rsid w:val="00ED0D96"/>
    <w:rsid w:val="00ED105F"/>
    <w:rsid w:val="00ED11FE"/>
    <w:rsid w:val="00ED1326"/>
    <w:rsid w:val="00ED15DF"/>
    <w:rsid w:val="00ED1E05"/>
    <w:rsid w:val="00ED1E36"/>
    <w:rsid w:val="00ED1F2E"/>
    <w:rsid w:val="00ED2729"/>
    <w:rsid w:val="00ED274D"/>
    <w:rsid w:val="00ED2938"/>
    <w:rsid w:val="00ED296A"/>
    <w:rsid w:val="00ED2BA8"/>
    <w:rsid w:val="00ED3169"/>
    <w:rsid w:val="00ED35F9"/>
    <w:rsid w:val="00ED36DA"/>
    <w:rsid w:val="00ED4681"/>
    <w:rsid w:val="00ED4CB3"/>
    <w:rsid w:val="00ED4CE3"/>
    <w:rsid w:val="00ED4D2C"/>
    <w:rsid w:val="00ED4EE3"/>
    <w:rsid w:val="00ED51B6"/>
    <w:rsid w:val="00ED5502"/>
    <w:rsid w:val="00ED5516"/>
    <w:rsid w:val="00ED5F08"/>
    <w:rsid w:val="00ED6056"/>
    <w:rsid w:val="00ED6A0A"/>
    <w:rsid w:val="00ED6B40"/>
    <w:rsid w:val="00ED6E05"/>
    <w:rsid w:val="00ED7DB3"/>
    <w:rsid w:val="00ED7FEA"/>
    <w:rsid w:val="00EE01C2"/>
    <w:rsid w:val="00EE01E9"/>
    <w:rsid w:val="00EE034B"/>
    <w:rsid w:val="00EE0530"/>
    <w:rsid w:val="00EE08CA"/>
    <w:rsid w:val="00EE109B"/>
    <w:rsid w:val="00EE10E7"/>
    <w:rsid w:val="00EE1100"/>
    <w:rsid w:val="00EE164F"/>
    <w:rsid w:val="00EE1716"/>
    <w:rsid w:val="00EE19F2"/>
    <w:rsid w:val="00EE19FA"/>
    <w:rsid w:val="00EE22BB"/>
    <w:rsid w:val="00EE24E4"/>
    <w:rsid w:val="00EE26F3"/>
    <w:rsid w:val="00EE2850"/>
    <w:rsid w:val="00EE2BCA"/>
    <w:rsid w:val="00EE2C26"/>
    <w:rsid w:val="00EE2D3E"/>
    <w:rsid w:val="00EE2EB2"/>
    <w:rsid w:val="00EE2EFF"/>
    <w:rsid w:val="00EE2F61"/>
    <w:rsid w:val="00EE3020"/>
    <w:rsid w:val="00EE3789"/>
    <w:rsid w:val="00EE3B83"/>
    <w:rsid w:val="00EE3C54"/>
    <w:rsid w:val="00EE3FA6"/>
    <w:rsid w:val="00EE41DF"/>
    <w:rsid w:val="00EE426B"/>
    <w:rsid w:val="00EE4397"/>
    <w:rsid w:val="00EE474B"/>
    <w:rsid w:val="00EE4C78"/>
    <w:rsid w:val="00EE5312"/>
    <w:rsid w:val="00EE54E0"/>
    <w:rsid w:val="00EE57FA"/>
    <w:rsid w:val="00EE58A1"/>
    <w:rsid w:val="00EE5A3A"/>
    <w:rsid w:val="00EE5AB6"/>
    <w:rsid w:val="00EE5C4A"/>
    <w:rsid w:val="00EE5CF4"/>
    <w:rsid w:val="00EE624C"/>
    <w:rsid w:val="00EE62B1"/>
    <w:rsid w:val="00EE6472"/>
    <w:rsid w:val="00EE654A"/>
    <w:rsid w:val="00EE66B7"/>
    <w:rsid w:val="00EE6705"/>
    <w:rsid w:val="00EE674B"/>
    <w:rsid w:val="00EE67B2"/>
    <w:rsid w:val="00EE6C69"/>
    <w:rsid w:val="00EE7249"/>
    <w:rsid w:val="00EE738A"/>
    <w:rsid w:val="00EE747E"/>
    <w:rsid w:val="00EE7578"/>
    <w:rsid w:val="00EE77F0"/>
    <w:rsid w:val="00EE7887"/>
    <w:rsid w:val="00EE7B7E"/>
    <w:rsid w:val="00EE7C8C"/>
    <w:rsid w:val="00EE7CBD"/>
    <w:rsid w:val="00EE7F6D"/>
    <w:rsid w:val="00EF0359"/>
    <w:rsid w:val="00EF0548"/>
    <w:rsid w:val="00EF0780"/>
    <w:rsid w:val="00EF0A31"/>
    <w:rsid w:val="00EF0A8B"/>
    <w:rsid w:val="00EF0C71"/>
    <w:rsid w:val="00EF0CEE"/>
    <w:rsid w:val="00EF0D4A"/>
    <w:rsid w:val="00EF11E3"/>
    <w:rsid w:val="00EF15FA"/>
    <w:rsid w:val="00EF1635"/>
    <w:rsid w:val="00EF1B8B"/>
    <w:rsid w:val="00EF1CBF"/>
    <w:rsid w:val="00EF201D"/>
    <w:rsid w:val="00EF2700"/>
    <w:rsid w:val="00EF2751"/>
    <w:rsid w:val="00EF2D33"/>
    <w:rsid w:val="00EF3131"/>
    <w:rsid w:val="00EF342C"/>
    <w:rsid w:val="00EF377F"/>
    <w:rsid w:val="00EF3A7D"/>
    <w:rsid w:val="00EF3F2C"/>
    <w:rsid w:val="00EF45A3"/>
    <w:rsid w:val="00EF4766"/>
    <w:rsid w:val="00EF479B"/>
    <w:rsid w:val="00EF5341"/>
    <w:rsid w:val="00EF57B7"/>
    <w:rsid w:val="00EF5923"/>
    <w:rsid w:val="00EF5C91"/>
    <w:rsid w:val="00EF67B7"/>
    <w:rsid w:val="00EF68AB"/>
    <w:rsid w:val="00EF7048"/>
    <w:rsid w:val="00EF7186"/>
    <w:rsid w:val="00EF72F4"/>
    <w:rsid w:val="00EF7468"/>
    <w:rsid w:val="00EF74BD"/>
    <w:rsid w:val="00EF7591"/>
    <w:rsid w:val="00EF7EAE"/>
    <w:rsid w:val="00F00239"/>
    <w:rsid w:val="00F00995"/>
    <w:rsid w:val="00F0113F"/>
    <w:rsid w:val="00F01165"/>
    <w:rsid w:val="00F011E3"/>
    <w:rsid w:val="00F0213B"/>
    <w:rsid w:val="00F02472"/>
    <w:rsid w:val="00F0255E"/>
    <w:rsid w:val="00F02949"/>
    <w:rsid w:val="00F033A7"/>
    <w:rsid w:val="00F0379E"/>
    <w:rsid w:val="00F0382B"/>
    <w:rsid w:val="00F0393B"/>
    <w:rsid w:val="00F03A00"/>
    <w:rsid w:val="00F03A0B"/>
    <w:rsid w:val="00F03D77"/>
    <w:rsid w:val="00F04637"/>
    <w:rsid w:val="00F046B3"/>
    <w:rsid w:val="00F04724"/>
    <w:rsid w:val="00F048C3"/>
    <w:rsid w:val="00F04E75"/>
    <w:rsid w:val="00F04F87"/>
    <w:rsid w:val="00F050EF"/>
    <w:rsid w:val="00F054C7"/>
    <w:rsid w:val="00F05862"/>
    <w:rsid w:val="00F05CCC"/>
    <w:rsid w:val="00F05F94"/>
    <w:rsid w:val="00F06449"/>
    <w:rsid w:val="00F0646E"/>
    <w:rsid w:val="00F0672A"/>
    <w:rsid w:val="00F068FB"/>
    <w:rsid w:val="00F06B10"/>
    <w:rsid w:val="00F06BC3"/>
    <w:rsid w:val="00F06C7F"/>
    <w:rsid w:val="00F06E26"/>
    <w:rsid w:val="00F07378"/>
    <w:rsid w:val="00F07B4E"/>
    <w:rsid w:val="00F07D82"/>
    <w:rsid w:val="00F07E40"/>
    <w:rsid w:val="00F10195"/>
    <w:rsid w:val="00F1063F"/>
    <w:rsid w:val="00F10CB9"/>
    <w:rsid w:val="00F10E7D"/>
    <w:rsid w:val="00F11039"/>
    <w:rsid w:val="00F110BC"/>
    <w:rsid w:val="00F11963"/>
    <w:rsid w:val="00F119D3"/>
    <w:rsid w:val="00F11DAA"/>
    <w:rsid w:val="00F11F37"/>
    <w:rsid w:val="00F1201F"/>
    <w:rsid w:val="00F1230D"/>
    <w:rsid w:val="00F12807"/>
    <w:rsid w:val="00F12A0C"/>
    <w:rsid w:val="00F12E2F"/>
    <w:rsid w:val="00F13394"/>
    <w:rsid w:val="00F1354C"/>
    <w:rsid w:val="00F13562"/>
    <w:rsid w:val="00F13A16"/>
    <w:rsid w:val="00F13A34"/>
    <w:rsid w:val="00F13A35"/>
    <w:rsid w:val="00F13DCD"/>
    <w:rsid w:val="00F140F5"/>
    <w:rsid w:val="00F14243"/>
    <w:rsid w:val="00F143C8"/>
    <w:rsid w:val="00F14745"/>
    <w:rsid w:val="00F14966"/>
    <w:rsid w:val="00F149F0"/>
    <w:rsid w:val="00F14B88"/>
    <w:rsid w:val="00F14C82"/>
    <w:rsid w:val="00F150C9"/>
    <w:rsid w:val="00F155E1"/>
    <w:rsid w:val="00F15827"/>
    <w:rsid w:val="00F15915"/>
    <w:rsid w:val="00F15A9A"/>
    <w:rsid w:val="00F15F19"/>
    <w:rsid w:val="00F1689A"/>
    <w:rsid w:val="00F16D0F"/>
    <w:rsid w:val="00F1722A"/>
    <w:rsid w:val="00F175C3"/>
    <w:rsid w:val="00F1760E"/>
    <w:rsid w:val="00F17A8C"/>
    <w:rsid w:val="00F17C95"/>
    <w:rsid w:val="00F17DB9"/>
    <w:rsid w:val="00F2015B"/>
    <w:rsid w:val="00F208AF"/>
    <w:rsid w:val="00F20D3F"/>
    <w:rsid w:val="00F21298"/>
    <w:rsid w:val="00F218E1"/>
    <w:rsid w:val="00F22019"/>
    <w:rsid w:val="00F22309"/>
    <w:rsid w:val="00F2266F"/>
    <w:rsid w:val="00F22751"/>
    <w:rsid w:val="00F2297E"/>
    <w:rsid w:val="00F22D14"/>
    <w:rsid w:val="00F231B9"/>
    <w:rsid w:val="00F23DC5"/>
    <w:rsid w:val="00F23F80"/>
    <w:rsid w:val="00F24123"/>
    <w:rsid w:val="00F2412F"/>
    <w:rsid w:val="00F24523"/>
    <w:rsid w:val="00F245FB"/>
    <w:rsid w:val="00F247D2"/>
    <w:rsid w:val="00F248DC"/>
    <w:rsid w:val="00F24AE8"/>
    <w:rsid w:val="00F25013"/>
    <w:rsid w:val="00F2501D"/>
    <w:rsid w:val="00F25184"/>
    <w:rsid w:val="00F2577D"/>
    <w:rsid w:val="00F259D4"/>
    <w:rsid w:val="00F25D21"/>
    <w:rsid w:val="00F25F67"/>
    <w:rsid w:val="00F26009"/>
    <w:rsid w:val="00F2608E"/>
    <w:rsid w:val="00F26226"/>
    <w:rsid w:val="00F26564"/>
    <w:rsid w:val="00F26933"/>
    <w:rsid w:val="00F26DB9"/>
    <w:rsid w:val="00F26F71"/>
    <w:rsid w:val="00F27047"/>
    <w:rsid w:val="00F274B2"/>
    <w:rsid w:val="00F27E36"/>
    <w:rsid w:val="00F303D5"/>
    <w:rsid w:val="00F307C4"/>
    <w:rsid w:val="00F30882"/>
    <w:rsid w:val="00F311DC"/>
    <w:rsid w:val="00F3137C"/>
    <w:rsid w:val="00F31B66"/>
    <w:rsid w:val="00F32127"/>
    <w:rsid w:val="00F32381"/>
    <w:rsid w:val="00F32385"/>
    <w:rsid w:val="00F323A6"/>
    <w:rsid w:val="00F327E7"/>
    <w:rsid w:val="00F327FA"/>
    <w:rsid w:val="00F32B71"/>
    <w:rsid w:val="00F32D11"/>
    <w:rsid w:val="00F32EFA"/>
    <w:rsid w:val="00F33047"/>
    <w:rsid w:val="00F33114"/>
    <w:rsid w:val="00F33493"/>
    <w:rsid w:val="00F33684"/>
    <w:rsid w:val="00F337D4"/>
    <w:rsid w:val="00F33907"/>
    <w:rsid w:val="00F33B7D"/>
    <w:rsid w:val="00F33BD3"/>
    <w:rsid w:val="00F33C34"/>
    <w:rsid w:val="00F33EAA"/>
    <w:rsid w:val="00F33EC9"/>
    <w:rsid w:val="00F33FA0"/>
    <w:rsid w:val="00F340F7"/>
    <w:rsid w:val="00F34978"/>
    <w:rsid w:val="00F34B30"/>
    <w:rsid w:val="00F353FB"/>
    <w:rsid w:val="00F35640"/>
    <w:rsid w:val="00F35C37"/>
    <w:rsid w:val="00F35E30"/>
    <w:rsid w:val="00F361F9"/>
    <w:rsid w:val="00F36674"/>
    <w:rsid w:val="00F3689F"/>
    <w:rsid w:val="00F3695C"/>
    <w:rsid w:val="00F36BBF"/>
    <w:rsid w:val="00F36C1D"/>
    <w:rsid w:val="00F36CA4"/>
    <w:rsid w:val="00F36E03"/>
    <w:rsid w:val="00F36F15"/>
    <w:rsid w:val="00F36FEE"/>
    <w:rsid w:val="00F3701C"/>
    <w:rsid w:val="00F3705F"/>
    <w:rsid w:val="00F37127"/>
    <w:rsid w:val="00F37269"/>
    <w:rsid w:val="00F37284"/>
    <w:rsid w:val="00F40728"/>
    <w:rsid w:val="00F4075B"/>
    <w:rsid w:val="00F408A9"/>
    <w:rsid w:val="00F40B5D"/>
    <w:rsid w:val="00F40CA2"/>
    <w:rsid w:val="00F411EF"/>
    <w:rsid w:val="00F412C1"/>
    <w:rsid w:val="00F4155A"/>
    <w:rsid w:val="00F416B6"/>
    <w:rsid w:val="00F419B8"/>
    <w:rsid w:val="00F41D39"/>
    <w:rsid w:val="00F42498"/>
    <w:rsid w:val="00F425FC"/>
    <w:rsid w:val="00F42817"/>
    <w:rsid w:val="00F42AAE"/>
    <w:rsid w:val="00F4328D"/>
    <w:rsid w:val="00F432FA"/>
    <w:rsid w:val="00F43486"/>
    <w:rsid w:val="00F4358B"/>
    <w:rsid w:val="00F43C2B"/>
    <w:rsid w:val="00F43C3D"/>
    <w:rsid w:val="00F43E02"/>
    <w:rsid w:val="00F44058"/>
    <w:rsid w:val="00F441A9"/>
    <w:rsid w:val="00F44449"/>
    <w:rsid w:val="00F4447C"/>
    <w:rsid w:val="00F4457A"/>
    <w:rsid w:val="00F44590"/>
    <w:rsid w:val="00F446A9"/>
    <w:rsid w:val="00F44912"/>
    <w:rsid w:val="00F44BC3"/>
    <w:rsid w:val="00F4518E"/>
    <w:rsid w:val="00F45314"/>
    <w:rsid w:val="00F453AF"/>
    <w:rsid w:val="00F454DB"/>
    <w:rsid w:val="00F456DC"/>
    <w:rsid w:val="00F45987"/>
    <w:rsid w:val="00F45A61"/>
    <w:rsid w:val="00F45ACF"/>
    <w:rsid w:val="00F462CE"/>
    <w:rsid w:val="00F46582"/>
    <w:rsid w:val="00F4662D"/>
    <w:rsid w:val="00F4674C"/>
    <w:rsid w:val="00F46BF0"/>
    <w:rsid w:val="00F46C0E"/>
    <w:rsid w:val="00F4757C"/>
    <w:rsid w:val="00F501CA"/>
    <w:rsid w:val="00F50826"/>
    <w:rsid w:val="00F50F8F"/>
    <w:rsid w:val="00F51212"/>
    <w:rsid w:val="00F51244"/>
    <w:rsid w:val="00F518B9"/>
    <w:rsid w:val="00F5205E"/>
    <w:rsid w:val="00F52351"/>
    <w:rsid w:val="00F528B6"/>
    <w:rsid w:val="00F52908"/>
    <w:rsid w:val="00F52BCE"/>
    <w:rsid w:val="00F52D47"/>
    <w:rsid w:val="00F52EC8"/>
    <w:rsid w:val="00F53639"/>
    <w:rsid w:val="00F53B62"/>
    <w:rsid w:val="00F53CC5"/>
    <w:rsid w:val="00F53EE0"/>
    <w:rsid w:val="00F53FE5"/>
    <w:rsid w:val="00F543C1"/>
    <w:rsid w:val="00F543FF"/>
    <w:rsid w:val="00F54466"/>
    <w:rsid w:val="00F54B52"/>
    <w:rsid w:val="00F54B62"/>
    <w:rsid w:val="00F54E46"/>
    <w:rsid w:val="00F55226"/>
    <w:rsid w:val="00F55B5F"/>
    <w:rsid w:val="00F55D80"/>
    <w:rsid w:val="00F55E42"/>
    <w:rsid w:val="00F56013"/>
    <w:rsid w:val="00F56417"/>
    <w:rsid w:val="00F5646D"/>
    <w:rsid w:val="00F56489"/>
    <w:rsid w:val="00F56650"/>
    <w:rsid w:val="00F567BA"/>
    <w:rsid w:val="00F56C83"/>
    <w:rsid w:val="00F57636"/>
    <w:rsid w:val="00F57C3E"/>
    <w:rsid w:val="00F57D15"/>
    <w:rsid w:val="00F57D44"/>
    <w:rsid w:val="00F57DF9"/>
    <w:rsid w:val="00F57FEC"/>
    <w:rsid w:val="00F600FB"/>
    <w:rsid w:val="00F60206"/>
    <w:rsid w:val="00F6023E"/>
    <w:rsid w:val="00F607CE"/>
    <w:rsid w:val="00F60891"/>
    <w:rsid w:val="00F609BF"/>
    <w:rsid w:val="00F60EA7"/>
    <w:rsid w:val="00F6196D"/>
    <w:rsid w:val="00F61AF6"/>
    <w:rsid w:val="00F61D33"/>
    <w:rsid w:val="00F61FC9"/>
    <w:rsid w:val="00F62106"/>
    <w:rsid w:val="00F623B3"/>
    <w:rsid w:val="00F624A8"/>
    <w:rsid w:val="00F625CD"/>
    <w:rsid w:val="00F628CE"/>
    <w:rsid w:val="00F6295F"/>
    <w:rsid w:val="00F62BFE"/>
    <w:rsid w:val="00F6360B"/>
    <w:rsid w:val="00F63671"/>
    <w:rsid w:val="00F63B77"/>
    <w:rsid w:val="00F63E49"/>
    <w:rsid w:val="00F6434F"/>
    <w:rsid w:val="00F64897"/>
    <w:rsid w:val="00F64916"/>
    <w:rsid w:val="00F64986"/>
    <w:rsid w:val="00F64ABB"/>
    <w:rsid w:val="00F64D47"/>
    <w:rsid w:val="00F6500A"/>
    <w:rsid w:val="00F651D2"/>
    <w:rsid w:val="00F6522B"/>
    <w:rsid w:val="00F653D8"/>
    <w:rsid w:val="00F654BC"/>
    <w:rsid w:val="00F65950"/>
    <w:rsid w:val="00F66048"/>
    <w:rsid w:val="00F66344"/>
    <w:rsid w:val="00F66382"/>
    <w:rsid w:val="00F666A3"/>
    <w:rsid w:val="00F66A6A"/>
    <w:rsid w:val="00F66ABC"/>
    <w:rsid w:val="00F66B1C"/>
    <w:rsid w:val="00F66E01"/>
    <w:rsid w:val="00F67193"/>
    <w:rsid w:val="00F67804"/>
    <w:rsid w:val="00F67CF4"/>
    <w:rsid w:val="00F67D6B"/>
    <w:rsid w:val="00F67ED1"/>
    <w:rsid w:val="00F7046C"/>
    <w:rsid w:val="00F709A4"/>
    <w:rsid w:val="00F712B2"/>
    <w:rsid w:val="00F713A3"/>
    <w:rsid w:val="00F71400"/>
    <w:rsid w:val="00F71C35"/>
    <w:rsid w:val="00F7235E"/>
    <w:rsid w:val="00F72715"/>
    <w:rsid w:val="00F72AA4"/>
    <w:rsid w:val="00F72FA7"/>
    <w:rsid w:val="00F73221"/>
    <w:rsid w:val="00F734AB"/>
    <w:rsid w:val="00F73762"/>
    <w:rsid w:val="00F73785"/>
    <w:rsid w:val="00F73C13"/>
    <w:rsid w:val="00F73CDC"/>
    <w:rsid w:val="00F74526"/>
    <w:rsid w:val="00F74631"/>
    <w:rsid w:val="00F750B5"/>
    <w:rsid w:val="00F750CE"/>
    <w:rsid w:val="00F75407"/>
    <w:rsid w:val="00F7565D"/>
    <w:rsid w:val="00F75C4F"/>
    <w:rsid w:val="00F75C66"/>
    <w:rsid w:val="00F75FBA"/>
    <w:rsid w:val="00F76005"/>
    <w:rsid w:val="00F76ADA"/>
    <w:rsid w:val="00F76CF6"/>
    <w:rsid w:val="00F76E07"/>
    <w:rsid w:val="00F774AB"/>
    <w:rsid w:val="00F77BF7"/>
    <w:rsid w:val="00F77E50"/>
    <w:rsid w:val="00F80483"/>
    <w:rsid w:val="00F809FC"/>
    <w:rsid w:val="00F80B89"/>
    <w:rsid w:val="00F80BF5"/>
    <w:rsid w:val="00F80CB7"/>
    <w:rsid w:val="00F80CBE"/>
    <w:rsid w:val="00F80D9B"/>
    <w:rsid w:val="00F810B3"/>
    <w:rsid w:val="00F8119E"/>
    <w:rsid w:val="00F8128B"/>
    <w:rsid w:val="00F81449"/>
    <w:rsid w:val="00F8197C"/>
    <w:rsid w:val="00F81A74"/>
    <w:rsid w:val="00F81E87"/>
    <w:rsid w:val="00F8283C"/>
    <w:rsid w:val="00F828AA"/>
    <w:rsid w:val="00F82957"/>
    <w:rsid w:val="00F82FE5"/>
    <w:rsid w:val="00F83342"/>
    <w:rsid w:val="00F837F0"/>
    <w:rsid w:val="00F83933"/>
    <w:rsid w:val="00F83CA2"/>
    <w:rsid w:val="00F84197"/>
    <w:rsid w:val="00F841B9"/>
    <w:rsid w:val="00F843BA"/>
    <w:rsid w:val="00F847E8"/>
    <w:rsid w:val="00F84B49"/>
    <w:rsid w:val="00F84EAD"/>
    <w:rsid w:val="00F85228"/>
    <w:rsid w:val="00F85592"/>
    <w:rsid w:val="00F855F0"/>
    <w:rsid w:val="00F8568C"/>
    <w:rsid w:val="00F85BF0"/>
    <w:rsid w:val="00F85C58"/>
    <w:rsid w:val="00F85C89"/>
    <w:rsid w:val="00F85D01"/>
    <w:rsid w:val="00F86795"/>
    <w:rsid w:val="00F86939"/>
    <w:rsid w:val="00F86AE6"/>
    <w:rsid w:val="00F8745E"/>
    <w:rsid w:val="00F901AC"/>
    <w:rsid w:val="00F906FD"/>
    <w:rsid w:val="00F90D0E"/>
    <w:rsid w:val="00F910AC"/>
    <w:rsid w:val="00F91437"/>
    <w:rsid w:val="00F9147D"/>
    <w:rsid w:val="00F918ED"/>
    <w:rsid w:val="00F92107"/>
    <w:rsid w:val="00F92A2D"/>
    <w:rsid w:val="00F92C20"/>
    <w:rsid w:val="00F9316B"/>
    <w:rsid w:val="00F93933"/>
    <w:rsid w:val="00F93A79"/>
    <w:rsid w:val="00F93C6C"/>
    <w:rsid w:val="00F9409A"/>
    <w:rsid w:val="00F9433E"/>
    <w:rsid w:val="00F94613"/>
    <w:rsid w:val="00F947AB"/>
    <w:rsid w:val="00F947D9"/>
    <w:rsid w:val="00F94C19"/>
    <w:rsid w:val="00F94CC3"/>
    <w:rsid w:val="00F94E65"/>
    <w:rsid w:val="00F950A4"/>
    <w:rsid w:val="00F9535B"/>
    <w:rsid w:val="00F953A3"/>
    <w:rsid w:val="00F9543E"/>
    <w:rsid w:val="00F95683"/>
    <w:rsid w:val="00F95F7B"/>
    <w:rsid w:val="00F96040"/>
    <w:rsid w:val="00F9625F"/>
    <w:rsid w:val="00F9661C"/>
    <w:rsid w:val="00FA0096"/>
    <w:rsid w:val="00FA01C0"/>
    <w:rsid w:val="00FA048E"/>
    <w:rsid w:val="00FA04ED"/>
    <w:rsid w:val="00FA0626"/>
    <w:rsid w:val="00FA0959"/>
    <w:rsid w:val="00FA0D10"/>
    <w:rsid w:val="00FA0EE3"/>
    <w:rsid w:val="00FA12B5"/>
    <w:rsid w:val="00FA12DD"/>
    <w:rsid w:val="00FA1305"/>
    <w:rsid w:val="00FA149A"/>
    <w:rsid w:val="00FA167F"/>
    <w:rsid w:val="00FA1A98"/>
    <w:rsid w:val="00FA1AC6"/>
    <w:rsid w:val="00FA1D7A"/>
    <w:rsid w:val="00FA2487"/>
    <w:rsid w:val="00FA287E"/>
    <w:rsid w:val="00FA288D"/>
    <w:rsid w:val="00FA2BFB"/>
    <w:rsid w:val="00FA30B8"/>
    <w:rsid w:val="00FA3490"/>
    <w:rsid w:val="00FA3542"/>
    <w:rsid w:val="00FA3582"/>
    <w:rsid w:val="00FA3BB0"/>
    <w:rsid w:val="00FA3BD4"/>
    <w:rsid w:val="00FA40CC"/>
    <w:rsid w:val="00FA4780"/>
    <w:rsid w:val="00FA4C28"/>
    <w:rsid w:val="00FA5578"/>
    <w:rsid w:val="00FA56C5"/>
    <w:rsid w:val="00FA5722"/>
    <w:rsid w:val="00FA5BEA"/>
    <w:rsid w:val="00FA60E0"/>
    <w:rsid w:val="00FA6193"/>
    <w:rsid w:val="00FA62C1"/>
    <w:rsid w:val="00FA63DA"/>
    <w:rsid w:val="00FA6625"/>
    <w:rsid w:val="00FA6C75"/>
    <w:rsid w:val="00FA7427"/>
    <w:rsid w:val="00FA7ACA"/>
    <w:rsid w:val="00FA7C61"/>
    <w:rsid w:val="00FA7C8C"/>
    <w:rsid w:val="00FB01F3"/>
    <w:rsid w:val="00FB021B"/>
    <w:rsid w:val="00FB06D4"/>
    <w:rsid w:val="00FB0CE8"/>
    <w:rsid w:val="00FB0D1F"/>
    <w:rsid w:val="00FB0EDB"/>
    <w:rsid w:val="00FB12D0"/>
    <w:rsid w:val="00FB1496"/>
    <w:rsid w:val="00FB1A3F"/>
    <w:rsid w:val="00FB1C9E"/>
    <w:rsid w:val="00FB1D14"/>
    <w:rsid w:val="00FB1EEE"/>
    <w:rsid w:val="00FB205B"/>
    <w:rsid w:val="00FB2153"/>
    <w:rsid w:val="00FB22A7"/>
    <w:rsid w:val="00FB23BD"/>
    <w:rsid w:val="00FB258C"/>
    <w:rsid w:val="00FB288F"/>
    <w:rsid w:val="00FB3D95"/>
    <w:rsid w:val="00FB4531"/>
    <w:rsid w:val="00FB46FC"/>
    <w:rsid w:val="00FB4D26"/>
    <w:rsid w:val="00FB5064"/>
    <w:rsid w:val="00FB50D3"/>
    <w:rsid w:val="00FB5122"/>
    <w:rsid w:val="00FB53FC"/>
    <w:rsid w:val="00FB5404"/>
    <w:rsid w:val="00FB5502"/>
    <w:rsid w:val="00FB568F"/>
    <w:rsid w:val="00FB5904"/>
    <w:rsid w:val="00FB5C1F"/>
    <w:rsid w:val="00FB5C34"/>
    <w:rsid w:val="00FB5FDE"/>
    <w:rsid w:val="00FB6430"/>
    <w:rsid w:val="00FB647A"/>
    <w:rsid w:val="00FB6B03"/>
    <w:rsid w:val="00FB6D67"/>
    <w:rsid w:val="00FB6EAE"/>
    <w:rsid w:val="00FB72EE"/>
    <w:rsid w:val="00FB7444"/>
    <w:rsid w:val="00FB7DD0"/>
    <w:rsid w:val="00FC05B7"/>
    <w:rsid w:val="00FC0655"/>
    <w:rsid w:val="00FC0DBA"/>
    <w:rsid w:val="00FC15EA"/>
    <w:rsid w:val="00FC18D5"/>
    <w:rsid w:val="00FC1A04"/>
    <w:rsid w:val="00FC1A4F"/>
    <w:rsid w:val="00FC1E6E"/>
    <w:rsid w:val="00FC22B4"/>
    <w:rsid w:val="00FC22DA"/>
    <w:rsid w:val="00FC2622"/>
    <w:rsid w:val="00FC29EB"/>
    <w:rsid w:val="00FC3488"/>
    <w:rsid w:val="00FC38F2"/>
    <w:rsid w:val="00FC3B27"/>
    <w:rsid w:val="00FC3E08"/>
    <w:rsid w:val="00FC41AF"/>
    <w:rsid w:val="00FC4232"/>
    <w:rsid w:val="00FC46B6"/>
    <w:rsid w:val="00FC493F"/>
    <w:rsid w:val="00FC4B7E"/>
    <w:rsid w:val="00FC4CD2"/>
    <w:rsid w:val="00FC51F5"/>
    <w:rsid w:val="00FC5B65"/>
    <w:rsid w:val="00FC5BA4"/>
    <w:rsid w:val="00FC5ED5"/>
    <w:rsid w:val="00FC5EE4"/>
    <w:rsid w:val="00FC5F5F"/>
    <w:rsid w:val="00FC6585"/>
    <w:rsid w:val="00FC6E6E"/>
    <w:rsid w:val="00FC70E7"/>
    <w:rsid w:val="00FC7173"/>
    <w:rsid w:val="00FC73CF"/>
    <w:rsid w:val="00FC75E8"/>
    <w:rsid w:val="00FC7912"/>
    <w:rsid w:val="00FC7BA2"/>
    <w:rsid w:val="00FC7D39"/>
    <w:rsid w:val="00FC7D84"/>
    <w:rsid w:val="00FC7F0D"/>
    <w:rsid w:val="00FD0005"/>
    <w:rsid w:val="00FD0178"/>
    <w:rsid w:val="00FD02BF"/>
    <w:rsid w:val="00FD0694"/>
    <w:rsid w:val="00FD098D"/>
    <w:rsid w:val="00FD0A0E"/>
    <w:rsid w:val="00FD116B"/>
    <w:rsid w:val="00FD14CB"/>
    <w:rsid w:val="00FD1513"/>
    <w:rsid w:val="00FD1FFB"/>
    <w:rsid w:val="00FD21C8"/>
    <w:rsid w:val="00FD289A"/>
    <w:rsid w:val="00FD2D15"/>
    <w:rsid w:val="00FD3296"/>
    <w:rsid w:val="00FD38E9"/>
    <w:rsid w:val="00FD39F7"/>
    <w:rsid w:val="00FD3A07"/>
    <w:rsid w:val="00FD4339"/>
    <w:rsid w:val="00FD4DC3"/>
    <w:rsid w:val="00FD5179"/>
    <w:rsid w:val="00FD5559"/>
    <w:rsid w:val="00FD5869"/>
    <w:rsid w:val="00FD5E7D"/>
    <w:rsid w:val="00FD5FF2"/>
    <w:rsid w:val="00FD63FA"/>
    <w:rsid w:val="00FD687F"/>
    <w:rsid w:val="00FD71F5"/>
    <w:rsid w:val="00FD73A9"/>
    <w:rsid w:val="00FD74A0"/>
    <w:rsid w:val="00FD7A18"/>
    <w:rsid w:val="00FD7F7F"/>
    <w:rsid w:val="00FD7FAD"/>
    <w:rsid w:val="00FD7FC6"/>
    <w:rsid w:val="00FD7FCE"/>
    <w:rsid w:val="00FE02AB"/>
    <w:rsid w:val="00FE02DE"/>
    <w:rsid w:val="00FE04F9"/>
    <w:rsid w:val="00FE0732"/>
    <w:rsid w:val="00FE11E1"/>
    <w:rsid w:val="00FE1C50"/>
    <w:rsid w:val="00FE1E61"/>
    <w:rsid w:val="00FE268A"/>
    <w:rsid w:val="00FE2CD9"/>
    <w:rsid w:val="00FE2F93"/>
    <w:rsid w:val="00FE2FDA"/>
    <w:rsid w:val="00FE31B6"/>
    <w:rsid w:val="00FE3564"/>
    <w:rsid w:val="00FE375E"/>
    <w:rsid w:val="00FE3CCB"/>
    <w:rsid w:val="00FE4032"/>
    <w:rsid w:val="00FE4321"/>
    <w:rsid w:val="00FE453C"/>
    <w:rsid w:val="00FE4611"/>
    <w:rsid w:val="00FE4FB2"/>
    <w:rsid w:val="00FE541B"/>
    <w:rsid w:val="00FE593F"/>
    <w:rsid w:val="00FE5AEE"/>
    <w:rsid w:val="00FE5EDF"/>
    <w:rsid w:val="00FE6330"/>
    <w:rsid w:val="00FE6674"/>
    <w:rsid w:val="00FE6704"/>
    <w:rsid w:val="00FE6773"/>
    <w:rsid w:val="00FE692A"/>
    <w:rsid w:val="00FE6964"/>
    <w:rsid w:val="00FE6CC7"/>
    <w:rsid w:val="00FE735D"/>
    <w:rsid w:val="00FE7784"/>
    <w:rsid w:val="00FE784F"/>
    <w:rsid w:val="00FF0A89"/>
    <w:rsid w:val="00FF0D0A"/>
    <w:rsid w:val="00FF1034"/>
    <w:rsid w:val="00FF1328"/>
    <w:rsid w:val="00FF13E6"/>
    <w:rsid w:val="00FF156C"/>
    <w:rsid w:val="00FF15E9"/>
    <w:rsid w:val="00FF1710"/>
    <w:rsid w:val="00FF1A82"/>
    <w:rsid w:val="00FF1AE0"/>
    <w:rsid w:val="00FF1BC1"/>
    <w:rsid w:val="00FF1CBC"/>
    <w:rsid w:val="00FF2EA6"/>
    <w:rsid w:val="00FF3130"/>
    <w:rsid w:val="00FF34EA"/>
    <w:rsid w:val="00FF395C"/>
    <w:rsid w:val="00FF3D9B"/>
    <w:rsid w:val="00FF415B"/>
    <w:rsid w:val="00FF4205"/>
    <w:rsid w:val="00FF428D"/>
    <w:rsid w:val="00FF4439"/>
    <w:rsid w:val="00FF44F8"/>
    <w:rsid w:val="00FF4890"/>
    <w:rsid w:val="00FF4979"/>
    <w:rsid w:val="00FF512B"/>
    <w:rsid w:val="00FF5609"/>
    <w:rsid w:val="00FF57D3"/>
    <w:rsid w:val="00FF5800"/>
    <w:rsid w:val="00FF5C77"/>
    <w:rsid w:val="00FF6676"/>
    <w:rsid w:val="00FF6C8B"/>
    <w:rsid w:val="00FF6C92"/>
    <w:rsid w:val="00FF70BC"/>
    <w:rsid w:val="00FF71CC"/>
    <w:rsid w:val="00FF71F5"/>
    <w:rsid w:val="00FF7250"/>
    <w:rsid w:val="00FF7299"/>
    <w:rsid w:val="00FF796E"/>
    <w:rsid w:val="00FF79D5"/>
    <w:rsid w:val="00FF79E6"/>
    <w:rsid w:val="00FF7DB1"/>
    <w:rsid w:val="05617861"/>
    <w:rsid w:val="0DA9E814"/>
    <w:rsid w:val="0E797E64"/>
    <w:rsid w:val="0F080BD3"/>
    <w:rsid w:val="117FF48E"/>
    <w:rsid w:val="1248F753"/>
    <w:rsid w:val="1491F14F"/>
    <w:rsid w:val="16665C6F"/>
    <w:rsid w:val="1B252E24"/>
    <w:rsid w:val="2262301D"/>
    <w:rsid w:val="2356E818"/>
    <w:rsid w:val="26DA2AC8"/>
    <w:rsid w:val="284E5B83"/>
    <w:rsid w:val="311F6FB8"/>
    <w:rsid w:val="3188C2B0"/>
    <w:rsid w:val="31E20857"/>
    <w:rsid w:val="3588699B"/>
    <w:rsid w:val="3C17E01F"/>
    <w:rsid w:val="4934C02A"/>
    <w:rsid w:val="515ADE8C"/>
    <w:rsid w:val="54D7806A"/>
    <w:rsid w:val="54E63FFE"/>
    <w:rsid w:val="5A1023F5"/>
    <w:rsid w:val="5C99C2FC"/>
    <w:rsid w:val="5D1DBFCB"/>
    <w:rsid w:val="63CF2A38"/>
    <w:rsid w:val="64CFD92A"/>
    <w:rsid w:val="66D97AAF"/>
    <w:rsid w:val="6B7F89A9"/>
    <w:rsid w:val="6C260380"/>
    <w:rsid w:val="6EED3301"/>
    <w:rsid w:val="701783FF"/>
    <w:rsid w:val="71721C17"/>
    <w:rsid w:val="7200FD3B"/>
    <w:rsid w:val="75B56AC1"/>
    <w:rsid w:val="77ABB062"/>
    <w:rsid w:val="7E16C77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center;mso-position-horizontal-relative:margin;mso-position-vertical:center;mso-position-vertical-relative:margin" o:allowincell="f" fillcolor="silver" stroke="f">
      <v:fill color="silver" opacity=".5"/>
      <v:stroke on="f"/>
    </o:shapedefaults>
    <o:shapelayout v:ext="edit">
      <o:idmap v:ext="edit" data="2"/>
    </o:shapelayout>
  </w:shapeDefaults>
  <w:decimalSymbol w:val="."/>
  <w:listSeparator w:val=","/>
  <w14:docId w14:val="0B7335A3"/>
  <w15:docId w15:val="{5717CEF3-2CCD-4678-B456-DF24EC7A0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7"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uiPriority="19"/>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rsid w:val="00766CD4"/>
    <w:pPr>
      <w:spacing w:after="120" w:line="280" w:lineRule="atLeast"/>
    </w:pPr>
    <w:rPr>
      <w:rFonts w:ascii="Calibri" w:hAnsi="Calibri"/>
    </w:rPr>
  </w:style>
  <w:style w:type="paragraph" w:styleId="Heading1">
    <w:name w:val="heading 1"/>
    <w:basedOn w:val="Normal"/>
    <w:next w:val="USBodyText"/>
    <w:link w:val="Heading1Char"/>
    <w:uiPriority w:val="9"/>
    <w:qFormat/>
    <w:rsid w:val="00087449"/>
    <w:pPr>
      <w:keepNext/>
      <w:keepLines/>
      <w:numPr>
        <w:numId w:val="9"/>
      </w:numPr>
      <w:pBdr>
        <w:bottom w:val="single" w:sz="12" w:space="4" w:color="0094C5"/>
      </w:pBdr>
      <w:spacing w:before="480" w:after="360" w:line="380" w:lineRule="atLeast"/>
      <w:outlineLvl w:val="0"/>
    </w:pPr>
    <w:rPr>
      <w:rFonts w:eastAsiaTheme="majorEastAsia" w:cstheme="majorBidi"/>
      <w:b/>
      <w:color w:val="0094C5"/>
      <w:sz w:val="32"/>
      <w:szCs w:val="32"/>
    </w:rPr>
  </w:style>
  <w:style w:type="paragraph" w:styleId="Heading2">
    <w:name w:val="heading 2"/>
    <w:basedOn w:val="Normal"/>
    <w:next w:val="USBodyText"/>
    <w:link w:val="Heading2Char"/>
    <w:uiPriority w:val="9"/>
    <w:qFormat/>
    <w:rsid w:val="00087449"/>
    <w:pPr>
      <w:keepNext/>
      <w:keepLines/>
      <w:numPr>
        <w:ilvl w:val="1"/>
        <w:numId w:val="9"/>
      </w:numPr>
      <w:spacing w:before="360" w:after="80" w:line="320" w:lineRule="atLeast"/>
      <w:outlineLvl w:val="1"/>
    </w:pPr>
    <w:rPr>
      <w:rFonts w:eastAsiaTheme="majorEastAsia" w:cstheme="majorBidi"/>
      <w:b/>
      <w:color w:val="0094C5" w:themeColor="accent1"/>
      <w:sz w:val="26"/>
      <w:szCs w:val="26"/>
    </w:rPr>
  </w:style>
  <w:style w:type="paragraph" w:styleId="Heading3">
    <w:name w:val="heading 3"/>
    <w:basedOn w:val="Normal"/>
    <w:next w:val="USBodyText"/>
    <w:link w:val="Heading3Char"/>
    <w:uiPriority w:val="9"/>
    <w:qFormat/>
    <w:rsid w:val="00087449"/>
    <w:pPr>
      <w:keepNext/>
      <w:keepLines/>
      <w:numPr>
        <w:ilvl w:val="2"/>
        <w:numId w:val="9"/>
      </w:numPr>
      <w:spacing w:before="260" w:line="300" w:lineRule="atLeast"/>
      <w:outlineLvl w:val="2"/>
    </w:pPr>
    <w:rPr>
      <w:rFonts w:eastAsiaTheme="majorEastAsia" w:cstheme="majorBidi"/>
      <w:b/>
      <w:color w:val="0094C5" w:themeColor="accent1"/>
      <w:sz w:val="24"/>
      <w:szCs w:val="24"/>
    </w:rPr>
  </w:style>
  <w:style w:type="paragraph" w:styleId="Heading4">
    <w:name w:val="heading 4"/>
    <w:basedOn w:val="Normal"/>
    <w:next w:val="USBodyText"/>
    <w:link w:val="Heading4Char"/>
    <w:uiPriority w:val="12"/>
    <w:qFormat/>
    <w:rsid w:val="007B14FD"/>
    <w:pPr>
      <w:keepNext/>
      <w:keepLines/>
      <w:spacing w:before="200" w:after="40" w:line="300" w:lineRule="atLeast"/>
      <w:ind w:left="851"/>
      <w:outlineLvl w:val="3"/>
    </w:pPr>
    <w:rPr>
      <w:rFonts w:eastAsiaTheme="majorEastAsia" w:cstheme="majorBidi"/>
      <w:b/>
      <w:iCs/>
      <w:color w:val="0094C5" w:themeColor="accent1"/>
      <w:sz w:val="24"/>
    </w:rPr>
  </w:style>
  <w:style w:type="paragraph" w:styleId="Heading5">
    <w:name w:val="heading 5"/>
    <w:basedOn w:val="Normal"/>
    <w:next w:val="USBodyText"/>
    <w:link w:val="Heading5Char"/>
    <w:uiPriority w:val="12"/>
    <w:qFormat/>
    <w:rsid w:val="007B14FD"/>
    <w:pPr>
      <w:keepNext/>
      <w:keepLines/>
      <w:spacing w:before="160" w:after="0" w:line="300" w:lineRule="atLeast"/>
      <w:ind w:left="851"/>
      <w:outlineLvl w:val="4"/>
    </w:pPr>
    <w:rPr>
      <w:rFonts w:eastAsiaTheme="majorEastAsia" w:cstheme="majorBidi"/>
      <w:b/>
      <w:color w:val="30353F"/>
    </w:rPr>
  </w:style>
  <w:style w:type="paragraph" w:styleId="Heading6">
    <w:name w:val="heading 6"/>
    <w:basedOn w:val="Normal"/>
    <w:next w:val="Normal"/>
    <w:link w:val="Heading6Char"/>
    <w:uiPriority w:val="12"/>
    <w:semiHidden/>
    <w:qFormat/>
    <w:rsid w:val="000A425B"/>
    <w:pPr>
      <w:keepNext/>
      <w:keepLines/>
      <w:spacing w:before="40" w:after="0"/>
      <w:outlineLvl w:val="5"/>
    </w:pPr>
    <w:rPr>
      <w:rFonts w:asciiTheme="majorHAnsi" w:eastAsiaTheme="majorEastAsia" w:hAnsiTheme="majorHAnsi" w:cstheme="majorBidi"/>
      <w:color w:val="004962" w:themeColor="accent1" w:themeShade="7F"/>
    </w:rPr>
  </w:style>
  <w:style w:type="paragraph" w:styleId="Heading7">
    <w:name w:val="heading 7"/>
    <w:basedOn w:val="Normal"/>
    <w:next w:val="Normal"/>
    <w:link w:val="Heading7Char"/>
    <w:uiPriority w:val="12"/>
    <w:semiHidden/>
    <w:qFormat/>
    <w:rsid w:val="000A425B"/>
    <w:pPr>
      <w:keepNext/>
      <w:keepLines/>
      <w:spacing w:before="40" w:after="0"/>
      <w:outlineLvl w:val="6"/>
    </w:pPr>
    <w:rPr>
      <w:rFonts w:asciiTheme="majorHAnsi" w:eastAsiaTheme="majorEastAsia" w:hAnsiTheme="majorHAnsi" w:cstheme="majorBidi"/>
      <w:i/>
      <w:iCs/>
      <w:color w:val="004962" w:themeColor="accent1" w:themeShade="7F"/>
    </w:rPr>
  </w:style>
  <w:style w:type="paragraph" w:styleId="Heading8">
    <w:name w:val="heading 8"/>
    <w:basedOn w:val="Normal"/>
    <w:next w:val="Normal"/>
    <w:link w:val="Heading8Char"/>
    <w:uiPriority w:val="12"/>
    <w:semiHidden/>
    <w:unhideWhenUsed/>
    <w:qFormat/>
    <w:rsid w:val="000A425B"/>
    <w:pPr>
      <w:keepNext/>
      <w:keepLines/>
      <w:spacing w:before="40" w:after="0"/>
      <w:outlineLvl w:val="7"/>
    </w:pPr>
    <w:rPr>
      <w:rFonts w:asciiTheme="majorHAnsi" w:eastAsiaTheme="majorEastAsia" w:hAnsiTheme="majorHAnsi" w:cstheme="majorBidi"/>
      <w:color w:val="4A5261" w:themeColor="text1" w:themeTint="D8"/>
      <w:sz w:val="21"/>
      <w:szCs w:val="21"/>
    </w:rPr>
  </w:style>
  <w:style w:type="paragraph" w:styleId="Heading9">
    <w:name w:val="heading 9"/>
    <w:basedOn w:val="Normal"/>
    <w:next w:val="Normal"/>
    <w:link w:val="Heading9Char"/>
    <w:uiPriority w:val="12"/>
    <w:semiHidden/>
    <w:unhideWhenUsed/>
    <w:qFormat/>
    <w:rsid w:val="000A425B"/>
    <w:pPr>
      <w:keepNext/>
      <w:keepLines/>
      <w:spacing w:before="40" w:after="0"/>
      <w:outlineLvl w:val="8"/>
    </w:pPr>
    <w:rPr>
      <w:rFonts w:asciiTheme="majorHAnsi" w:eastAsiaTheme="majorEastAsia" w:hAnsiTheme="majorHAnsi" w:cstheme="majorBidi"/>
      <w:i/>
      <w:iCs/>
      <w:color w:val="4A526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USBodyText"/>
    <w:link w:val="HeaderChar"/>
    <w:uiPriority w:val="99"/>
    <w:rsid w:val="00423754"/>
    <w:pPr>
      <w:spacing w:after="0" w:line="240" w:lineRule="auto"/>
      <w:ind w:left="0"/>
      <w:jc w:val="right"/>
    </w:pPr>
  </w:style>
  <w:style w:type="character" w:customStyle="1" w:styleId="HeaderChar">
    <w:name w:val="Header Char"/>
    <w:basedOn w:val="DefaultParagraphFont"/>
    <w:link w:val="Header"/>
    <w:uiPriority w:val="99"/>
    <w:rsid w:val="00767A30"/>
    <w:rPr>
      <w:rFonts w:ascii="Calibri" w:hAnsi="Calibri"/>
    </w:rPr>
  </w:style>
  <w:style w:type="paragraph" w:styleId="Footer">
    <w:name w:val="footer"/>
    <w:basedOn w:val="Normal"/>
    <w:link w:val="FooterChar"/>
    <w:uiPriority w:val="99"/>
    <w:rsid w:val="00C84B04"/>
    <w:pPr>
      <w:spacing w:after="0" w:line="240" w:lineRule="auto"/>
      <w:jc w:val="right"/>
    </w:pPr>
    <w:rPr>
      <w:color w:val="595959"/>
      <w:sz w:val="20"/>
    </w:rPr>
  </w:style>
  <w:style w:type="character" w:customStyle="1" w:styleId="FooterChar">
    <w:name w:val="Footer Char"/>
    <w:basedOn w:val="DefaultParagraphFont"/>
    <w:link w:val="Footer"/>
    <w:uiPriority w:val="99"/>
    <w:rsid w:val="005B31F9"/>
    <w:rPr>
      <w:rFonts w:ascii="Calibri" w:hAnsi="Calibri"/>
      <w:color w:val="595959"/>
      <w:sz w:val="20"/>
    </w:rPr>
  </w:style>
  <w:style w:type="table" w:styleId="TableGrid">
    <w:name w:val="Table Grid"/>
    <w:basedOn w:val="TableNormal"/>
    <w:uiPriority w:val="39"/>
    <w:rsid w:val="00916CFA"/>
    <w:pPr>
      <w:spacing w:after="0" w:line="240" w:lineRule="auto"/>
    </w:pPr>
    <w:tblP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BB4E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C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C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C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C5" w:themeFill="accent1"/>
      </w:tcPr>
    </w:tblStylePr>
    <w:tblStylePr w:type="band1Vert">
      <w:tblPr/>
      <w:tcPr>
        <w:shd w:val="clear" w:color="auto" w:fill="81DFFF" w:themeFill="accent1" w:themeFillTint="66"/>
      </w:tcPr>
    </w:tblStylePr>
    <w:tblStylePr w:type="band1Horz">
      <w:tblPr/>
      <w:tcPr>
        <w:shd w:val="clear" w:color="auto" w:fill="81DFFF" w:themeFill="accent1" w:themeFillTint="66"/>
      </w:tcPr>
    </w:tblStylePr>
  </w:style>
  <w:style w:type="character" w:customStyle="1" w:styleId="Heading1Char">
    <w:name w:val="Heading 1 Char"/>
    <w:basedOn w:val="DefaultParagraphFont"/>
    <w:link w:val="Heading1"/>
    <w:uiPriority w:val="9"/>
    <w:rsid w:val="006D0BF3"/>
    <w:rPr>
      <w:rFonts w:ascii="Calibri" w:eastAsiaTheme="majorEastAsia" w:hAnsi="Calibri" w:cstheme="majorBidi"/>
      <w:b/>
      <w:color w:val="0094C5"/>
      <w:sz w:val="32"/>
      <w:szCs w:val="32"/>
    </w:rPr>
  </w:style>
  <w:style w:type="paragraph" w:customStyle="1" w:styleId="Heading1Letter">
    <w:name w:val="Heading 1 Letter"/>
    <w:basedOn w:val="Normal"/>
    <w:next w:val="USBodyText"/>
    <w:uiPriority w:val="14"/>
    <w:semiHidden/>
    <w:rsid w:val="00DC582A"/>
    <w:pPr>
      <w:keepNext/>
      <w:keepLines/>
      <w:spacing w:before="200" w:after="40" w:line="300" w:lineRule="atLeast"/>
    </w:pPr>
    <w:rPr>
      <w:b/>
      <w:color w:val="0094C5" w:themeColor="accent1"/>
      <w:sz w:val="24"/>
    </w:rPr>
  </w:style>
  <w:style w:type="paragraph" w:customStyle="1" w:styleId="Heading2Letter">
    <w:name w:val="Heading 2 Letter"/>
    <w:basedOn w:val="Normal"/>
    <w:next w:val="USBodyText"/>
    <w:uiPriority w:val="14"/>
    <w:semiHidden/>
    <w:rsid w:val="00DC582A"/>
    <w:pPr>
      <w:keepNext/>
      <w:keepLines/>
      <w:spacing w:before="160" w:after="20" w:line="300" w:lineRule="atLeast"/>
    </w:pPr>
    <w:rPr>
      <w:b/>
      <w:color w:val="30353F"/>
      <w:sz w:val="24"/>
    </w:rPr>
  </w:style>
  <w:style w:type="paragraph" w:customStyle="1" w:styleId="HeadingSubjectLetter">
    <w:name w:val="Heading Subject Letter"/>
    <w:basedOn w:val="Normal"/>
    <w:next w:val="USBodyText"/>
    <w:uiPriority w:val="14"/>
    <w:semiHidden/>
    <w:rsid w:val="00DC582A"/>
    <w:pPr>
      <w:keepNext/>
      <w:keepLines/>
      <w:spacing w:before="160" w:after="80" w:line="320" w:lineRule="atLeast"/>
    </w:pPr>
    <w:rPr>
      <w:b/>
      <w:color w:val="0094C5" w:themeColor="accent1"/>
      <w:sz w:val="26"/>
    </w:rPr>
  </w:style>
  <w:style w:type="character" w:styleId="PlaceholderText">
    <w:name w:val="Placeholder Text"/>
    <w:basedOn w:val="DefaultParagraphFont"/>
    <w:uiPriority w:val="99"/>
    <w:semiHidden/>
    <w:rsid w:val="006D158B"/>
    <w:rPr>
      <w:color w:val="808080"/>
    </w:rPr>
  </w:style>
  <w:style w:type="paragraph" w:customStyle="1" w:styleId="USBodyText">
    <w:name w:val="US Body Text"/>
    <w:basedOn w:val="Normal"/>
    <w:uiPriority w:val="15"/>
    <w:qFormat/>
    <w:rsid w:val="00C351CC"/>
    <w:pPr>
      <w:ind w:left="851"/>
    </w:pPr>
  </w:style>
  <w:style w:type="paragraph" w:customStyle="1" w:styleId="USBullet1">
    <w:name w:val="US Bullet 1"/>
    <w:basedOn w:val="Normal"/>
    <w:uiPriority w:val="16"/>
    <w:qFormat/>
    <w:rsid w:val="006D158B"/>
    <w:pPr>
      <w:numPr>
        <w:numId w:val="1"/>
      </w:numPr>
    </w:pPr>
  </w:style>
  <w:style w:type="paragraph" w:customStyle="1" w:styleId="USBullet2">
    <w:name w:val="US Bullet 2"/>
    <w:basedOn w:val="Normal"/>
    <w:uiPriority w:val="16"/>
    <w:rsid w:val="00D97611"/>
    <w:pPr>
      <w:numPr>
        <w:ilvl w:val="1"/>
        <w:numId w:val="1"/>
      </w:numPr>
    </w:pPr>
  </w:style>
  <w:style w:type="paragraph" w:customStyle="1" w:styleId="USBullet3">
    <w:name w:val="US Bullet 3"/>
    <w:basedOn w:val="Normal"/>
    <w:uiPriority w:val="16"/>
    <w:rsid w:val="006D158B"/>
    <w:pPr>
      <w:numPr>
        <w:ilvl w:val="2"/>
        <w:numId w:val="1"/>
      </w:numPr>
    </w:pPr>
  </w:style>
  <w:style w:type="paragraph" w:customStyle="1" w:styleId="USMixedB2">
    <w:name w:val="US Mixed B2"/>
    <w:basedOn w:val="Normal"/>
    <w:uiPriority w:val="16"/>
    <w:semiHidden/>
    <w:rsid w:val="006D158B"/>
    <w:pPr>
      <w:numPr>
        <w:numId w:val="2"/>
      </w:numPr>
    </w:pPr>
  </w:style>
  <w:style w:type="paragraph" w:customStyle="1" w:styleId="USMixedB3">
    <w:name w:val="US Mixed B3"/>
    <w:basedOn w:val="Normal"/>
    <w:uiPriority w:val="16"/>
    <w:semiHidden/>
    <w:rsid w:val="006D158B"/>
    <w:pPr>
      <w:numPr>
        <w:ilvl w:val="1"/>
        <w:numId w:val="2"/>
      </w:numPr>
    </w:pPr>
  </w:style>
  <w:style w:type="paragraph" w:customStyle="1" w:styleId="USNumber1">
    <w:name w:val="US Number 1"/>
    <w:basedOn w:val="Normal"/>
    <w:uiPriority w:val="16"/>
    <w:qFormat/>
    <w:rsid w:val="006D158B"/>
    <w:pPr>
      <w:numPr>
        <w:numId w:val="3"/>
      </w:numPr>
    </w:pPr>
  </w:style>
  <w:style w:type="paragraph" w:customStyle="1" w:styleId="USNumbera">
    <w:name w:val="US Number a"/>
    <w:basedOn w:val="Normal"/>
    <w:uiPriority w:val="16"/>
    <w:rsid w:val="006D158B"/>
    <w:pPr>
      <w:numPr>
        <w:ilvl w:val="1"/>
        <w:numId w:val="3"/>
      </w:numPr>
    </w:pPr>
  </w:style>
  <w:style w:type="paragraph" w:customStyle="1" w:styleId="USNumberi">
    <w:name w:val="US Number i"/>
    <w:basedOn w:val="Normal"/>
    <w:uiPriority w:val="16"/>
    <w:rsid w:val="006D158B"/>
    <w:pPr>
      <w:numPr>
        <w:ilvl w:val="2"/>
        <w:numId w:val="3"/>
      </w:numPr>
    </w:pPr>
  </w:style>
  <w:style w:type="paragraph" w:customStyle="1" w:styleId="USIndent1">
    <w:name w:val="US Indent 1"/>
    <w:basedOn w:val="Normal"/>
    <w:uiPriority w:val="17"/>
    <w:qFormat/>
    <w:rsid w:val="00C7648A"/>
    <w:pPr>
      <w:ind w:left="1276"/>
    </w:pPr>
  </w:style>
  <w:style w:type="paragraph" w:customStyle="1" w:styleId="USIndent2">
    <w:name w:val="US Indent 2"/>
    <w:basedOn w:val="Normal"/>
    <w:uiPriority w:val="17"/>
    <w:rsid w:val="00273D60"/>
    <w:pPr>
      <w:ind w:left="1701"/>
    </w:pPr>
  </w:style>
  <w:style w:type="paragraph" w:customStyle="1" w:styleId="USIndent3">
    <w:name w:val="US Indent 3"/>
    <w:basedOn w:val="Normal"/>
    <w:uiPriority w:val="17"/>
    <w:rsid w:val="00273D60"/>
    <w:pPr>
      <w:ind w:left="2126"/>
    </w:pPr>
  </w:style>
  <w:style w:type="paragraph" w:customStyle="1" w:styleId="Quotation">
    <w:name w:val="Quotation"/>
    <w:basedOn w:val="Normal"/>
    <w:uiPriority w:val="18"/>
    <w:qFormat/>
    <w:rsid w:val="008B544F"/>
    <w:pPr>
      <w:spacing w:before="120"/>
      <w:ind w:left="1276" w:right="425"/>
    </w:pPr>
    <w:rPr>
      <w:i/>
      <w:color w:val="30353F"/>
    </w:rPr>
  </w:style>
  <w:style w:type="character" w:customStyle="1" w:styleId="Heading2Char">
    <w:name w:val="Heading 2 Char"/>
    <w:basedOn w:val="DefaultParagraphFont"/>
    <w:link w:val="Heading2"/>
    <w:uiPriority w:val="9"/>
    <w:rsid w:val="006D0BF3"/>
    <w:rPr>
      <w:rFonts w:ascii="Calibri" w:eastAsiaTheme="majorEastAsia" w:hAnsi="Calibri" w:cstheme="majorBidi"/>
      <w:b/>
      <w:color w:val="0094C5" w:themeColor="accent1"/>
      <w:sz w:val="26"/>
      <w:szCs w:val="26"/>
    </w:rPr>
  </w:style>
  <w:style w:type="paragraph" w:customStyle="1" w:styleId="USSingleSpacedParagraph">
    <w:name w:val="US Single Spaced Paragraph"/>
    <w:basedOn w:val="USBodyText"/>
    <w:uiPriority w:val="15"/>
    <w:rsid w:val="00273D60"/>
    <w:pPr>
      <w:spacing w:after="0"/>
    </w:pPr>
  </w:style>
  <w:style w:type="character" w:customStyle="1" w:styleId="Heading3Char">
    <w:name w:val="Heading 3 Char"/>
    <w:basedOn w:val="DefaultParagraphFont"/>
    <w:link w:val="Heading3"/>
    <w:uiPriority w:val="9"/>
    <w:rsid w:val="006D0BF3"/>
    <w:rPr>
      <w:rFonts w:ascii="Calibri" w:eastAsiaTheme="majorEastAsia" w:hAnsi="Calibri" w:cstheme="majorBidi"/>
      <w:b/>
      <w:color w:val="0094C5" w:themeColor="accent1"/>
      <w:sz w:val="24"/>
      <w:szCs w:val="24"/>
    </w:rPr>
  </w:style>
  <w:style w:type="character" w:customStyle="1" w:styleId="Heading4Char">
    <w:name w:val="Heading 4 Char"/>
    <w:basedOn w:val="DefaultParagraphFont"/>
    <w:link w:val="Heading4"/>
    <w:uiPriority w:val="12"/>
    <w:rsid w:val="007B14FD"/>
    <w:rPr>
      <w:rFonts w:ascii="Calibri" w:eastAsiaTheme="majorEastAsia" w:hAnsi="Calibri" w:cstheme="majorBidi"/>
      <w:b/>
      <w:iCs/>
      <w:color w:val="0094C5" w:themeColor="accent1"/>
      <w:sz w:val="24"/>
    </w:rPr>
  </w:style>
  <w:style w:type="character" w:customStyle="1" w:styleId="Heading5Char">
    <w:name w:val="Heading 5 Char"/>
    <w:basedOn w:val="DefaultParagraphFont"/>
    <w:link w:val="Heading5"/>
    <w:uiPriority w:val="12"/>
    <w:rsid w:val="007B14FD"/>
    <w:rPr>
      <w:rFonts w:ascii="Calibri" w:eastAsiaTheme="majorEastAsia" w:hAnsi="Calibri" w:cstheme="majorBidi"/>
      <w:b/>
      <w:color w:val="30353F"/>
    </w:rPr>
  </w:style>
  <w:style w:type="paragraph" w:styleId="FootnoteText">
    <w:name w:val="footnote text"/>
    <w:basedOn w:val="Normal"/>
    <w:link w:val="FootnoteTextChar"/>
    <w:uiPriority w:val="99"/>
    <w:qFormat/>
    <w:rsid w:val="00534AC9"/>
    <w:pPr>
      <w:tabs>
        <w:tab w:val="left" w:pos="425"/>
      </w:tabs>
      <w:spacing w:after="57" w:line="170" w:lineRule="atLeast"/>
      <w:ind w:left="425" w:hanging="425"/>
    </w:pPr>
    <w:rPr>
      <w:sz w:val="16"/>
      <w:szCs w:val="20"/>
    </w:rPr>
  </w:style>
  <w:style w:type="character" w:customStyle="1" w:styleId="FootnoteTextChar">
    <w:name w:val="Footnote Text Char"/>
    <w:basedOn w:val="DefaultParagraphFont"/>
    <w:link w:val="FootnoteText"/>
    <w:uiPriority w:val="99"/>
    <w:rsid w:val="006D0BF3"/>
    <w:rPr>
      <w:rFonts w:ascii="Calibri" w:hAnsi="Calibri"/>
      <w:sz w:val="16"/>
      <w:szCs w:val="20"/>
    </w:rPr>
  </w:style>
  <w:style w:type="character" w:styleId="FootnoteReference">
    <w:name w:val="footnote reference"/>
    <w:basedOn w:val="DefaultParagraphFont"/>
    <w:uiPriority w:val="99"/>
    <w:unhideWhenUsed/>
    <w:qFormat/>
    <w:rsid w:val="00834343"/>
    <w:rPr>
      <w:vertAlign w:val="superscript"/>
    </w:rPr>
  </w:style>
  <w:style w:type="table" w:customStyle="1" w:styleId="TableDefault">
    <w:name w:val="Table Default"/>
    <w:basedOn w:val="TableNormal"/>
    <w:uiPriority w:val="99"/>
    <w:rsid w:val="00F40CA2"/>
    <w:pPr>
      <w:spacing w:after="0" w:line="240" w:lineRule="auto"/>
    </w:pPr>
    <w:tblPr>
      <w:tblStyleRowBandSize w:val="1"/>
      <w:tblStyleColBandSize w:val="1"/>
      <w:tblInd w:w="851" w:type="dxa"/>
      <w:tblBorders>
        <w:top w:val="single" w:sz="6" w:space="0" w:color="0094C5" w:themeColor="accent1"/>
        <w:bottom w:val="single" w:sz="6" w:space="0" w:color="0094C5" w:themeColor="accent1"/>
        <w:insideH w:val="single" w:sz="6" w:space="0" w:color="0094C5" w:themeColor="accent1"/>
      </w:tblBorders>
    </w:tblPr>
    <w:tblStylePr w:type="firstRow">
      <w:tblPr/>
      <w:trPr>
        <w:tblHeader/>
      </w:trPr>
      <w:tcPr>
        <w:shd w:val="clear" w:color="auto" w:fill="0094C5" w:themeFill="accent1"/>
      </w:tcPr>
    </w:tblStylePr>
    <w:tblStylePr w:type="lastRow">
      <w:tblPr/>
      <w:tcPr>
        <w:tcBorders>
          <w:top w:val="nil"/>
          <w:left w:val="nil"/>
          <w:bottom w:val="single" w:sz="12" w:space="0" w:color="0094C5"/>
          <w:right w:val="nil"/>
          <w:insideH w:val="nil"/>
          <w:insideV w:val="nil"/>
          <w:tl2br w:val="nil"/>
          <w:tr2bl w:val="nil"/>
        </w:tcBorders>
      </w:tcPr>
    </w:tblStylePr>
    <w:tblStylePr w:type="band2Horz">
      <w:tblPr/>
      <w:tcPr>
        <w:shd w:val="clear" w:color="auto" w:fill="EEECF0"/>
      </w:tcPr>
    </w:tblStylePr>
  </w:style>
  <w:style w:type="paragraph" w:styleId="Caption">
    <w:name w:val="caption"/>
    <w:basedOn w:val="Normal"/>
    <w:next w:val="USBodyText"/>
    <w:uiPriority w:val="33"/>
    <w:semiHidden/>
    <w:rsid w:val="00E01501"/>
    <w:pPr>
      <w:keepNext/>
      <w:tabs>
        <w:tab w:val="left" w:pos="851"/>
      </w:tabs>
      <w:spacing w:before="360" w:after="0" w:line="300" w:lineRule="atLeast"/>
      <w:ind w:left="1900" w:hanging="1049"/>
    </w:pPr>
    <w:rPr>
      <w:b/>
      <w:iCs/>
      <w:color w:val="0094C5"/>
      <w:sz w:val="24"/>
      <w:szCs w:val="18"/>
    </w:rPr>
  </w:style>
  <w:style w:type="paragraph" w:customStyle="1" w:styleId="TSTableNormal1">
    <w:name w:val="TS Table Normal1"/>
    <w:basedOn w:val="Normal"/>
    <w:uiPriority w:val="49"/>
    <w:semiHidden/>
    <w:rsid w:val="005B31F9"/>
    <w:pPr>
      <w:spacing w:before="60" w:after="60" w:line="220" w:lineRule="atLeast"/>
    </w:pPr>
    <w:rPr>
      <w:sz w:val="18"/>
    </w:rPr>
  </w:style>
  <w:style w:type="paragraph" w:customStyle="1" w:styleId="TSTableHeadingWhite-TopRow">
    <w:name w:val="TS Table Heading White - Top Row"/>
    <w:basedOn w:val="TSTableNormal1"/>
    <w:uiPriority w:val="41"/>
    <w:rsid w:val="00E85056"/>
    <w:pPr>
      <w:keepNext/>
      <w:keepLines/>
      <w:spacing w:before="80" w:after="80"/>
    </w:pPr>
    <w:rPr>
      <w:b/>
      <w:color w:val="FFFFFF"/>
    </w:rPr>
  </w:style>
  <w:style w:type="paragraph" w:customStyle="1" w:styleId="TSBodyText">
    <w:name w:val="TS Body Text"/>
    <w:basedOn w:val="TSTableNormal1"/>
    <w:uiPriority w:val="42"/>
    <w:rsid w:val="00E457E0"/>
  </w:style>
  <w:style w:type="paragraph" w:customStyle="1" w:styleId="TSTextBodyText">
    <w:name w:val="TS Text (Body Text)"/>
    <w:basedOn w:val="TSTableNormal1"/>
    <w:uiPriority w:val="39"/>
    <w:semiHidden/>
    <w:rsid w:val="00CB496D"/>
    <w:pPr>
      <w:keepNext/>
    </w:pPr>
  </w:style>
  <w:style w:type="paragraph" w:customStyle="1" w:styleId="TSNumber1">
    <w:name w:val="TS Number 1"/>
    <w:basedOn w:val="TSTableNormal1"/>
    <w:uiPriority w:val="43"/>
    <w:rsid w:val="00DA2CC5"/>
    <w:pPr>
      <w:numPr>
        <w:numId w:val="8"/>
      </w:numPr>
    </w:pPr>
  </w:style>
  <w:style w:type="paragraph" w:customStyle="1" w:styleId="TSNumbera">
    <w:name w:val="TS Number a"/>
    <w:basedOn w:val="TSTableNormal1"/>
    <w:uiPriority w:val="43"/>
    <w:rsid w:val="00DA2CC5"/>
    <w:pPr>
      <w:numPr>
        <w:ilvl w:val="1"/>
        <w:numId w:val="8"/>
      </w:numPr>
      <w:tabs>
        <w:tab w:val="left" w:pos="425"/>
      </w:tabs>
      <w:ind w:left="430" w:hanging="215"/>
    </w:pPr>
  </w:style>
  <w:style w:type="paragraph" w:customStyle="1" w:styleId="TSNumberi">
    <w:name w:val="TS Number i"/>
    <w:basedOn w:val="TSTableNormal1"/>
    <w:uiPriority w:val="43"/>
    <w:rsid w:val="00DA2CC5"/>
    <w:pPr>
      <w:numPr>
        <w:ilvl w:val="2"/>
        <w:numId w:val="8"/>
      </w:numPr>
      <w:tabs>
        <w:tab w:val="left" w:pos="641"/>
      </w:tabs>
      <w:ind w:left="640" w:hanging="215"/>
    </w:pPr>
  </w:style>
  <w:style w:type="paragraph" w:customStyle="1" w:styleId="TSIndent1">
    <w:name w:val="TS Indent 1"/>
    <w:basedOn w:val="TSTableNormal1"/>
    <w:uiPriority w:val="43"/>
    <w:rsid w:val="00E85056"/>
    <w:pPr>
      <w:ind w:left="215"/>
    </w:pPr>
  </w:style>
  <w:style w:type="paragraph" w:customStyle="1" w:styleId="TSIndent2">
    <w:name w:val="TS Indent 2"/>
    <w:basedOn w:val="TSTableNormal1"/>
    <w:uiPriority w:val="43"/>
    <w:rsid w:val="00E85056"/>
    <w:pPr>
      <w:ind w:left="425"/>
    </w:pPr>
  </w:style>
  <w:style w:type="paragraph" w:customStyle="1" w:styleId="TSIndent3">
    <w:name w:val="TS Indent 3"/>
    <w:basedOn w:val="TSTableNormal1"/>
    <w:uiPriority w:val="43"/>
    <w:rsid w:val="00E85056"/>
    <w:pPr>
      <w:ind w:left="641"/>
    </w:pPr>
  </w:style>
  <w:style w:type="paragraph" w:customStyle="1" w:styleId="USWhiteSpace">
    <w:name w:val="US White Space"/>
    <w:basedOn w:val="Normal"/>
    <w:uiPriority w:val="45"/>
    <w:rsid w:val="00A16BDB"/>
    <w:pPr>
      <w:spacing w:after="0" w:line="240" w:lineRule="auto"/>
      <w:ind w:left="851"/>
    </w:pPr>
    <w:rPr>
      <w:sz w:val="12"/>
    </w:rPr>
  </w:style>
  <w:style w:type="paragraph" w:customStyle="1" w:styleId="TSBodyHeading">
    <w:name w:val="TS Body Heading"/>
    <w:basedOn w:val="TSBodyText"/>
    <w:next w:val="TSTextBodyText"/>
    <w:uiPriority w:val="42"/>
    <w:rsid w:val="005B31F9"/>
    <w:pPr>
      <w:spacing w:before="120" w:after="0"/>
    </w:pPr>
    <w:rPr>
      <w:b/>
    </w:rPr>
  </w:style>
  <w:style w:type="paragraph" w:customStyle="1" w:styleId="TSMixedB2">
    <w:name w:val="TS Mixed B2"/>
    <w:basedOn w:val="TSTableNormal1"/>
    <w:uiPriority w:val="43"/>
    <w:semiHidden/>
    <w:rsid w:val="00A365B0"/>
    <w:pPr>
      <w:numPr>
        <w:numId w:val="7"/>
      </w:numPr>
    </w:pPr>
  </w:style>
  <w:style w:type="paragraph" w:customStyle="1" w:styleId="TSMixedB3">
    <w:name w:val="TS Mixed B3"/>
    <w:basedOn w:val="TSTableNormal1"/>
    <w:uiPriority w:val="43"/>
    <w:semiHidden/>
    <w:rsid w:val="009D78B4"/>
    <w:pPr>
      <w:numPr>
        <w:ilvl w:val="1"/>
        <w:numId w:val="7"/>
      </w:numPr>
      <w:ind w:left="640" w:hanging="215"/>
    </w:pPr>
  </w:style>
  <w:style w:type="paragraph" w:customStyle="1" w:styleId="USSource">
    <w:name w:val="US Source"/>
    <w:basedOn w:val="Normal"/>
    <w:uiPriority w:val="45"/>
    <w:rsid w:val="00590C9C"/>
    <w:pPr>
      <w:spacing w:before="120" w:after="360" w:line="220" w:lineRule="atLeast"/>
      <w:ind w:left="851"/>
    </w:pPr>
    <w:rPr>
      <w:sz w:val="18"/>
    </w:rPr>
  </w:style>
  <w:style w:type="paragraph" w:customStyle="1" w:styleId="USNotes">
    <w:name w:val="US Notes"/>
    <w:basedOn w:val="TSTableNormal1"/>
    <w:uiPriority w:val="45"/>
    <w:rsid w:val="004E21BB"/>
    <w:pPr>
      <w:numPr>
        <w:numId w:val="5"/>
      </w:numPr>
    </w:pPr>
  </w:style>
  <w:style w:type="paragraph" w:customStyle="1" w:styleId="TSTextSingle">
    <w:name w:val="TS Text (Single)"/>
    <w:basedOn w:val="TSBodyText"/>
    <w:uiPriority w:val="44"/>
    <w:rsid w:val="00410845"/>
    <w:pPr>
      <w:spacing w:before="0" w:after="0"/>
    </w:pPr>
  </w:style>
  <w:style w:type="paragraph" w:customStyle="1" w:styleId="TSBullet1">
    <w:name w:val="TS Bullet 1"/>
    <w:basedOn w:val="TSTableNormal1"/>
    <w:uiPriority w:val="43"/>
    <w:rsid w:val="00E85056"/>
    <w:pPr>
      <w:numPr>
        <w:numId w:val="6"/>
      </w:numPr>
    </w:pPr>
  </w:style>
  <w:style w:type="paragraph" w:customStyle="1" w:styleId="TSBullet2">
    <w:name w:val="TS Bullet 2"/>
    <w:basedOn w:val="TSTableNormal1"/>
    <w:uiPriority w:val="43"/>
    <w:rsid w:val="00DA2CC5"/>
    <w:pPr>
      <w:numPr>
        <w:ilvl w:val="1"/>
        <w:numId w:val="6"/>
      </w:numPr>
      <w:ind w:left="430" w:hanging="215"/>
    </w:pPr>
  </w:style>
  <w:style w:type="paragraph" w:customStyle="1" w:styleId="TSBullet3">
    <w:name w:val="TS Bullet 3"/>
    <w:basedOn w:val="TSTableNormal1"/>
    <w:uiPriority w:val="43"/>
    <w:rsid w:val="00E85056"/>
    <w:pPr>
      <w:numPr>
        <w:ilvl w:val="2"/>
        <w:numId w:val="6"/>
      </w:numPr>
      <w:ind w:left="640" w:hanging="215"/>
    </w:pPr>
  </w:style>
  <w:style w:type="character" w:customStyle="1" w:styleId="Heading6Char">
    <w:name w:val="Heading 6 Char"/>
    <w:basedOn w:val="DefaultParagraphFont"/>
    <w:link w:val="Heading6"/>
    <w:uiPriority w:val="12"/>
    <w:semiHidden/>
    <w:rsid w:val="006D0BF3"/>
    <w:rPr>
      <w:rFonts w:asciiTheme="majorHAnsi" w:eastAsiaTheme="majorEastAsia" w:hAnsiTheme="majorHAnsi" w:cstheme="majorBidi"/>
      <w:color w:val="004962" w:themeColor="accent1" w:themeShade="7F"/>
    </w:rPr>
  </w:style>
  <w:style w:type="character" w:customStyle="1" w:styleId="Heading7Char">
    <w:name w:val="Heading 7 Char"/>
    <w:basedOn w:val="DefaultParagraphFont"/>
    <w:link w:val="Heading7"/>
    <w:uiPriority w:val="12"/>
    <w:semiHidden/>
    <w:rsid w:val="006D0BF3"/>
    <w:rPr>
      <w:rFonts w:asciiTheme="majorHAnsi" w:eastAsiaTheme="majorEastAsia" w:hAnsiTheme="majorHAnsi" w:cstheme="majorBidi"/>
      <w:i/>
      <w:iCs/>
      <w:color w:val="004962" w:themeColor="accent1" w:themeShade="7F"/>
    </w:rPr>
  </w:style>
  <w:style w:type="character" w:customStyle="1" w:styleId="Heading8Char">
    <w:name w:val="Heading 8 Char"/>
    <w:basedOn w:val="DefaultParagraphFont"/>
    <w:link w:val="Heading8"/>
    <w:uiPriority w:val="12"/>
    <w:semiHidden/>
    <w:rsid w:val="006D0BF3"/>
    <w:rPr>
      <w:rFonts w:asciiTheme="majorHAnsi" w:eastAsiaTheme="majorEastAsia" w:hAnsiTheme="majorHAnsi" w:cstheme="majorBidi"/>
      <w:color w:val="4A5261" w:themeColor="text1" w:themeTint="D8"/>
      <w:sz w:val="21"/>
      <w:szCs w:val="21"/>
    </w:rPr>
  </w:style>
  <w:style w:type="character" w:customStyle="1" w:styleId="Heading9Char">
    <w:name w:val="Heading 9 Char"/>
    <w:basedOn w:val="DefaultParagraphFont"/>
    <w:link w:val="Heading9"/>
    <w:uiPriority w:val="12"/>
    <w:semiHidden/>
    <w:rsid w:val="006D0BF3"/>
    <w:rPr>
      <w:rFonts w:asciiTheme="majorHAnsi" w:eastAsiaTheme="majorEastAsia" w:hAnsiTheme="majorHAnsi" w:cstheme="majorBidi"/>
      <w:i/>
      <w:iCs/>
      <w:color w:val="4A5261" w:themeColor="text1" w:themeTint="D8"/>
      <w:sz w:val="21"/>
      <w:szCs w:val="21"/>
    </w:rPr>
  </w:style>
  <w:style w:type="paragraph" w:customStyle="1" w:styleId="ApxHeading1">
    <w:name w:val="Apx Heading 1"/>
    <w:basedOn w:val="Heading1"/>
    <w:next w:val="USBodyText"/>
    <w:uiPriority w:val="13"/>
    <w:qFormat/>
    <w:rsid w:val="00D454F0"/>
    <w:pPr>
      <w:numPr>
        <w:numId w:val="4"/>
      </w:numPr>
      <w:outlineLvl w:val="5"/>
    </w:pPr>
    <w:rPr>
      <w:color w:val="0094C5" w:themeColor="accent1"/>
    </w:rPr>
  </w:style>
  <w:style w:type="paragraph" w:customStyle="1" w:styleId="ApxHeading2">
    <w:name w:val="Apx Heading 2"/>
    <w:basedOn w:val="USBodyText"/>
    <w:next w:val="USBodyText"/>
    <w:uiPriority w:val="13"/>
    <w:qFormat/>
    <w:rsid w:val="00D454F0"/>
    <w:pPr>
      <w:keepNext/>
      <w:keepLines/>
      <w:numPr>
        <w:ilvl w:val="1"/>
        <w:numId w:val="4"/>
      </w:numPr>
      <w:spacing w:before="360" w:after="80" w:line="320" w:lineRule="atLeast"/>
      <w:outlineLvl w:val="6"/>
    </w:pPr>
    <w:rPr>
      <w:b/>
      <w:color w:val="0094C5" w:themeColor="accent1"/>
      <w:sz w:val="26"/>
    </w:rPr>
  </w:style>
  <w:style w:type="paragraph" w:customStyle="1" w:styleId="ApxHeading3">
    <w:name w:val="Apx Heading 3"/>
    <w:basedOn w:val="USBodyText"/>
    <w:next w:val="USBodyText"/>
    <w:uiPriority w:val="13"/>
    <w:qFormat/>
    <w:rsid w:val="00D454F0"/>
    <w:pPr>
      <w:keepNext/>
      <w:keepLines/>
      <w:numPr>
        <w:ilvl w:val="2"/>
        <w:numId w:val="4"/>
      </w:numPr>
      <w:spacing w:before="260" w:line="300" w:lineRule="atLeast"/>
      <w:outlineLvl w:val="7"/>
    </w:pPr>
    <w:rPr>
      <w:b/>
      <w:color w:val="0094C5" w:themeColor="accent1"/>
      <w:sz w:val="24"/>
    </w:rPr>
  </w:style>
  <w:style w:type="paragraph" w:customStyle="1" w:styleId="ApxHeading4">
    <w:name w:val="Apx Heading 4"/>
    <w:basedOn w:val="USBodyText"/>
    <w:next w:val="USBodyText"/>
    <w:uiPriority w:val="13"/>
    <w:rsid w:val="007B14FD"/>
    <w:pPr>
      <w:keepNext/>
      <w:keepLines/>
      <w:spacing w:before="200" w:after="40" w:line="320" w:lineRule="atLeast"/>
      <w:outlineLvl w:val="8"/>
    </w:pPr>
    <w:rPr>
      <w:b/>
      <w:color w:val="0094C5" w:themeColor="accent1"/>
      <w:sz w:val="24"/>
    </w:rPr>
  </w:style>
  <w:style w:type="paragraph" w:customStyle="1" w:styleId="ApxHeading5">
    <w:name w:val="Apx Heading 5"/>
    <w:basedOn w:val="USBodyText"/>
    <w:next w:val="USBodyText"/>
    <w:uiPriority w:val="13"/>
    <w:rsid w:val="007B14FD"/>
    <w:pPr>
      <w:keepNext/>
      <w:keepLines/>
      <w:spacing w:before="160" w:after="0" w:line="300" w:lineRule="atLeast"/>
    </w:pPr>
    <w:rPr>
      <w:b/>
      <w:color w:val="30353F"/>
    </w:rPr>
  </w:style>
  <w:style w:type="table" w:styleId="TableGridLight">
    <w:name w:val="Grid Table Light"/>
    <w:basedOn w:val="TableNormal"/>
    <w:uiPriority w:val="40"/>
    <w:rsid w:val="00916CFA"/>
    <w:pPr>
      <w:spacing w:after="0" w:line="240" w:lineRule="auto"/>
    </w:pPr>
    <w:tblPr>
      <w:tblInd w:w="8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USPlaceholder">
    <w:name w:val="US Placeholder"/>
    <w:basedOn w:val="Normal"/>
    <w:uiPriority w:val="45"/>
    <w:rsid w:val="002B7C24"/>
    <w:pPr>
      <w:keepNext/>
      <w:spacing w:after="0" w:line="240" w:lineRule="auto"/>
      <w:ind w:left="851"/>
    </w:pPr>
    <w:rPr>
      <w:noProof/>
    </w:rPr>
  </w:style>
  <w:style w:type="paragraph" w:customStyle="1" w:styleId="USNotesHeading">
    <w:name w:val="US Notes (Heading)"/>
    <w:basedOn w:val="TSTableNormal1"/>
    <w:uiPriority w:val="45"/>
    <w:rsid w:val="00A16BDB"/>
    <w:pPr>
      <w:keepNext/>
      <w:keepLines/>
      <w:spacing w:before="120"/>
      <w:ind w:left="851"/>
    </w:pPr>
    <w:rPr>
      <w:b/>
    </w:rPr>
  </w:style>
  <w:style w:type="paragraph" w:styleId="BalloonText">
    <w:name w:val="Balloon Text"/>
    <w:basedOn w:val="Normal"/>
    <w:link w:val="BalloonTextChar"/>
    <w:uiPriority w:val="99"/>
    <w:semiHidden/>
    <w:unhideWhenUsed/>
    <w:rsid w:val="006315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510"/>
    <w:rPr>
      <w:rFonts w:ascii="Segoe UI" w:hAnsi="Segoe UI" w:cs="Segoe UI"/>
      <w:sz w:val="18"/>
      <w:szCs w:val="18"/>
    </w:rPr>
  </w:style>
  <w:style w:type="paragraph" w:customStyle="1" w:styleId="CoverTitle">
    <w:name w:val="Cover Title"/>
    <w:basedOn w:val="Normal"/>
    <w:next w:val="Normal"/>
    <w:uiPriority w:val="54"/>
    <w:rsid w:val="006D0BF3"/>
    <w:pPr>
      <w:keepNext/>
      <w:spacing w:before="1200" w:line="620" w:lineRule="atLeast"/>
    </w:pPr>
    <w:rPr>
      <w:b/>
      <w:color w:val="0094C5" w:themeColor="accent1"/>
      <w:sz w:val="56"/>
    </w:rPr>
  </w:style>
  <w:style w:type="paragraph" w:customStyle="1" w:styleId="CoverSubheading">
    <w:name w:val="Cover Subheading"/>
    <w:basedOn w:val="CoverSubTitle"/>
    <w:uiPriority w:val="54"/>
    <w:rsid w:val="00F06449"/>
    <w:pPr>
      <w:spacing w:after="60" w:line="300" w:lineRule="atLeast"/>
    </w:pPr>
    <w:rPr>
      <w:color w:val="30353F"/>
      <w:sz w:val="24"/>
    </w:rPr>
  </w:style>
  <w:style w:type="paragraph" w:customStyle="1" w:styleId="CoverSubTitle">
    <w:name w:val="Cover SubTitle"/>
    <w:basedOn w:val="Normal"/>
    <w:uiPriority w:val="54"/>
    <w:rsid w:val="006D0BF3"/>
    <w:pPr>
      <w:keepNext/>
      <w:spacing w:before="120" w:after="480" w:line="460" w:lineRule="atLeast"/>
    </w:pPr>
    <w:rPr>
      <w:b/>
      <w:sz w:val="40"/>
    </w:rPr>
  </w:style>
  <w:style w:type="paragraph" w:customStyle="1" w:styleId="CoverSubsubheading">
    <w:name w:val="Cover Sub subheading"/>
    <w:basedOn w:val="CoverSubheading"/>
    <w:uiPriority w:val="54"/>
    <w:rsid w:val="004D53BA"/>
    <w:pPr>
      <w:spacing w:after="0" w:line="260" w:lineRule="atLeast"/>
    </w:pPr>
    <w:rPr>
      <w:b w:val="0"/>
      <w:sz w:val="20"/>
    </w:rPr>
  </w:style>
  <w:style w:type="paragraph" w:customStyle="1" w:styleId="HeadingContents">
    <w:name w:val="Heading Contents"/>
    <w:basedOn w:val="Heading1"/>
    <w:uiPriority w:val="55"/>
    <w:rsid w:val="00DE7FA6"/>
    <w:pPr>
      <w:pageBreakBefore/>
      <w:numPr>
        <w:numId w:val="0"/>
      </w:numPr>
      <w:spacing w:after="220"/>
      <w:outlineLvl w:val="9"/>
    </w:pPr>
  </w:style>
  <w:style w:type="paragraph" w:styleId="TOC1">
    <w:name w:val="toc 1"/>
    <w:basedOn w:val="Normal"/>
    <w:next w:val="Normal"/>
    <w:uiPriority w:val="39"/>
    <w:qFormat/>
    <w:rsid w:val="004F160B"/>
    <w:pPr>
      <w:tabs>
        <w:tab w:val="left" w:pos="567"/>
        <w:tab w:val="right" w:leader="dot" w:pos="9072"/>
      </w:tabs>
      <w:spacing w:before="120" w:after="0"/>
      <w:ind w:left="567" w:right="567" w:hanging="567"/>
    </w:pPr>
  </w:style>
  <w:style w:type="paragraph" w:styleId="TOC2">
    <w:name w:val="toc 2"/>
    <w:basedOn w:val="Normal"/>
    <w:next w:val="Normal"/>
    <w:uiPriority w:val="39"/>
    <w:qFormat/>
    <w:rsid w:val="004F160B"/>
    <w:pPr>
      <w:tabs>
        <w:tab w:val="left" w:pos="1134"/>
        <w:tab w:val="right" w:leader="dot" w:pos="9072"/>
      </w:tabs>
      <w:spacing w:after="0"/>
      <w:ind w:left="1134" w:right="567" w:hanging="567"/>
    </w:pPr>
  </w:style>
  <w:style w:type="paragraph" w:styleId="TOC3">
    <w:name w:val="toc 3"/>
    <w:basedOn w:val="Normal"/>
    <w:next w:val="Normal"/>
    <w:uiPriority w:val="39"/>
    <w:rsid w:val="004D781B"/>
    <w:pPr>
      <w:tabs>
        <w:tab w:val="left" w:pos="1843"/>
        <w:tab w:val="right" w:leader="dot" w:pos="9072"/>
      </w:tabs>
      <w:spacing w:after="0"/>
      <w:ind w:left="1843" w:right="567" w:hanging="709"/>
    </w:pPr>
  </w:style>
  <w:style w:type="character" w:styleId="Hyperlink">
    <w:name w:val="Hyperlink"/>
    <w:basedOn w:val="DefaultParagraphFont"/>
    <w:uiPriority w:val="99"/>
    <w:rsid w:val="00CC1FF1"/>
    <w:rPr>
      <w:color w:val="0094C5"/>
      <w:u w:val="single"/>
    </w:rPr>
  </w:style>
  <w:style w:type="paragraph" w:styleId="TOC4">
    <w:name w:val="toc 4"/>
    <w:basedOn w:val="Normal"/>
    <w:next w:val="Normal"/>
    <w:uiPriority w:val="39"/>
    <w:rsid w:val="001F323D"/>
    <w:pPr>
      <w:tabs>
        <w:tab w:val="right" w:leader="dot" w:pos="9072"/>
      </w:tabs>
      <w:spacing w:after="0"/>
      <w:ind w:left="1843" w:right="567"/>
    </w:pPr>
  </w:style>
  <w:style w:type="paragraph" w:styleId="TOC5">
    <w:name w:val="toc 5"/>
    <w:basedOn w:val="Normal"/>
    <w:next w:val="Normal"/>
    <w:uiPriority w:val="39"/>
    <w:rsid w:val="001F323D"/>
    <w:pPr>
      <w:tabs>
        <w:tab w:val="right" w:leader="dot" w:pos="9072"/>
      </w:tabs>
      <w:spacing w:after="0"/>
      <w:ind w:left="2268" w:right="567"/>
    </w:pPr>
  </w:style>
  <w:style w:type="paragraph" w:styleId="TOC8">
    <w:name w:val="toc 8"/>
    <w:basedOn w:val="TOC3"/>
    <w:next w:val="Normal"/>
    <w:uiPriority w:val="39"/>
    <w:rsid w:val="004761CC"/>
  </w:style>
  <w:style w:type="paragraph" w:styleId="TOC9">
    <w:name w:val="toc 9"/>
    <w:basedOn w:val="TOC4"/>
    <w:next w:val="Normal"/>
    <w:uiPriority w:val="39"/>
    <w:rsid w:val="00780A71"/>
    <w:pPr>
      <w:tabs>
        <w:tab w:val="left" w:leader="dot" w:pos="1701"/>
      </w:tabs>
      <w:ind w:left="2694" w:hanging="851"/>
    </w:pPr>
  </w:style>
  <w:style w:type="paragraph" w:styleId="TableofFigures">
    <w:name w:val="table of figures"/>
    <w:basedOn w:val="Normal"/>
    <w:next w:val="Normal"/>
    <w:uiPriority w:val="99"/>
    <w:unhideWhenUsed/>
    <w:rsid w:val="00D95F03"/>
    <w:pPr>
      <w:tabs>
        <w:tab w:val="left" w:pos="1049"/>
        <w:tab w:val="right" w:leader="dot" w:pos="9072"/>
      </w:tabs>
      <w:spacing w:after="0"/>
      <w:ind w:left="1049" w:right="567" w:hanging="1049"/>
    </w:pPr>
  </w:style>
  <w:style w:type="paragraph" w:styleId="TOC7">
    <w:name w:val="toc 7"/>
    <w:basedOn w:val="TOC2"/>
    <w:next w:val="Normal"/>
    <w:uiPriority w:val="39"/>
    <w:rsid w:val="004761CC"/>
  </w:style>
  <w:style w:type="paragraph" w:styleId="TOC6">
    <w:name w:val="toc 6"/>
    <w:basedOn w:val="TOC1"/>
    <w:next w:val="Normal"/>
    <w:uiPriority w:val="39"/>
    <w:rsid w:val="004761CC"/>
    <w:pPr>
      <w:tabs>
        <w:tab w:val="clear" w:pos="9072"/>
        <w:tab w:val="right" w:leader="dot" w:pos="9060"/>
      </w:tabs>
    </w:pPr>
  </w:style>
  <w:style w:type="table" w:styleId="PlainTable3">
    <w:name w:val="Plain Table 3"/>
    <w:basedOn w:val="TableNormal"/>
    <w:uiPriority w:val="43"/>
    <w:rsid w:val="00916CFA"/>
    <w:pPr>
      <w:spacing w:after="0" w:line="240" w:lineRule="auto"/>
    </w:pPr>
    <w:tblPr>
      <w:tblStyleRowBandSize w:val="1"/>
      <w:tblStyleColBandSize w:val="1"/>
      <w:tblInd w:w="851" w:type="dxa"/>
    </w:tblPr>
    <w:tblStylePr w:type="firstRow">
      <w:rPr>
        <w:b/>
        <w:bCs/>
        <w:caps/>
      </w:rPr>
      <w:tblPr/>
      <w:tcPr>
        <w:tcBorders>
          <w:bottom w:val="single" w:sz="4" w:space="0" w:color="8D96A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D96A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USNote">
    <w:name w:val="US Note"/>
    <w:basedOn w:val="USNotes"/>
    <w:uiPriority w:val="45"/>
    <w:rsid w:val="004726FD"/>
    <w:pPr>
      <w:numPr>
        <w:numId w:val="0"/>
      </w:numPr>
      <w:ind w:left="851"/>
    </w:pPr>
  </w:style>
  <w:style w:type="paragraph" w:customStyle="1" w:styleId="USPullQuoteCharcoal">
    <w:name w:val="US Pull Quote Charcoal"/>
    <w:basedOn w:val="Normal"/>
    <w:uiPriority w:val="18"/>
    <w:rsid w:val="00EC22B7"/>
    <w:pPr>
      <w:pBdr>
        <w:top w:val="single" w:sz="4" w:space="14" w:color="auto"/>
        <w:bottom w:val="single" w:sz="4" w:space="14" w:color="auto"/>
      </w:pBdr>
      <w:spacing w:before="360" w:after="360" w:line="340" w:lineRule="atLeast"/>
      <w:ind w:left="851"/>
    </w:pPr>
    <w:rPr>
      <w:b/>
      <w:color w:val="30353F"/>
      <w:sz w:val="28"/>
    </w:rPr>
  </w:style>
  <w:style w:type="table" w:styleId="GridTable4-Accent1">
    <w:name w:val="Grid Table 4 Accent 1"/>
    <w:basedOn w:val="TableNormal"/>
    <w:uiPriority w:val="49"/>
    <w:rsid w:val="008B2D18"/>
    <w:pPr>
      <w:spacing w:after="0" w:line="240" w:lineRule="auto"/>
    </w:pPr>
    <w:tblPr>
      <w:tblStyleRowBandSize w:val="1"/>
      <w:tblStyleColBandSize w:val="1"/>
      <w:tblBorders>
        <w:top w:val="single" w:sz="4" w:space="0" w:color="43CFFF" w:themeColor="accent1" w:themeTint="99"/>
        <w:left w:val="single" w:sz="4" w:space="0" w:color="43CFFF" w:themeColor="accent1" w:themeTint="99"/>
        <w:bottom w:val="single" w:sz="4" w:space="0" w:color="43CFFF" w:themeColor="accent1" w:themeTint="99"/>
        <w:right w:val="single" w:sz="4" w:space="0" w:color="43CFFF" w:themeColor="accent1" w:themeTint="99"/>
        <w:insideH w:val="single" w:sz="4" w:space="0" w:color="43CFFF" w:themeColor="accent1" w:themeTint="99"/>
        <w:insideV w:val="single" w:sz="4" w:space="0" w:color="43CFFF" w:themeColor="accent1" w:themeTint="99"/>
      </w:tblBorders>
    </w:tblPr>
    <w:tblStylePr w:type="firstRow">
      <w:rPr>
        <w:b/>
        <w:bCs/>
        <w:color w:val="FFFFFF" w:themeColor="background1"/>
      </w:rPr>
      <w:tblPr/>
      <w:tcPr>
        <w:tcBorders>
          <w:top w:val="single" w:sz="4" w:space="0" w:color="0094C5" w:themeColor="accent1"/>
          <w:left w:val="single" w:sz="4" w:space="0" w:color="0094C5" w:themeColor="accent1"/>
          <w:bottom w:val="single" w:sz="4" w:space="0" w:color="0094C5" w:themeColor="accent1"/>
          <w:right w:val="single" w:sz="4" w:space="0" w:color="0094C5" w:themeColor="accent1"/>
          <w:insideH w:val="nil"/>
          <w:insideV w:val="nil"/>
        </w:tcBorders>
        <w:shd w:val="clear" w:color="auto" w:fill="0094C5" w:themeFill="accent1"/>
      </w:tcPr>
    </w:tblStylePr>
    <w:tblStylePr w:type="lastRow">
      <w:rPr>
        <w:b/>
        <w:bCs/>
      </w:rPr>
      <w:tblPr/>
      <w:tcPr>
        <w:tcBorders>
          <w:top w:val="double" w:sz="4" w:space="0" w:color="0094C5" w:themeColor="accent1"/>
        </w:tcBorders>
      </w:tcPr>
    </w:tblStylePr>
    <w:tblStylePr w:type="firstCol">
      <w:rPr>
        <w:b/>
        <w:bCs/>
      </w:rPr>
    </w:tblStylePr>
    <w:tblStylePr w:type="lastCol">
      <w:rPr>
        <w:b/>
        <w:bCs/>
      </w:rPr>
    </w:tblStylePr>
    <w:tblStylePr w:type="band1Vert">
      <w:tblPr/>
      <w:tcPr>
        <w:shd w:val="clear" w:color="auto" w:fill="C0EFFF" w:themeFill="accent1" w:themeFillTint="33"/>
      </w:tcPr>
    </w:tblStylePr>
    <w:tblStylePr w:type="band1Horz">
      <w:tblPr/>
      <w:tcPr>
        <w:shd w:val="clear" w:color="auto" w:fill="C0EFFF" w:themeFill="accent1" w:themeFillTint="33"/>
      </w:tcPr>
    </w:tblStylePr>
  </w:style>
  <w:style w:type="paragraph" w:customStyle="1" w:styleId="TSTableHeadingBlack-TopRow">
    <w:name w:val="TS Table Heading Black - Top Row"/>
    <w:basedOn w:val="TSTableNormal1"/>
    <w:uiPriority w:val="41"/>
    <w:rsid w:val="00E457E0"/>
    <w:pPr>
      <w:keepNext/>
      <w:keepLines/>
      <w:spacing w:before="80" w:after="80"/>
    </w:pPr>
    <w:rPr>
      <w:b/>
    </w:rPr>
  </w:style>
  <w:style w:type="character" w:styleId="FollowedHyperlink">
    <w:name w:val="FollowedHyperlink"/>
    <w:basedOn w:val="DefaultParagraphFont"/>
    <w:uiPriority w:val="19"/>
    <w:rsid w:val="00CC1FF1"/>
    <w:rPr>
      <w:color w:val="81DFFF" w:themeColor="accent1" w:themeTint="66"/>
      <w:u w:val="single"/>
    </w:rPr>
  </w:style>
  <w:style w:type="paragraph" w:customStyle="1" w:styleId="USWhiteSpaceAfterTable">
    <w:name w:val="US White Space After Table"/>
    <w:basedOn w:val="USWhiteSpace"/>
    <w:next w:val="USBodyText"/>
    <w:uiPriority w:val="45"/>
    <w:rsid w:val="00C12561"/>
    <w:pPr>
      <w:spacing w:after="240"/>
    </w:pPr>
  </w:style>
  <w:style w:type="character" w:customStyle="1" w:styleId="HyperlinkSourceTextReference">
    <w:name w:val="Hyperlink (Source Text Reference)"/>
    <w:basedOn w:val="DefaultParagraphFont"/>
    <w:uiPriority w:val="19"/>
    <w:semiHidden/>
    <w:rsid w:val="00EC22B7"/>
    <w:rPr>
      <w:noProof w:val="0"/>
      <w:color w:val="0094C5"/>
      <w:u w:val="single"/>
      <w:lang w:val="en-NZ"/>
    </w:rPr>
  </w:style>
  <w:style w:type="paragraph" w:customStyle="1" w:styleId="USPullQuoteBlue">
    <w:name w:val="US Pull Quote Blue"/>
    <w:basedOn w:val="Normal"/>
    <w:uiPriority w:val="18"/>
    <w:rsid w:val="00273D60"/>
    <w:pPr>
      <w:pBdr>
        <w:top w:val="single" w:sz="4" w:space="14" w:color="74C6C7"/>
        <w:bottom w:val="single" w:sz="4" w:space="14" w:color="74C6C7"/>
      </w:pBdr>
      <w:spacing w:before="360" w:after="360" w:line="340" w:lineRule="atLeast"/>
      <w:ind w:left="851"/>
    </w:pPr>
    <w:rPr>
      <w:b/>
      <w:color w:val="0094C5"/>
      <w:sz w:val="28"/>
    </w:rPr>
  </w:style>
  <w:style w:type="paragraph" w:customStyle="1" w:styleId="USWhiteSpaceBeforeTable">
    <w:name w:val="US White Space Before Table"/>
    <w:basedOn w:val="Normal"/>
    <w:uiPriority w:val="45"/>
    <w:rsid w:val="00C12561"/>
    <w:pPr>
      <w:keepNext/>
      <w:spacing w:after="240" w:line="240" w:lineRule="auto"/>
      <w:ind w:left="851"/>
    </w:pPr>
    <w:rPr>
      <w:sz w:val="12"/>
    </w:rPr>
  </w:style>
  <w:style w:type="table" w:styleId="GridTable1Light">
    <w:name w:val="Grid Table 1 Light"/>
    <w:basedOn w:val="TableNormal"/>
    <w:uiPriority w:val="46"/>
    <w:rsid w:val="00916CFA"/>
    <w:pPr>
      <w:spacing w:after="0" w:line="240" w:lineRule="auto"/>
    </w:pPr>
    <w:tblPr>
      <w:tblStyleRowBandSize w:val="1"/>
      <w:tblStyleColBandSize w:val="1"/>
      <w:tblInd w:w="851" w:type="dxa"/>
      <w:tblBorders>
        <w:top w:val="single" w:sz="4" w:space="0" w:color="A4ABBA" w:themeColor="text1" w:themeTint="66"/>
        <w:left w:val="single" w:sz="4" w:space="0" w:color="A4ABBA" w:themeColor="text1" w:themeTint="66"/>
        <w:bottom w:val="single" w:sz="4" w:space="0" w:color="A4ABBA" w:themeColor="text1" w:themeTint="66"/>
        <w:right w:val="single" w:sz="4" w:space="0" w:color="A4ABBA" w:themeColor="text1" w:themeTint="66"/>
        <w:insideH w:val="single" w:sz="4" w:space="0" w:color="A4ABBA" w:themeColor="text1" w:themeTint="66"/>
        <w:insideV w:val="single" w:sz="4" w:space="0" w:color="A4ABBA" w:themeColor="text1" w:themeTint="66"/>
      </w:tblBorders>
    </w:tblPr>
    <w:tblStylePr w:type="firstRow">
      <w:rPr>
        <w:b/>
        <w:bCs/>
      </w:rPr>
      <w:tblPr/>
      <w:tcPr>
        <w:tcBorders>
          <w:bottom w:val="single" w:sz="12" w:space="0" w:color="778197" w:themeColor="text1" w:themeTint="99"/>
        </w:tcBorders>
      </w:tcPr>
    </w:tblStylePr>
    <w:tblStylePr w:type="lastRow">
      <w:rPr>
        <w:b/>
        <w:bCs/>
      </w:rPr>
      <w:tblPr/>
      <w:tcPr>
        <w:tcBorders>
          <w:top w:val="double" w:sz="2" w:space="0" w:color="778197"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6929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5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353F"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353F"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353F"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353F" w:themeFill="text1"/>
      </w:tcPr>
    </w:tblStylePr>
    <w:tblStylePr w:type="band1Vert">
      <w:tblPr/>
      <w:tcPr>
        <w:shd w:val="clear" w:color="auto" w:fill="A4ABBA" w:themeFill="text1" w:themeFillTint="66"/>
      </w:tcPr>
    </w:tblStylePr>
    <w:tblStylePr w:type="band1Horz">
      <w:tblPr/>
      <w:tcPr>
        <w:shd w:val="clear" w:color="auto" w:fill="A4ABBA" w:themeFill="text1" w:themeFillTint="66"/>
      </w:tcPr>
    </w:tblStylePr>
  </w:style>
  <w:style w:type="table" w:styleId="GridTable3">
    <w:name w:val="Grid Table 3"/>
    <w:basedOn w:val="TableNormal"/>
    <w:uiPriority w:val="48"/>
    <w:rsid w:val="0069298C"/>
    <w:pPr>
      <w:spacing w:after="0" w:line="240" w:lineRule="auto"/>
    </w:pPr>
    <w:tblPr>
      <w:tblStyleRowBandSize w:val="1"/>
      <w:tblStyleColBandSize w:val="1"/>
      <w:tblBorders>
        <w:top w:val="single" w:sz="4" w:space="0" w:color="778197" w:themeColor="text1" w:themeTint="99"/>
        <w:left w:val="single" w:sz="4" w:space="0" w:color="778197" w:themeColor="text1" w:themeTint="99"/>
        <w:bottom w:val="single" w:sz="4" w:space="0" w:color="778197" w:themeColor="text1" w:themeTint="99"/>
        <w:right w:val="single" w:sz="4" w:space="0" w:color="778197" w:themeColor="text1" w:themeTint="99"/>
        <w:insideH w:val="single" w:sz="4" w:space="0" w:color="778197" w:themeColor="text1" w:themeTint="99"/>
        <w:insideV w:val="single" w:sz="4" w:space="0" w:color="778197"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5DC" w:themeFill="text1" w:themeFillTint="33"/>
      </w:tcPr>
    </w:tblStylePr>
    <w:tblStylePr w:type="band1Horz">
      <w:tblPr/>
      <w:tcPr>
        <w:shd w:val="clear" w:color="auto" w:fill="D1D5DC" w:themeFill="text1" w:themeFillTint="33"/>
      </w:tcPr>
    </w:tblStylePr>
    <w:tblStylePr w:type="neCell">
      <w:tblPr/>
      <w:tcPr>
        <w:tcBorders>
          <w:bottom w:val="single" w:sz="4" w:space="0" w:color="778197" w:themeColor="text1" w:themeTint="99"/>
        </w:tcBorders>
      </w:tcPr>
    </w:tblStylePr>
    <w:tblStylePr w:type="nwCell">
      <w:tblPr/>
      <w:tcPr>
        <w:tcBorders>
          <w:bottom w:val="single" w:sz="4" w:space="0" w:color="778197" w:themeColor="text1" w:themeTint="99"/>
        </w:tcBorders>
      </w:tcPr>
    </w:tblStylePr>
    <w:tblStylePr w:type="seCell">
      <w:tblPr/>
      <w:tcPr>
        <w:tcBorders>
          <w:top w:val="single" w:sz="4" w:space="0" w:color="778197" w:themeColor="text1" w:themeTint="99"/>
        </w:tcBorders>
      </w:tcPr>
    </w:tblStylePr>
    <w:tblStylePr w:type="swCell">
      <w:tblPr/>
      <w:tcPr>
        <w:tcBorders>
          <w:top w:val="single" w:sz="4" w:space="0" w:color="778197" w:themeColor="text1" w:themeTint="99"/>
        </w:tcBorders>
      </w:tcPr>
    </w:tblStylePr>
  </w:style>
  <w:style w:type="table" w:styleId="GridTable2">
    <w:name w:val="Grid Table 2"/>
    <w:basedOn w:val="TableNormal"/>
    <w:uiPriority w:val="47"/>
    <w:rsid w:val="00225D24"/>
    <w:pPr>
      <w:spacing w:after="0" w:line="240" w:lineRule="auto"/>
    </w:pPr>
    <w:tblPr>
      <w:tblStyleRowBandSize w:val="1"/>
      <w:tblStyleColBandSize w:val="1"/>
      <w:tblBorders>
        <w:top w:val="single" w:sz="2" w:space="0" w:color="778197" w:themeColor="text1" w:themeTint="99"/>
        <w:bottom w:val="single" w:sz="2" w:space="0" w:color="778197" w:themeColor="text1" w:themeTint="99"/>
        <w:insideH w:val="single" w:sz="2" w:space="0" w:color="778197" w:themeColor="text1" w:themeTint="99"/>
        <w:insideV w:val="single" w:sz="2" w:space="0" w:color="778197" w:themeColor="text1" w:themeTint="99"/>
      </w:tblBorders>
    </w:tblPr>
    <w:tblStylePr w:type="firstRow">
      <w:rPr>
        <w:b/>
        <w:bCs/>
      </w:rPr>
      <w:tblPr/>
      <w:tcPr>
        <w:tcBorders>
          <w:top w:val="nil"/>
          <w:bottom w:val="single" w:sz="12" w:space="0" w:color="778197" w:themeColor="text1" w:themeTint="99"/>
          <w:insideH w:val="nil"/>
          <w:insideV w:val="nil"/>
        </w:tcBorders>
        <w:shd w:val="clear" w:color="auto" w:fill="FFFFFF" w:themeFill="background1"/>
      </w:tcPr>
    </w:tblStylePr>
    <w:tblStylePr w:type="lastRow">
      <w:rPr>
        <w:b/>
        <w:bCs/>
      </w:rPr>
      <w:tblPr/>
      <w:tcPr>
        <w:tcBorders>
          <w:top w:val="double" w:sz="2" w:space="0" w:color="778197"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5DC" w:themeFill="text1" w:themeFillTint="33"/>
      </w:tcPr>
    </w:tblStylePr>
    <w:tblStylePr w:type="band1Horz">
      <w:tblPr/>
      <w:tcPr>
        <w:shd w:val="clear" w:color="auto" w:fill="D1D5DC" w:themeFill="text1" w:themeFillTint="33"/>
      </w:tcPr>
    </w:tblStylePr>
  </w:style>
  <w:style w:type="table" w:styleId="GridTable6Colorful">
    <w:name w:val="Grid Table 6 Colorful"/>
    <w:basedOn w:val="TableNormal"/>
    <w:uiPriority w:val="51"/>
    <w:rsid w:val="00225D24"/>
    <w:pPr>
      <w:spacing w:after="0" w:line="240" w:lineRule="auto"/>
    </w:pPr>
    <w:rPr>
      <w:color w:val="30353F" w:themeColor="text1"/>
    </w:rPr>
    <w:tblPr>
      <w:tblStyleRowBandSize w:val="1"/>
      <w:tblStyleColBandSize w:val="1"/>
      <w:tblBorders>
        <w:top w:val="single" w:sz="4" w:space="0" w:color="778197" w:themeColor="text1" w:themeTint="99"/>
        <w:left w:val="single" w:sz="4" w:space="0" w:color="778197" w:themeColor="text1" w:themeTint="99"/>
        <w:bottom w:val="single" w:sz="4" w:space="0" w:color="778197" w:themeColor="text1" w:themeTint="99"/>
        <w:right w:val="single" w:sz="4" w:space="0" w:color="778197" w:themeColor="text1" w:themeTint="99"/>
        <w:insideH w:val="single" w:sz="4" w:space="0" w:color="778197" w:themeColor="text1" w:themeTint="99"/>
        <w:insideV w:val="single" w:sz="4" w:space="0" w:color="778197" w:themeColor="text1" w:themeTint="99"/>
      </w:tblBorders>
    </w:tblPr>
    <w:tblStylePr w:type="firstRow">
      <w:rPr>
        <w:b/>
        <w:bCs/>
      </w:rPr>
      <w:tblPr/>
      <w:tcPr>
        <w:tcBorders>
          <w:bottom w:val="single" w:sz="12" w:space="0" w:color="778197" w:themeColor="text1" w:themeTint="99"/>
        </w:tcBorders>
      </w:tcPr>
    </w:tblStylePr>
    <w:tblStylePr w:type="lastRow">
      <w:rPr>
        <w:b/>
        <w:bCs/>
      </w:rPr>
      <w:tblPr/>
      <w:tcPr>
        <w:tcBorders>
          <w:top w:val="double" w:sz="4" w:space="0" w:color="778197" w:themeColor="text1" w:themeTint="99"/>
        </w:tcBorders>
      </w:tcPr>
    </w:tblStylePr>
    <w:tblStylePr w:type="firstCol">
      <w:rPr>
        <w:b/>
        <w:bCs/>
      </w:rPr>
    </w:tblStylePr>
    <w:tblStylePr w:type="lastCol">
      <w:rPr>
        <w:b/>
        <w:bCs/>
      </w:rPr>
    </w:tblStylePr>
    <w:tblStylePr w:type="band1Vert">
      <w:tblPr/>
      <w:tcPr>
        <w:shd w:val="clear" w:color="auto" w:fill="D1D5DC" w:themeFill="text1" w:themeFillTint="33"/>
      </w:tcPr>
    </w:tblStylePr>
    <w:tblStylePr w:type="band1Horz">
      <w:tblPr/>
      <w:tcPr>
        <w:shd w:val="clear" w:color="auto" w:fill="D1D5DC" w:themeFill="text1" w:themeFillTint="33"/>
      </w:tcPr>
    </w:tblStylePr>
  </w:style>
  <w:style w:type="table" w:styleId="GridTable4">
    <w:name w:val="Grid Table 4"/>
    <w:basedOn w:val="TableNormal"/>
    <w:uiPriority w:val="49"/>
    <w:rsid w:val="00225D24"/>
    <w:pPr>
      <w:spacing w:after="0" w:line="240" w:lineRule="auto"/>
    </w:pPr>
    <w:tblPr>
      <w:tblStyleRowBandSize w:val="1"/>
      <w:tblStyleColBandSize w:val="1"/>
      <w:tblBorders>
        <w:top w:val="single" w:sz="4" w:space="0" w:color="778197" w:themeColor="text1" w:themeTint="99"/>
        <w:left w:val="single" w:sz="4" w:space="0" w:color="778197" w:themeColor="text1" w:themeTint="99"/>
        <w:bottom w:val="single" w:sz="4" w:space="0" w:color="778197" w:themeColor="text1" w:themeTint="99"/>
        <w:right w:val="single" w:sz="4" w:space="0" w:color="778197" w:themeColor="text1" w:themeTint="99"/>
        <w:insideH w:val="single" w:sz="4" w:space="0" w:color="778197" w:themeColor="text1" w:themeTint="99"/>
        <w:insideV w:val="single" w:sz="4" w:space="0" w:color="778197" w:themeColor="text1" w:themeTint="99"/>
      </w:tblBorders>
    </w:tblPr>
    <w:tblStylePr w:type="firstRow">
      <w:rPr>
        <w:b/>
        <w:bCs/>
        <w:color w:val="FFFFFF" w:themeColor="background1"/>
      </w:rPr>
      <w:tblPr/>
      <w:tcPr>
        <w:tcBorders>
          <w:top w:val="single" w:sz="4" w:space="0" w:color="30353F" w:themeColor="text1"/>
          <w:left w:val="single" w:sz="4" w:space="0" w:color="30353F" w:themeColor="text1"/>
          <w:bottom w:val="single" w:sz="4" w:space="0" w:color="30353F" w:themeColor="text1"/>
          <w:right w:val="single" w:sz="4" w:space="0" w:color="30353F" w:themeColor="text1"/>
          <w:insideH w:val="nil"/>
          <w:insideV w:val="nil"/>
        </w:tcBorders>
        <w:shd w:val="clear" w:color="auto" w:fill="30353F" w:themeFill="text1"/>
      </w:tcPr>
    </w:tblStylePr>
    <w:tblStylePr w:type="lastRow">
      <w:rPr>
        <w:b/>
        <w:bCs/>
      </w:rPr>
      <w:tblPr/>
      <w:tcPr>
        <w:tcBorders>
          <w:top w:val="double" w:sz="4" w:space="0" w:color="30353F" w:themeColor="text1"/>
        </w:tcBorders>
      </w:tcPr>
    </w:tblStylePr>
    <w:tblStylePr w:type="firstCol">
      <w:rPr>
        <w:b/>
        <w:bCs/>
      </w:rPr>
    </w:tblStylePr>
    <w:tblStylePr w:type="lastCol">
      <w:rPr>
        <w:b/>
        <w:bCs/>
      </w:rPr>
    </w:tblStylePr>
    <w:tblStylePr w:type="band1Vert">
      <w:tblPr/>
      <w:tcPr>
        <w:shd w:val="clear" w:color="auto" w:fill="D1D5DC" w:themeFill="text1" w:themeFillTint="33"/>
      </w:tcPr>
    </w:tblStylePr>
    <w:tblStylePr w:type="band1Horz">
      <w:tblPr/>
      <w:tcPr>
        <w:shd w:val="clear" w:color="auto" w:fill="D1D5DC" w:themeFill="text1" w:themeFillTint="33"/>
      </w:tcPr>
    </w:tblStylePr>
  </w:style>
  <w:style w:type="paragraph" w:styleId="Bibliography">
    <w:name w:val="Bibliography"/>
    <w:basedOn w:val="TSBodyText"/>
    <w:uiPriority w:val="47"/>
    <w:rsid w:val="009F7454"/>
    <w:pPr>
      <w:spacing w:before="0" w:after="0" w:line="240" w:lineRule="atLeast"/>
      <w:ind w:left="720" w:hanging="720"/>
    </w:pPr>
    <w:rPr>
      <w:sz w:val="22"/>
    </w:rPr>
  </w:style>
  <w:style w:type="table" w:styleId="ColorfulGrid">
    <w:name w:val="Colorful Grid"/>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D1D5DC" w:themeFill="text1" w:themeFillTint="33"/>
    </w:tcPr>
    <w:tblStylePr w:type="firstRow">
      <w:rPr>
        <w:b/>
        <w:bCs/>
      </w:rPr>
      <w:tblPr/>
      <w:tcPr>
        <w:shd w:val="clear" w:color="auto" w:fill="A4ABBA" w:themeFill="text1" w:themeFillTint="66"/>
      </w:tcPr>
    </w:tblStylePr>
    <w:tblStylePr w:type="lastRow">
      <w:rPr>
        <w:b/>
        <w:bCs/>
        <w:color w:val="30353F" w:themeColor="text1"/>
      </w:rPr>
      <w:tblPr/>
      <w:tcPr>
        <w:shd w:val="clear" w:color="auto" w:fill="A4ABBA" w:themeFill="text1" w:themeFillTint="66"/>
      </w:tcPr>
    </w:tblStylePr>
    <w:tblStylePr w:type="firstCol">
      <w:rPr>
        <w:color w:val="FFFFFF" w:themeColor="background1"/>
      </w:rPr>
      <w:tblPr/>
      <w:tcPr>
        <w:shd w:val="clear" w:color="auto" w:fill="24272F" w:themeFill="text1" w:themeFillShade="BF"/>
      </w:tcPr>
    </w:tblStylePr>
    <w:tblStylePr w:type="lastCol">
      <w:rPr>
        <w:color w:val="FFFFFF" w:themeColor="background1"/>
      </w:rPr>
      <w:tblPr/>
      <w:tcPr>
        <w:shd w:val="clear" w:color="auto" w:fill="24272F" w:themeFill="text1" w:themeFillShade="BF"/>
      </w:tcPr>
    </w:tblStylePr>
    <w:tblStylePr w:type="band1Vert">
      <w:tblPr/>
      <w:tcPr>
        <w:shd w:val="clear" w:color="auto" w:fill="8E97A9" w:themeFill="text1" w:themeFillTint="7F"/>
      </w:tcPr>
    </w:tblStylePr>
    <w:tblStylePr w:type="band1Horz">
      <w:tblPr/>
      <w:tcPr>
        <w:shd w:val="clear" w:color="auto" w:fill="8E97A9" w:themeFill="text1" w:themeFillTint="7F"/>
      </w:tcPr>
    </w:tblStylePr>
  </w:style>
  <w:style w:type="table" w:styleId="ColorfulGrid-Accent1">
    <w:name w:val="Colorful Grid Accent 1"/>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C0EFFF" w:themeFill="accent1" w:themeFillTint="33"/>
    </w:tcPr>
    <w:tblStylePr w:type="firstRow">
      <w:rPr>
        <w:b/>
        <w:bCs/>
      </w:rPr>
      <w:tblPr/>
      <w:tcPr>
        <w:shd w:val="clear" w:color="auto" w:fill="81DFFF" w:themeFill="accent1" w:themeFillTint="66"/>
      </w:tcPr>
    </w:tblStylePr>
    <w:tblStylePr w:type="lastRow">
      <w:rPr>
        <w:b/>
        <w:bCs/>
        <w:color w:val="30353F" w:themeColor="text1"/>
      </w:rPr>
      <w:tblPr/>
      <w:tcPr>
        <w:shd w:val="clear" w:color="auto" w:fill="81DFFF" w:themeFill="accent1" w:themeFillTint="66"/>
      </w:tcPr>
    </w:tblStylePr>
    <w:tblStylePr w:type="firstCol">
      <w:rPr>
        <w:color w:val="FFFFFF" w:themeColor="background1"/>
      </w:rPr>
      <w:tblPr/>
      <w:tcPr>
        <w:shd w:val="clear" w:color="auto" w:fill="006E93" w:themeFill="accent1" w:themeFillShade="BF"/>
      </w:tcPr>
    </w:tblStylePr>
    <w:tblStylePr w:type="lastCol">
      <w:rPr>
        <w:color w:val="FFFFFF" w:themeColor="background1"/>
      </w:rPr>
      <w:tblPr/>
      <w:tcPr>
        <w:shd w:val="clear" w:color="auto" w:fill="006E93" w:themeFill="accent1" w:themeFillShade="BF"/>
      </w:tcPr>
    </w:tblStylePr>
    <w:tblStylePr w:type="band1Vert">
      <w:tblPr/>
      <w:tcPr>
        <w:shd w:val="clear" w:color="auto" w:fill="63D7FF" w:themeFill="accent1" w:themeFillTint="7F"/>
      </w:tcPr>
    </w:tblStylePr>
    <w:tblStylePr w:type="band1Horz">
      <w:tblPr/>
      <w:tcPr>
        <w:shd w:val="clear" w:color="auto" w:fill="63D7FF" w:themeFill="accent1" w:themeFillTint="7F"/>
      </w:tcPr>
    </w:tblStylePr>
  </w:style>
  <w:style w:type="table" w:styleId="ColorfulGrid-Accent2">
    <w:name w:val="Colorful Grid Accent 2"/>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FFC6E1" w:themeFill="accent2" w:themeFillTint="33"/>
    </w:tcPr>
    <w:tblStylePr w:type="firstRow">
      <w:rPr>
        <w:b/>
        <w:bCs/>
      </w:rPr>
      <w:tblPr/>
      <w:tcPr>
        <w:shd w:val="clear" w:color="auto" w:fill="FF8EC3" w:themeFill="accent2" w:themeFillTint="66"/>
      </w:tcPr>
    </w:tblStylePr>
    <w:tblStylePr w:type="lastRow">
      <w:rPr>
        <w:b/>
        <w:bCs/>
        <w:color w:val="30353F" w:themeColor="text1"/>
      </w:rPr>
      <w:tblPr/>
      <w:tcPr>
        <w:shd w:val="clear" w:color="auto" w:fill="FF8EC3" w:themeFill="accent2" w:themeFillTint="66"/>
      </w:tcPr>
    </w:tblStylePr>
    <w:tblStylePr w:type="firstCol">
      <w:rPr>
        <w:color w:val="FFFFFF" w:themeColor="background1"/>
      </w:rPr>
      <w:tblPr/>
      <w:tcPr>
        <w:shd w:val="clear" w:color="auto" w:fill="AB0051" w:themeFill="accent2" w:themeFillShade="BF"/>
      </w:tcPr>
    </w:tblStylePr>
    <w:tblStylePr w:type="lastCol">
      <w:rPr>
        <w:color w:val="FFFFFF" w:themeColor="background1"/>
      </w:rPr>
      <w:tblPr/>
      <w:tcPr>
        <w:shd w:val="clear" w:color="auto" w:fill="AB0051" w:themeFill="accent2" w:themeFillShade="BF"/>
      </w:tcPr>
    </w:tblStylePr>
    <w:tblStylePr w:type="band1Vert">
      <w:tblPr/>
      <w:tcPr>
        <w:shd w:val="clear" w:color="auto" w:fill="FF73B5" w:themeFill="accent2" w:themeFillTint="7F"/>
      </w:tcPr>
    </w:tblStylePr>
    <w:tblStylePr w:type="band1Horz">
      <w:tblPr/>
      <w:tcPr>
        <w:shd w:val="clear" w:color="auto" w:fill="FF73B5" w:themeFill="accent2" w:themeFillTint="7F"/>
      </w:tcPr>
    </w:tblStylePr>
  </w:style>
  <w:style w:type="table" w:styleId="ColorfulGrid-Accent3">
    <w:name w:val="Colorful Grid Accent 3"/>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CCC7EF" w:themeFill="accent3" w:themeFillTint="33"/>
    </w:tcPr>
    <w:tblStylePr w:type="firstRow">
      <w:rPr>
        <w:b/>
        <w:bCs/>
      </w:rPr>
      <w:tblPr/>
      <w:tcPr>
        <w:shd w:val="clear" w:color="auto" w:fill="998FDF" w:themeFill="accent3" w:themeFillTint="66"/>
      </w:tcPr>
    </w:tblStylePr>
    <w:tblStylePr w:type="lastRow">
      <w:rPr>
        <w:b/>
        <w:bCs/>
        <w:color w:val="30353F" w:themeColor="text1"/>
      </w:rPr>
      <w:tblPr/>
      <w:tcPr>
        <w:shd w:val="clear" w:color="auto" w:fill="998FDF" w:themeFill="accent3" w:themeFillTint="66"/>
      </w:tcPr>
    </w:tblStylePr>
    <w:tblStylePr w:type="firstCol">
      <w:rPr>
        <w:color w:val="FFFFFF" w:themeColor="background1"/>
      </w:rPr>
      <w:tblPr/>
      <w:tcPr>
        <w:shd w:val="clear" w:color="auto" w:fill="201958" w:themeFill="accent3" w:themeFillShade="BF"/>
      </w:tcPr>
    </w:tblStylePr>
    <w:tblStylePr w:type="lastCol">
      <w:rPr>
        <w:color w:val="FFFFFF" w:themeColor="background1"/>
      </w:rPr>
      <w:tblPr/>
      <w:tcPr>
        <w:shd w:val="clear" w:color="auto" w:fill="201958" w:themeFill="accent3" w:themeFillShade="BF"/>
      </w:tcPr>
    </w:tblStylePr>
    <w:tblStylePr w:type="band1Vert">
      <w:tblPr/>
      <w:tcPr>
        <w:shd w:val="clear" w:color="auto" w:fill="8074D7" w:themeFill="accent3" w:themeFillTint="7F"/>
      </w:tcPr>
    </w:tblStylePr>
    <w:tblStylePr w:type="band1Horz">
      <w:tblPr/>
      <w:tcPr>
        <w:shd w:val="clear" w:color="auto" w:fill="8074D7" w:themeFill="accent3" w:themeFillTint="7F"/>
      </w:tcPr>
    </w:tblStylePr>
  </w:style>
  <w:style w:type="table" w:styleId="ColorfulGrid-Accent4">
    <w:name w:val="Colorful Grid Accent 4"/>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F5BED8" w:themeFill="accent4" w:themeFillTint="33"/>
    </w:tcPr>
    <w:tblStylePr w:type="firstRow">
      <w:rPr>
        <w:b/>
        <w:bCs/>
      </w:rPr>
      <w:tblPr/>
      <w:tcPr>
        <w:shd w:val="clear" w:color="auto" w:fill="EC7EB2" w:themeFill="accent4" w:themeFillTint="66"/>
      </w:tcPr>
    </w:tblStylePr>
    <w:tblStylePr w:type="lastRow">
      <w:rPr>
        <w:b/>
        <w:bCs/>
        <w:color w:val="30353F" w:themeColor="text1"/>
      </w:rPr>
      <w:tblPr/>
      <w:tcPr>
        <w:shd w:val="clear" w:color="auto" w:fill="EC7EB2" w:themeFill="accent4" w:themeFillTint="66"/>
      </w:tcPr>
    </w:tblStylePr>
    <w:tblStylePr w:type="firstCol">
      <w:rPr>
        <w:color w:val="FFFFFF" w:themeColor="background1"/>
      </w:rPr>
      <w:tblPr/>
      <w:tcPr>
        <w:shd w:val="clear" w:color="auto" w:fill="5B0D32" w:themeFill="accent4" w:themeFillShade="BF"/>
      </w:tcPr>
    </w:tblStylePr>
    <w:tblStylePr w:type="lastCol">
      <w:rPr>
        <w:color w:val="FFFFFF" w:themeColor="background1"/>
      </w:rPr>
      <w:tblPr/>
      <w:tcPr>
        <w:shd w:val="clear" w:color="auto" w:fill="5B0D32" w:themeFill="accent4" w:themeFillShade="BF"/>
      </w:tcPr>
    </w:tblStylePr>
    <w:tblStylePr w:type="band1Vert">
      <w:tblPr/>
      <w:tcPr>
        <w:shd w:val="clear" w:color="auto" w:fill="E75E9F" w:themeFill="accent4" w:themeFillTint="7F"/>
      </w:tcPr>
    </w:tblStylePr>
    <w:tblStylePr w:type="band1Horz">
      <w:tblPr/>
      <w:tcPr>
        <w:shd w:val="clear" w:color="auto" w:fill="E75E9F" w:themeFill="accent4" w:themeFillTint="7F"/>
      </w:tcPr>
    </w:tblStylePr>
  </w:style>
  <w:style w:type="table" w:styleId="ColorfulGrid-Accent5">
    <w:name w:val="Colorful Grid Accent 5"/>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F4FCC6" w:themeFill="accent5" w:themeFillTint="33"/>
    </w:tcPr>
    <w:tblStylePr w:type="firstRow">
      <w:rPr>
        <w:b/>
        <w:bCs/>
      </w:rPr>
      <w:tblPr/>
      <w:tcPr>
        <w:shd w:val="clear" w:color="auto" w:fill="E9F88E" w:themeFill="accent5" w:themeFillTint="66"/>
      </w:tcPr>
    </w:tblStylePr>
    <w:tblStylePr w:type="lastRow">
      <w:rPr>
        <w:b/>
        <w:bCs/>
        <w:color w:val="30353F" w:themeColor="text1"/>
      </w:rPr>
      <w:tblPr/>
      <w:tcPr>
        <w:shd w:val="clear" w:color="auto" w:fill="E9F88E" w:themeFill="accent5" w:themeFillTint="66"/>
      </w:tcPr>
    </w:tblStylePr>
    <w:tblStylePr w:type="firstCol">
      <w:rPr>
        <w:color w:val="FFFFFF" w:themeColor="background1"/>
      </w:rPr>
      <w:tblPr/>
      <w:tcPr>
        <w:shd w:val="clear" w:color="auto" w:fill="829708" w:themeFill="accent5" w:themeFillShade="BF"/>
      </w:tcPr>
    </w:tblStylePr>
    <w:tblStylePr w:type="lastCol">
      <w:rPr>
        <w:color w:val="FFFFFF" w:themeColor="background1"/>
      </w:rPr>
      <w:tblPr/>
      <w:tcPr>
        <w:shd w:val="clear" w:color="auto" w:fill="829708" w:themeFill="accent5" w:themeFillShade="BF"/>
      </w:tcPr>
    </w:tblStylePr>
    <w:tblStylePr w:type="band1Vert">
      <w:tblPr/>
      <w:tcPr>
        <w:shd w:val="clear" w:color="auto" w:fill="E4F772" w:themeFill="accent5" w:themeFillTint="7F"/>
      </w:tcPr>
    </w:tblStylePr>
    <w:tblStylePr w:type="band1Horz">
      <w:tblPr/>
      <w:tcPr>
        <w:shd w:val="clear" w:color="auto" w:fill="E4F772" w:themeFill="accent5" w:themeFillTint="7F"/>
      </w:tcPr>
    </w:tblStylePr>
  </w:style>
  <w:style w:type="table" w:styleId="ColorfulGrid-Accent6">
    <w:name w:val="Colorful Grid Accent 6"/>
    <w:basedOn w:val="TableNormal"/>
    <w:uiPriority w:val="73"/>
    <w:semiHidden/>
    <w:unhideWhenUsed/>
    <w:rsid w:val="00DF245D"/>
    <w:pPr>
      <w:spacing w:after="0" w:line="240" w:lineRule="auto"/>
    </w:pPr>
    <w:rPr>
      <w:color w:val="30353F" w:themeColor="text1"/>
    </w:rPr>
    <w:tblPr>
      <w:tblStyleRowBandSize w:val="1"/>
      <w:tblStyleColBandSize w:val="1"/>
      <w:tblBorders>
        <w:insideH w:val="single" w:sz="4" w:space="0" w:color="FFFFFF" w:themeColor="background1"/>
      </w:tblBorders>
    </w:tblPr>
    <w:tcPr>
      <w:shd w:val="clear" w:color="auto" w:fill="D4F1D3" w:themeFill="accent6" w:themeFillTint="33"/>
    </w:tcPr>
    <w:tblStylePr w:type="firstRow">
      <w:rPr>
        <w:b/>
        <w:bCs/>
      </w:rPr>
      <w:tblPr/>
      <w:tcPr>
        <w:shd w:val="clear" w:color="auto" w:fill="A9E3A7" w:themeFill="accent6" w:themeFillTint="66"/>
      </w:tcPr>
    </w:tblStylePr>
    <w:tblStylePr w:type="lastRow">
      <w:rPr>
        <w:b/>
        <w:bCs/>
        <w:color w:val="30353F" w:themeColor="text1"/>
      </w:rPr>
      <w:tblPr/>
      <w:tcPr>
        <w:shd w:val="clear" w:color="auto" w:fill="A9E3A7" w:themeFill="accent6" w:themeFillTint="66"/>
      </w:tcPr>
    </w:tblStylePr>
    <w:tblStylePr w:type="firstCol">
      <w:rPr>
        <w:color w:val="FFFFFF" w:themeColor="background1"/>
      </w:rPr>
      <w:tblPr/>
      <w:tcPr>
        <w:shd w:val="clear" w:color="auto" w:fill="2B7F27" w:themeFill="accent6" w:themeFillShade="BF"/>
      </w:tcPr>
    </w:tblStylePr>
    <w:tblStylePr w:type="lastCol">
      <w:rPr>
        <w:color w:val="FFFFFF" w:themeColor="background1"/>
      </w:rPr>
      <w:tblPr/>
      <w:tcPr>
        <w:shd w:val="clear" w:color="auto" w:fill="2B7F27" w:themeFill="accent6" w:themeFillShade="BF"/>
      </w:tcPr>
    </w:tblStylePr>
    <w:tblStylePr w:type="band1Vert">
      <w:tblPr/>
      <w:tcPr>
        <w:shd w:val="clear" w:color="auto" w:fill="94DD92" w:themeFill="accent6" w:themeFillTint="7F"/>
      </w:tcPr>
    </w:tblStylePr>
    <w:tblStylePr w:type="band1Horz">
      <w:tblPr/>
      <w:tcPr>
        <w:shd w:val="clear" w:color="auto" w:fill="94DD92" w:themeFill="accent6" w:themeFillTint="7F"/>
      </w:tcPr>
    </w:tblStylePr>
  </w:style>
  <w:style w:type="table" w:styleId="ColorfulList">
    <w:name w:val="Colorful List"/>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E8EAEE" w:themeFill="text1" w:themeFillTint="19"/>
    </w:tcPr>
    <w:tblStylePr w:type="firstRow">
      <w:rPr>
        <w:b/>
        <w:bCs/>
        <w:color w:val="FFFFFF" w:themeColor="background1"/>
      </w:rPr>
      <w:tblPr/>
      <w:tcPr>
        <w:tcBorders>
          <w:bottom w:val="single" w:sz="12" w:space="0" w:color="FFFFFF" w:themeColor="background1"/>
        </w:tcBorders>
        <w:shd w:val="clear" w:color="auto" w:fill="B70056" w:themeFill="accent2" w:themeFillShade="CC"/>
      </w:tcPr>
    </w:tblStylePr>
    <w:tblStylePr w:type="lastRow">
      <w:rPr>
        <w:b/>
        <w:bCs/>
        <w:color w:val="B70056" w:themeColor="accent2"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BD4" w:themeFill="text1" w:themeFillTint="3F"/>
      </w:tcPr>
    </w:tblStylePr>
    <w:tblStylePr w:type="band1Horz">
      <w:tblPr/>
      <w:tcPr>
        <w:shd w:val="clear" w:color="auto" w:fill="D1D5DC" w:themeFill="text1" w:themeFillTint="33"/>
      </w:tcPr>
    </w:tblStylePr>
  </w:style>
  <w:style w:type="table" w:styleId="ColorfulList-Accent1">
    <w:name w:val="Colorful List Accent 1"/>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E0F7FF" w:themeFill="accent1" w:themeFillTint="19"/>
    </w:tcPr>
    <w:tblStylePr w:type="firstRow">
      <w:rPr>
        <w:b/>
        <w:bCs/>
        <w:color w:val="FFFFFF" w:themeColor="background1"/>
      </w:rPr>
      <w:tblPr/>
      <w:tcPr>
        <w:tcBorders>
          <w:bottom w:val="single" w:sz="12" w:space="0" w:color="FFFFFF" w:themeColor="background1"/>
        </w:tcBorders>
        <w:shd w:val="clear" w:color="auto" w:fill="B70056" w:themeFill="accent2" w:themeFillShade="CC"/>
      </w:tcPr>
    </w:tblStylePr>
    <w:tblStylePr w:type="lastRow">
      <w:rPr>
        <w:b/>
        <w:bCs/>
        <w:color w:val="B70056" w:themeColor="accent2"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EBFF" w:themeFill="accent1" w:themeFillTint="3F"/>
      </w:tcPr>
    </w:tblStylePr>
    <w:tblStylePr w:type="band1Horz">
      <w:tblPr/>
      <w:tcPr>
        <w:shd w:val="clear" w:color="auto" w:fill="C0EFFF" w:themeFill="accent1" w:themeFillTint="33"/>
      </w:tcPr>
    </w:tblStylePr>
  </w:style>
  <w:style w:type="table" w:styleId="ColorfulList-Accent2">
    <w:name w:val="Colorful List Accent 2"/>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FFE3F0" w:themeFill="accent2" w:themeFillTint="19"/>
    </w:tcPr>
    <w:tblStylePr w:type="firstRow">
      <w:rPr>
        <w:b/>
        <w:bCs/>
        <w:color w:val="FFFFFF" w:themeColor="background1"/>
      </w:rPr>
      <w:tblPr/>
      <w:tcPr>
        <w:tcBorders>
          <w:bottom w:val="single" w:sz="12" w:space="0" w:color="FFFFFF" w:themeColor="background1"/>
        </w:tcBorders>
        <w:shd w:val="clear" w:color="auto" w:fill="B70056" w:themeFill="accent2" w:themeFillShade="CC"/>
      </w:tcPr>
    </w:tblStylePr>
    <w:tblStylePr w:type="lastRow">
      <w:rPr>
        <w:b/>
        <w:bCs/>
        <w:color w:val="B70056" w:themeColor="accent2"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9DA" w:themeFill="accent2" w:themeFillTint="3F"/>
      </w:tcPr>
    </w:tblStylePr>
    <w:tblStylePr w:type="band1Horz">
      <w:tblPr/>
      <w:tcPr>
        <w:shd w:val="clear" w:color="auto" w:fill="FFC6E1" w:themeFill="accent2" w:themeFillTint="33"/>
      </w:tcPr>
    </w:tblStylePr>
  </w:style>
  <w:style w:type="table" w:styleId="ColorfulList-Accent3">
    <w:name w:val="Colorful List Accent 3"/>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E5E3F7" w:themeFill="accent3" w:themeFillTint="19"/>
    </w:tcPr>
    <w:tblStylePr w:type="firstRow">
      <w:rPr>
        <w:b/>
        <w:bCs/>
        <w:color w:val="FFFFFF" w:themeColor="background1"/>
      </w:rPr>
      <w:tblPr/>
      <w:tcPr>
        <w:tcBorders>
          <w:bottom w:val="single" w:sz="12" w:space="0" w:color="FFFFFF" w:themeColor="background1"/>
        </w:tcBorders>
        <w:shd w:val="clear" w:color="auto" w:fill="620E36" w:themeFill="accent4" w:themeFillShade="CC"/>
      </w:tcPr>
    </w:tblStylePr>
    <w:tblStylePr w:type="lastRow">
      <w:rPr>
        <w:b/>
        <w:bCs/>
        <w:color w:val="620E36" w:themeColor="accent4"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AEB" w:themeFill="accent3" w:themeFillTint="3F"/>
      </w:tcPr>
    </w:tblStylePr>
    <w:tblStylePr w:type="band1Horz">
      <w:tblPr/>
      <w:tcPr>
        <w:shd w:val="clear" w:color="auto" w:fill="CCC7EF" w:themeFill="accent3" w:themeFillTint="33"/>
      </w:tcPr>
    </w:tblStylePr>
  </w:style>
  <w:style w:type="table" w:styleId="ColorfulList-Accent4">
    <w:name w:val="Colorful List Accent 4"/>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FADFEC" w:themeFill="accent4" w:themeFillTint="19"/>
    </w:tcPr>
    <w:tblStylePr w:type="firstRow">
      <w:rPr>
        <w:b/>
        <w:bCs/>
        <w:color w:val="FFFFFF" w:themeColor="background1"/>
      </w:rPr>
      <w:tblPr/>
      <w:tcPr>
        <w:tcBorders>
          <w:bottom w:val="single" w:sz="12" w:space="0" w:color="FFFFFF" w:themeColor="background1"/>
        </w:tcBorders>
        <w:shd w:val="clear" w:color="auto" w:fill="231B5E" w:themeFill="accent3" w:themeFillShade="CC"/>
      </w:tcPr>
    </w:tblStylePr>
    <w:tblStylePr w:type="lastRow">
      <w:rPr>
        <w:b/>
        <w:bCs/>
        <w:color w:val="231B5E" w:themeColor="accent3"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AFCF" w:themeFill="accent4" w:themeFillTint="3F"/>
      </w:tcPr>
    </w:tblStylePr>
    <w:tblStylePr w:type="band1Horz">
      <w:tblPr/>
      <w:tcPr>
        <w:shd w:val="clear" w:color="auto" w:fill="F5BED8" w:themeFill="accent4" w:themeFillTint="33"/>
      </w:tcPr>
    </w:tblStylePr>
  </w:style>
  <w:style w:type="table" w:styleId="ColorfulList-Accent5">
    <w:name w:val="Colorful List Accent 5"/>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F9FDE3" w:themeFill="accent5" w:themeFillTint="19"/>
    </w:tcPr>
    <w:tblStylePr w:type="firstRow">
      <w:rPr>
        <w:b/>
        <w:bCs/>
        <w:color w:val="FFFFFF" w:themeColor="background1"/>
      </w:rPr>
      <w:tblPr/>
      <w:tcPr>
        <w:tcBorders>
          <w:bottom w:val="single" w:sz="12" w:space="0" w:color="FFFFFF" w:themeColor="background1"/>
        </w:tcBorders>
        <w:shd w:val="clear" w:color="auto" w:fill="2E872A" w:themeFill="accent6" w:themeFillShade="CC"/>
      </w:tcPr>
    </w:tblStylePr>
    <w:tblStylePr w:type="lastRow">
      <w:rPr>
        <w:b/>
        <w:bCs/>
        <w:color w:val="2E872A" w:themeColor="accent6"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BB9" w:themeFill="accent5" w:themeFillTint="3F"/>
      </w:tcPr>
    </w:tblStylePr>
    <w:tblStylePr w:type="band1Horz">
      <w:tblPr/>
      <w:tcPr>
        <w:shd w:val="clear" w:color="auto" w:fill="F4FCC6" w:themeFill="accent5" w:themeFillTint="33"/>
      </w:tcPr>
    </w:tblStylePr>
  </w:style>
  <w:style w:type="table" w:styleId="ColorfulList-Accent6">
    <w:name w:val="Colorful List Accent 6"/>
    <w:basedOn w:val="TableNormal"/>
    <w:uiPriority w:val="72"/>
    <w:semiHidden/>
    <w:unhideWhenUsed/>
    <w:rsid w:val="00DF245D"/>
    <w:pPr>
      <w:spacing w:after="0" w:line="240" w:lineRule="auto"/>
    </w:pPr>
    <w:rPr>
      <w:color w:val="30353F" w:themeColor="text1"/>
    </w:rPr>
    <w:tblPr>
      <w:tblStyleRowBandSize w:val="1"/>
      <w:tblStyleColBandSize w:val="1"/>
    </w:tblPr>
    <w:tcPr>
      <w:shd w:val="clear" w:color="auto" w:fill="E9F8E9" w:themeFill="accent6" w:themeFillTint="19"/>
    </w:tcPr>
    <w:tblStylePr w:type="firstRow">
      <w:rPr>
        <w:b/>
        <w:bCs/>
        <w:color w:val="FFFFFF" w:themeColor="background1"/>
      </w:rPr>
      <w:tblPr/>
      <w:tcPr>
        <w:tcBorders>
          <w:bottom w:val="single" w:sz="12" w:space="0" w:color="FFFFFF" w:themeColor="background1"/>
        </w:tcBorders>
        <w:shd w:val="clear" w:color="auto" w:fill="8BA109" w:themeFill="accent5" w:themeFillShade="CC"/>
      </w:tcPr>
    </w:tblStylePr>
    <w:tblStylePr w:type="lastRow">
      <w:rPr>
        <w:b/>
        <w:bCs/>
        <w:color w:val="8BA109" w:themeColor="accent5" w:themeShade="CC"/>
      </w:rPr>
      <w:tblPr/>
      <w:tcPr>
        <w:tcBorders>
          <w:top w:val="single" w:sz="12" w:space="0" w:color="3035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EC8" w:themeFill="accent6" w:themeFillTint="3F"/>
      </w:tcPr>
    </w:tblStylePr>
    <w:tblStylePr w:type="band1Horz">
      <w:tblPr/>
      <w:tcPr>
        <w:shd w:val="clear" w:color="auto" w:fill="D4F1D3" w:themeFill="accent6" w:themeFillTint="33"/>
      </w:tcPr>
    </w:tblStylePr>
  </w:style>
  <w:style w:type="table" w:styleId="ColorfulShading">
    <w:name w:val="Colorful Shading"/>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E5006D" w:themeColor="accent2"/>
        <w:left w:val="single" w:sz="4" w:space="0" w:color="30353F" w:themeColor="text1"/>
        <w:bottom w:val="single" w:sz="4" w:space="0" w:color="30353F" w:themeColor="text1"/>
        <w:right w:val="single" w:sz="4" w:space="0" w:color="30353F" w:themeColor="text1"/>
        <w:insideH w:val="single" w:sz="4" w:space="0" w:color="FFFFFF" w:themeColor="background1"/>
        <w:insideV w:val="single" w:sz="4" w:space="0" w:color="FFFFFF" w:themeColor="background1"/>
      </w:tblBorders>
    </w:tblPr>
    <w:tcPr>
      <w:shd w:val="clear" w:color="auto" w:fill="E8EAEE" w:themeFill="text1" w:themeFillTint="19"/>
    </w:tcPr>
    <w:tblStylePr w:type="firstRow">
      <w:rPr>
        <w:b/>
        <w:bCs/>
      </w:rPr>
      <w:tblPr/>
      <w:tcPr>
        <w:tcBorders>
          <w:top w:val="nil"/>
          <w:left w:val="nil"/>
          <w:bottom w:val="single" w:sz="24" w:space="0" w:color="E5006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1F25" w:themeFill="text1" w:themeFillShade="99"/>
      </w:tcPr>
    </w:tblStylePr>
    <w:tblStylePr w:type="firstCol">
      <w:rPr>
        <w:color w:val="FFFFFF" w:themeColor="background1"/>
      </w:rPr>
      <w:tblPr/>
      <w:tcPr>
        <w:tcBorders>
          <w:top w:val="nil"/>
          <w:left w:val="nil"/>
          <w:bottom w:val="nil"/>
          <w:right w:val="nil"/>
          <w:insideH w:val="single" w:sz="4" w:space="0" w:color="1C1F25" w:themeColor="text1" w:themeShade="99"/>
          <w:insideV w:val="nil"/>
        </w:tcBorders>
        <w:shd w:val="clear" w:color="auto" w:fill="1C1F2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4272F" w:themeFill="text1" w:themeFillShade="BF"/>
      </w:tcPr>
    </w:tblStylePr>
    <w:tblStylePr w:type="band1Vert">
      <w:tblPr/>
      <w:tcPr>
        <w:shd w:val="clear" w:color="auto" w:fill="A4ABBA" w:themeFill="text1" w:themeFillTint="66"/>
      </w:tcPr>
    </w:tblStylePr>
    <w:tblStylePr w:type="band1Horz">
      <w:tblPr/>
      <w:tcPr>
        <w:shd w:val="clear" w:color="auto" w:fill="8E97A9" w:themeFill="text1" w:themeFillTint="7F"/>
      </w:tcPr>
    </w:tblStylePr>
    <w:tblStylePr w:type="neCell">
      <w:rPr>
        <w:color w:val="30353F" w:themeColor="text1"/>
      </w:rPr>
    </w:tblStylePr>
    <w:tblStylePr w:type="nwCell">
      <w:rPr>
        <w:color w:val="30353F" w:themeColor="text1"/>
      </w:rPr>
    </w:tblStylePr>
  </w:style>
  <w:style w:type="table" w:styleId="ColorfulShading-Accent1">
    <w:name w:val="Colorful Shading Accent 1"/>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E5006D" w:themeColor="accent2"/>
        <w:left w:val="single" w:sz="4" w:space="0" w:color="0094C5" w:themeColor="accent1"/>
        <w:bottom w:val="single" w:sz="4" w:space="0" w:color="0094C5" w:themeColor="accent1"/>
        <w:right w:val="single" w:sz="4" w:space="0" w:color="0094C5" w:themeColor="accent1"/>
        <w:insideH w:val="single" w:sz="4" w:space="0" w:color="FFFFFF" w:themeColor="background1"/>
        <w:insideV w:val="single" w:sz="4" w:space="0" w:color="FFFFFF" w:themeColor="background1"/>
      </w:tblBorders>
    </w:tblPr>
    <w:tcPr>
      <w:shd w:val="clear" w:color="auto" w:fill="E0F7FF" w:themeFill="accent1" w:themeFillTint="19"/>
    </w:tcPr>
    <w:tblStylePr w:type="firstRow">
      <w:rPr>
        <w:b/>
        <w:bCs/>
      </w:rPr>
      <w:tblPr/>
      <w:tcPr>
        <w:tcBorders>
          <w:top w:val="nil"/>
          <w:left w:val="nil"/>
          <w:bottom w:val="single" w:sz="24" w:space="0" w:color="E5006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876" w:themeFill="accent1" w:themeFillShade="99"/>
      </w:tcPr>
    </w:tblStylePr>
    <w:tblStylePr w:type="firstCol">
      <w:rPr>
        <w:color w:val="FFFFFF" w:themeColor="background1"/>
      </w:rPr>
      <w:tblPr/>
      <w:tcPr>
        <w:tcBorders>
          <w:top w:val="nil"/>
          <w:left w:val="nil"/>
          <w:bottom w:val="nil"/>
          <w:right w:val="nil"/>
          <w:insideH w:val="single" w:sz="4" w:space="0" w:color="005876" w:themeColor="accent1" w:themeShade="99"/>
          <w:insideV w:val="nil"/>
        </w:tcBorders>
        <w:shd w:val="clear" w:color="auto" w:fill="00587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876" w:themeFill="accent1" w:themeFillShade="99"/>
      </w:tcPr>
    </w:tblStylePr>
    <w:tblStylePr w:type="band1Vert">
      <w:tblPr/>
      <w:tcPr>
        <w:shd w:val="clear" w:color="auto" w:fill="81DFFF" w:themeFill="accent1" w:themeFillTint="66"/>
      </w:tcPr>
    </w:tblStylePr>
    <w:tblStylePr w:type="band1Horz">
      <w:tblPr/>
      <w:tcPr>
        <w:shd w:val="clear" w:color="auto" w:fill="63D7FF" w:themeFill="accent1" w:themeFillTint="7F"/>
      </w:tcPr>
    </w:tblStylePr>
    <w:tblStylePr w:type="neCell">
      <w:rPr>
        <w:color w:val="30353F" w:themeColor="text1"/>
      </w:rPr>
    </w:tblStylePr>
    <w:tblStylePr w:type="nwCell">
      <w:rPr>
        <w:color w:val="30353F" w:themeColor="text1"/>
      </w:rPr>
    </w:tblStylePr>
  </w:style>
  <w:style w:type="table" w:styleId="ColorfulShading-Accent2">
    <w:name w:val="Colorful Shading Accent 2"/>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E5006D" w:themeColor="accent2"/>
        <w:left w:val="single" w:sz="4" w:space="0" w:color="E5006D" w:themeColor="accent2"/>
        <w:bottom w:val="single" w:sz="4" w:space="0" w:color="E5006D" w:themeColor="accent2"/>
        <w:right w:val="single" w:sz="4" w:space="0" w:color="E5006D" w:themeColor="accent2"/>
        <w:insideH w:val="single" w:sz="4" w:space="0" w:color="FFFFFF" w:themeColor="background1"/>
        <w:insideV w:val="single" w:sz="4" w:space="0" w:color="FFFFFF" w:themeColor="background1"/>
      </w:tblBorders>
    </w:tblPr>
    <w:tcPr>
      <w:shd w:val="clear" w:color="auto" w:fill="FFE3F0" w:themeFill="accent2" w:themeFillTint="19"/>
    </w:tcPr>
    <w:tblStylePr w:type="firstRow">
      <w:rPr>
        <w:b/>
        <w:bCs/>
      </w:rPr>
      <w:tblPr/>
      <w:tcPr>
        <w:tcBorders>
          <w:top w:val="nil"/>
          <w:left w:val="nil"/>
          <w:bottom w:val="single" w:sz="24" w:space="0" w:color="E5006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0041" w:themeFill="accent2" w:themeFillShade="99"/>
      </w:tcPr>
    </w:tblStylePr>
    <w:tblStylePr w:type="firstCol">
      <w:rPr>
        <w:color w:val="FFFFFF" w:themeColor="background1"/>
      </w:rPr>
      <w:tblPr/>
      <w:tcPr>
        <w:tcBorders>
          <w:top w:val="nil"/>
          <w:left w:val="nil"/>
          <w:bottom w:val="nil"/>
          <w:right w:val="nil"/>
          <w:insideH w:val="single" w:sz="4" w:space="0" w:color="890041" w:themeColor="accent2" w:themeShade="99"/>
          <w:insideV w:val="nil"/>
        </w:tcBorders>
        <w:shd w:val="clear" w:color="auto" w:fill="89004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90041" w:themeFill="accent2" w:themeFillShade="99"/>
      </w:tcPr>
    </w:tblStylePr>
    <w:tblStylePr w:type="band1Vert">
      <w:tblPr/>
      <w:tcPr>
        <w:shd w:val="clear" w:color="auto" w:fill="FF8EC3" w:themeFill="accent2" w:themeFillTint="66"/>
      </w:tcPr>
    </w:tblStylePr>
    <w:tblStylePr w:type="band1Horz">
      <w:tblPr/>
      <w:tcPr>
        <w:shd w:val="clear" w:color="auto" w:fill="FF73B5" w:themeFill="accent2" w:themeFillTint="7F"/>
      </w:tcPr>
    </w:tblStylePr>
    <w:tblStylePr w:type="neCell">
      <w:rPr>
        <w:color w:val="30353F" w:themeColor="text1"/>
      </w:rPr>
    </w:tblStylePr>
    <w:tblStylePr w:type="nwCell">
      <w:rPr>
        <w:color w:val="30353F" w:themeColor="text1"/>
      </w:rPr>
    </w:tblStylePr>
  </w:style>
  <w:style w:type="table" w:styleId="ColorfulShading-Accent3">
    <w:name w:val="Colorful Shading Accent 3"/>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7B1244" w:themeColor="accent4"/>
        <w:left w:val="single" w:sz="4" w:space="0" w:color="2C2276" w:themeColor="accent3"/>
        <w:bottom w:val="single" w:sz="4" w:space="0" w:color="2C2276" w:themeColor="accent3"/>
        <w:right w:val="single" w:sz="4" w:space="0" w:color="2C2276" w:themeColor="accent3"/>
        <w:insideH w:val="single" w:sz="4" w:space="0" w:color="FFFFFF" w:themeColor="background1"/>
        <w:insideV w:val="single" w:sz="4" w:space="0" w:color="FFFFFF" w:themeColor="background1"/>
      </w:tblBorders>
    </w:tblPr>
    <w:tcPr>
      <w:shd w:val="clear" w:color="auto" w:fill="E5E3F7" w:themeFill="accent3" w:themeFillTint="19"/>
    </w:tcPr>
    <w:tblStylePr w:type="firstRow">
      <w:rPr>
        <w:b/>
        <w:bCs/>
      </w:rPr>
      <w:tblPr/>
      <w:tcPr>
        <w:tcBorders>
          <w:top w:val="nil"/>
          <w:left w:val="nil"/>
          <w:bottom w:val="single" w:sz="24" w:space="0" w:color="7B124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1446" w:themeFill="accent3" w:themeFillShade="99"/>
      </w:tcPr>
    </w:tblStylePr>
    <w:tblStylePr w:type="firstCol">
      <w:rPr>
        <w:color w:val="FFFFFF" w:themeColor="background1"/>
      </w:rPr>
      <w:tblPr/>
      <w:tcPr>
        <w:tcBorders>
          <w:top w:val="nil"/>
          <w:left w:val="nil"/>
          <w:bottom w:val="nil"/>
          <w:right w:val="nil"/>
          <w:insideH w:val="single" w:sz="4" w:space="0" w:color="1A1446" w:themeColor="accent3" w:themeShade="99"/>
          <w:insideV w:val="nil"/>
        </w:tcBorders>
        <w:shd w:val="clear" w:color="auto" w:fill="1A144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A1446" w:themeFill="accent3" w:themeFillShade="99"/>
      </w:tcPr>
    </w:tblStylePr>
    <w:tblStylePr w:type="band1Vert">
      <w:tblPr/>
      <w:tcPr>
        <w:shd w:val="clear" w:color="auto" w:fill="998FDF" w:themeFill="accent3" w:themeFillTint="66"/>
      </w:tcPr>
    </w:tblStylePr>
    <w:tblStylePr w:type="band1Horz">
      <w:tblPr/>
      <w:tcPr>
        <w:shd w:val="clear" w:color="auto" w:fill="8074D7" w:themeFill="accent3" w:themeFillTint="7F"/>
      </w:tcPr>
    </w:tblStylePr>
  </w:style>
  <w:style w:type="table" w:styleId="ColorfulShading-Accent4">
    <w:name w:val="Colorful Shading Accent 4"/>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2C2276" w:themeColor="accent3"/>
        <w:left w:val="single" w:sz="4" w:space="0" w:color="7B1244" w:themeColor="accent4"/>
        <w:bottom w:val="single" w:sz="4" w:space="0" w:color="7B1244" w:themeColor="accent4"/>
        <w:right w:val="single" w:sz="4" w:space="0" w:color="7B1244" w:themeColor="accent4"/>
        <w:insideH w:val="single" w:sz="4" w:space="0" w:color="FFFFFF" w:themeColor="background1"/>
        <w:insideV w:val="single" w:sz="4" w:space="0" w:color="FFFFFF" w:themeColor="background1"/>
      </w:tblBorders>
    </w:tblPr>
    <w:tcPr>
      <w:shd w:val="clear" w:color="auto" w:fill="FADFEC" w:themeFill="accent4" w:themeFillTint="19"/>
    </w:tcPr>
    <w:tblStylePr w:type="firstRow">
      <w:rPr>
        <w:b/>
        <w:bCs/>
      </w:rPr>
      <w:tblPr/>
      <w:tcPr>
        <w:tcBorders>
          <w:top w:val="nil"/>
          <w:left w:val="nil"/>
          <w:bottom w:val="single" w:sz="24" w:space="0" w:color="2C227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0A28" w:themeFill="accent4" w:themeFillShade="99"/>
      </w:tcPr>
    </w:tblStylePr>
    <w:tblStylePr w:type="firstCol">
      <w:rPr>
        <w:color w:val="FFFFFF" w:themeColor="background1"/>
      </w:rPr>
      <w:tblPr/>
      <w:tcPr>
        <w:tcBorders>
          <w:top w:val="nil"/>
          <w:left w:val="nil"/>
          <w:bottom w:val="nil"/>
          <w:right w:val="nil"/>
          <w:insideH w:val="single" w:sz="4" w:space="0" w:color="490A28" w:themeColor="accent4" w:themeShade="99"/>
          <w:insideV w:val="nil"/>
        </w:tcBorders>
        <w:shd w:val="clear" w:color="auto" w:fill="490A2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90A28" w:themeFill="accent4" w:themeFillShade="99"/>
      </w:tcPr>
    </w:tblStylePr>
    <w:tblStylePr w:type="band1Vert">
      <w:tblPr/>
      <w:tcPr>
        <w:shd w:val="clear" w:color="auto" w:fill="EC7EB2" w:themeFill="accent4" w:themeFillTint="66"/>
      </w:tcPr>
    </w:tblStylePr>
    <w:tblStylePr w:type="band1Horz">
      <w:tblPr/>
      <w:tcPr>
        <w:shd w:val="clear" w:color="auto" w:fill="E75E9F" w:themeFill="accent4" w:themeFillTint="7F"/>
      </w:tcPr>
    </w:tblStylePr>
    <w:tblStylePr w:type="neCell">
      <w:rPr>
        <w:color w:val="30353F" w:themeColor="text1"/>
      </w:rPr>
    </w:tblStylePr>
    <w:tblStylePr w:type="nwCell">
      <w:rPr>
        <w:color w:val="30353F" w:themeColor="text1"/>
      </w:rPr>
    </w:tblStylePr>
  </w:style>
  <w:style w:type="table" w:styleId="ColorfulShading-Accent5">
    <w:name w:val="Colorful Shading Accent 5"/>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3AAA35" w:themeColor="accent6"/>
        <w:left w:val="single" w:sz="4" w:space="0" w:color="AFCA0B" w:themeColor="accent5"/>
        <w:bottom w:val="single" w:sz="4" w:space="0" w:color="AFCA0B" w:themeColor="accent5"/>
        <w:right w:val="single" w:sz="4" w:space="0" w:color="AFCA0B" w:themeColor="accent5"/>
        <w:insideH w:val="single" w:sz="4" w:space="0" w:color="FFFFFF" w:themeColor="background1"/>
        <w:insideV w:val="single" w:sz="4" w:space="0" w:color="FFFFFF" w:themeColor="background1"/>
      </w:tblBorders>
    </w:tblPr>
    <w:tcPr>
      <w:shd w:val="clear" w:color="auto" w:fill="F9FDE3" w:themeFill="accent5" w:themeFillTint="19"/>
    </w:tcPr>
    <w:tblStylePr w:type="firstRow">
      <w:rPr>
        <w:b/>
        <w:bCs/>
      </w:rPr>
      <w:tblPr/>
      <w:tcPr>
        <w:tcBorders>
          <w:top w:val="nil"/>
          <w:left w:val="nil"/>
          <w:bottom w:val="single" w:sz="24" w:space="0" w:color="3AAA3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87906" w:themeFill="accent5" w:themeFillShade="99"/>
      </w:tcPr>
    </w:tblStylePr>
    <w:tblStylePr w:type="firstCol">
      <w:rPr>
        <w:color w:val="FFFFFF" w:themeColor="background1"/>
      </w:rPr>
      <w:tblPr/>
      <w:tcPr>
        <w:tcBorders>
          <w:top w:val="nil"/>
          <w:left w:val="nil"/>
          <w:bottom w:val="nil"/>
          <w:right w:val="nil"/>
          <w:insideH w:val="single" w:sz="4" w:space="0" w:color="687906" w:themeColor="accent5" w:themeShade="99"/>
          <w:insideV w:val="nil"/>
        </w:tcBorders>
        <w:shd w:val="clear" w:color="auto" w:fill="68790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87906" w:themeFill="accent5" w:themeFillShade="99"/>
      </w:tcPr>
    </w:tblStylePr>
    <w:tblStylePr w:type="band1Vert">
      <w:tblPr/>
      <w:tcPr>
        <w:shd w:val="clear" w:color="auto" w:fill="E9F88E" w:themeFill="accent5" w:themeFillTint="66"/>
      </w:tcPr>
    </w:tblStylePr>
    <w:tblStylePr w:type="band1Horz">
      <w:tblPr/>
      <w:tcPr>
        <w:shd w:val="clear" w:color="auto" w:fill="E4F772" w:themeFill="accent5" w:themeFillTint="7F"/>
      </w:tcPr>
    </w:tblStylePr>
    <w:tblStylePr w:type="neCell">
      <w:rPr>
        <w:color w:val="30353F" w:themeColor="text1"/>
      </w:rPr>
    </w:tblStylePr>
    <w:tblStylePr w:type="nwCell">
      <w:rPr>
        <w:color w:val="30353F" w:themeColor="text1"/>
      </w:rPr>
    </w:tblStylePr>
  </w:style>
  <w:style w:type="table" w:styleId="ColorfulShading-Accent6">
    <w:name w:val="Colorful Shading Accent 6"/>
    <w:basedOn w:val="TableNormal"/>
    <w:uiPriority w:val="71"/>
    <w:semiHidden/>
    <w:unhideWhenUsed/>
    <w:rsid w:val="00DF245D"/>
    <w:pPr>
      <w:spacing w:after="0" w:line="240" w:lineRule="auto"/>
    </w:pPr>
    <w:rPr>
      <w:color w:val="30353F" w:themeColor="text1"/>
    </w:rPr>
    <w:tblPr>
      <w:tblStyleRowBandSize w:val="1"/>
      <w:tblStyleColBandSize w:val="1"/>
      <w:tblBorders>
        <w:top w:val="single" w:sz="24" w:space="0" w:color="AFCA0B" w:themeColor="accent5"/>
        <w:left w:val="single" w:sz="4" w:space="0" w:color="3AAA35" w:themeColor="accent6"/>
        <w:bottom w:val="single" w:sz="4" w:space="0" w:color="3AAA35" w:themeColor="accent6"/>
        <w:right w:val="single" w:sz="4" w:space="0" w:color="3AAA35" w:themeColor="accent6"/>
        <w:insideH w:val="single" w:sz="4" w:space="0" w:color="FFFFFF" w:themeColor="background1"/>
        <w:insideV w:val="single" w:sz="4" w:space="0" w:color="FFFFFF" w:themeColor="background1"/>
      </w:tblBorders>
    </w:tblPr>
    <w:tcPr>
      <w:shd w:val="clear" w:color="auto" w:fill="E9F8E9" w:themeFill="accent6" w:themeFillTint="19"/>
    </w:tcPr>
    <w:tblStylePr w:type="firstRow">
      <w:rPr>
        <w:b/>
        <w:bCs/>
      </w:rPr>
      <w:tblPr/>
      <w:tcPr>
        <w:tcBorders>
          <w:top w:val="nil"/>
          <w:left w:val="nil"/>
          <w:bottom w:val="single" w:sz="24" w:space="0" w:color="AFCA0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651F" w:themeFill="accent6" w:themeFillShade="99"/>
      </w:tcPr>
    </w:tblStylePr>
    <w:tblStylePr w:type="firstCol">
      <w:rPr>
        <w:color w:val="FFFFFF" w:themeColor="background1"/>
      </w:rPr>
      <w:tblPr/>
      <w:tcPr>
        <w:tcBorders>
          <w:top w:val="nil"/>
          <w:left w:val="nil"/>
          <w:bottom w:val="nil"/>
          <w:right w:val="nil"/>
          <w:insideH w:val="single" w:sz="4" w:space="0" w:color="22651F" w:themeColor="accent6" w:themeShade="99"/>
          <w:insideV w:val="nil"/>
        </w:tcBorders>
        <w:shd w:val="clear" w:color="auto" w:fill="22651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2651F" w:themeFill="accent6" w:themeFillShade="99"/>
      </w:tcPr>
    </w:tblStylePr>
    <w:tblStylePr w:type="band1Vert">
      <w:tblPr/>
      <w:tcPr>
        <w:shd w:val="clear" w:color="auto" w:fill="A9E3A7" w:themeFill="accent6" w:themeFillTint="66"/>
      </w:tcPr>
    </w:tblStylePr>
    <w:tblStylePr w:type="band1Horz">
      <w:tblPr/>
      <w:tcPr>
        <w:shd w:val="clear" w:color="auto" w:fill="94DD92" w:themeFill="accent6" w:themeFillTint="7F"/>
      </w:tcPr>
    </w:tblStylePr>
    <w:tblStylePr w:type="neCell">
      <w:rPr>
        <w:color w:val="30353F" w:themeColor="text1"/>
      </w:rPr>
    </w:tblStylePr>
    <w:tblStylePr w:type="nwCell">
      <w:rPr>
        <w:color w:val="30353F" w:themeColor="text1"/>
      </w:rPr>
    </w:tblStylePr>
  </w:style>
  <w:style w:type="character" w:styleId="CommentReference">
    <w:name w:val="annotation reference"/>
    <w:basedOn w:val="DefaultParagraphFont"/>
    <w:uiPriority w:val="99"/>
    <w:semiHidden/>
    <w:unhideWhenUsed/>
    <w:rsid w:val="00DF245D"/>
    <w:rPr>
      <w:sz w:val="16"/>
      <w:szCs w:val="16"/>
    </w:rPr>
  </w:style>
  <w:style w:type="paragraph" w:styleId="CommentText">
    <w:name w:val="annotation text"/>
    <w:basedOn w:val="Normal"/>
    <w:link w:val="CommentTextChar"/>
    <w:uiPriority w:val="99"/>
    <w:unhideWhenUsed/>
    <w:rsid w:val="00DF245D"/>
    <w:pPr>
      <w:spacing w:line="240" w:lineRule="auto"/>
    </w:pPr>
    <w:rPr>
      <w:sz w:val="20"/>
      <w:szCs w:val="20"/>
    </w:rPr>
  </w:style>
  <w:style w:type="character" w:customStyle="1" w:styleId="CommentTextChar">
    <w:name w:val="Comment Text Char"/>
    <w:basedOn w:val="DefaultParagraphFont"/>
    <w:link w:val="CommentText"/>
    <w:uiPriority w:val="99"/>
    <w:rsid w:val="00DF245D"/>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DF245D"/>
    <w:rPr>
      <w:b/>
      <w:bCs/>
    </w:rPr>
  </w:style>
  <w:style w:type="character" w:customStyle="1" w:styleId="CommentSubjectChar">
    <w:name w:val="Comment Subject Char"/>
    <w:basedOn w:val="CommentTextChar"/>
    <w:link w:val="CommentSubject"/>
    <w:uiPriority w:val="99"/>
    <w:semiHidden/>
    <w:rsid w:val="00DF245D"/>
    <w:rPr>
      <w:rFonts w:ascii="Calibri" w:hAnsi="Calibri"/>
      <w:b/>
      <w:bCs/>
      <w:sz w:val="20"/>
      <w:szCs w:val="20"/>
    </w:rPr>
  </w:style>
  <w:style w:type="table" w:styleId="DarkList">
    <w:name w:val="Dark List"/>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30353F" w:themeFill="text1"/>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171A1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4272F"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4272F" w:themeFill="text1" w:themeFillShade="BF"/>
      </w:tcPr>
    </w:tblStylePr>
    <w:tblStylePr w:type="band1Vert">
      <w:tblPr/>
      <w:tcPr>
        <w:tcBorders>
          <w:top w:val="nil"/>
          <w:left w:val="nil"/>
          <w:bottom w:val="nil"/>
          <w:right w:val="nil"/>
          <w:insideH w:val="nil"/>
          <w:insideV w:val="nil"/>
        </w:tcBorders>
        <w:shd w:val="clear" w:color="auto" w:fill="24272F" w:themeFill="text1" w:themeFillShade="BF"/>
      </w:tcPr>
    </w:tblStylePr>
    <w:tblStylePr w:type="band1Horz">
      <w:tblPr/>
      <w:tcPr>
        <w:tcBorders>
          <w:top w:val="nil"/>
          <w:left w:val="nil"/>
          <w:bottom w:val="nil"/>
          <w:right w:val="nil"/>
          <w:insideH w:val="nil"/>
          <w:insideV w:val="nil"/>
        </w:tcBorders>
        <w:shd w:val="clear" w:color="auto" w:fill="24272F" w:themeFill="text1" w:themeFillShade="BF"/>
      </w:tcPr>
    </w:tblStylePr>
  </w:style>
  <w:style w:type="table" w:styleId="DarkList-Accent1">
    <w:name w:val="Dark List Accent 1"/>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0094C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00496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E9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E93" w:themeFill="accent1" w:themeFillShade="BF"/>
      </w:tcPr>
    </w:tblStylePr>
    <w:tblStylePr w:type="band1Vert">
      <w:tblPr/>
      <w:tcPr>
        <w:tcBorders>
          <w:top w:val="nil"/>
          <w:left w:val="nil"/>
          <w:bottom w:val="nil"/>
          <w:right w:val="nil"/>
          <w:insideH w:val="nil"/>
          <w:insideV w:val="nil"/>
        </w:tcBorders>
        <w:shd w:val="clear" w:color="auto" w:fill="006E93" w:themeFill="accent1" w:themeFillShade="BF"/>
      </w:tcPr>
    </w:tblStylePr>
    <w:tblStylePr w:type="band1Horz">
      <w:tblPr/>
      <w:tcPr>
        <w:tcBorders>
          <w:top w:val="nil"/>
          <w:left w:val="nil"/>
          <w:bottom w:val="nil"/>
          <w:right w:val="nil"/>
          <w:insideH w:val="nil"/>
          <w:insideV w:val="nil"/>
        </w:tcBorders>
        <w:shd w:val="clear" w:color="auto" w:fill="006E93" w:themeFill="accent1" w:themeFillShade="BF"/>
      </w:tcPr>
    </w:tblStylePr>
  </w:style>
  <w:style w:type="table" w:styleId="DarkList-Accent2">
    <w:name w:val="Dark List Accent 2"/>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E5006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72003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B005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B0051" w:themeFill="accent2" w:themeFillShade="BF"/>
      </w:tcPr>
    </w:tblStylePr>
    <w:tblStylePr w:type="band1Vert">
      <w:tblPr/>
      <w:tcPr>
        <w:tcBorders>
          <w:top w:val="nil"/>
          <w:left w:val="nil"/>
          <w:bottom w:val="nil"/>
          <w:right w:val="nil"/>
          <w:insideH w:val="nil"/>
          <w:insideV w:val="nil"/>
        </w:tcBorders>
        <w:shd w:val="clear" w:color="auto" w:fill="AB0051" w:themeFill="accent2" w:themeFillShade="BF"/>
      </w:tcPr>
    </w:tblStylePr>
    <w:tblStylePr w:type="band1Horz">
      <w:tblPr/>
      <w:tcPr>
        <w:tcBorders>
          <w:top w:val="nil"/>
          <w:left w:val="nil"/>
          <w:bottom w:val="nil"/>
          <w:right w:val="nil"/>
          <w:insideH w:val="nil"/>
          <w:insideV w:val="nil"/>
        </w:tcBorders>
        <w:shd w:val="clear" w:color="auto" w:fill="AB0051" w:themeFill="accent2" w:themeFillShade="BF"/>
      </w:tcPr>
    </w:tblStylePr>
  </w:style>
  <w:style w:type="table" w:styleId="DarkList-Accent3">
    <w:name w:val="Dark List Accent 3"/>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2C227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15113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0195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01958" w:themeFill="accent3" w:themeFillShade="BF"/>
      </w:tcPr>
    </w:tblStylePr>
    <w:tblStylePr w:type="band1Vert">
      <w:tblPr/>
      <w:tcPr>
        <w:tcBorders>
          <w:top w:val="nil"/>
          <w:left w:val="nil"/>
          <w:bottom w:val="nil"/>
          <w:right w:val="nil"/>
          <w:insideH w:val="nil"/>
          <w:insideV w:val="nil"/>
        </w:tcBorders>
        <w:shd w:val="clear" w:color="auto" w:fill="201958" w:themeFill="accent3" w:themeFillShade="BF"/>
      </w:tcPr>
    </w:tblStylePr>
    <w:tblStylePr w:type="band1Horz">
      <w:tblPr/>
      <w:tcPr>
        <w:tcBorders>
          <w:top w:val="nil"/>
          <w:left w:val="nil"/>
          <w:bottom w:val="nil"/>
          <w:right w:val="nil"/>
          <w:insideH w:val="nil"/>
          <w:insideV w:val="nil"/>
        </w:tcBorders>
        <w:shd w:val="clear" w:color="auto" w:fill="201958" w:themeFill="accent3" w:themeFillShade="BF"/>
      </w:tcPr>
    </w:tblStylePr>
  </w:style>
  <w:style w:type="table" w:styleId="DarkList-Accent4">
    <w:name w:val="Dark List Accent 4"/>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7B124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3D09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B0D3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B0D32" w:themeFill="accent4" w:themeFillShade="BF"/>
      </w:tcPr>
    </w:tblStylePr>
    <w:tblStylePr w:type="band1Vert">
      <w:tblPr/>
      <w:tcPr>
        <w:tcBorders>
          <w:top w:val="nil"/>
          <w:left w:val="nil"/>
          <w:bottom w:val="nil"/>
          <w:right w:val="nil"/>
          <w:insideH w:val="nil"/>
          <w:insideV w:val="nil"/>
        </w:tcBorders>
        <w:shd w:val="clear" w:color="auto" w:fill="5B0D32" w:themeFill="accent4" w:themeFillShade="BF"/>
      </w:tcPr>
    </w:tblStylePr>
    <w:tblStylePr w:type="band1Horz">
      <w:tblPr/>
      <w:tcPr>
        <w:tcBorders>
          <w:top w:val="nil"/>
          <w:left w:val="nil"/>
          <w:bottom w:val="nil"/>
          <w:right w:val="nil"/>
          <w:insideH w:val="nil"/>
          <w:insideV w:val="nil"/>
        </w:tcBorders>
        <w:shd w:val="clear" w:color="auto" w:fill="5B0D32" w:themeFill="accent4" w:themeFillShade="BF"/>
      </w:tcPr>
    </w:tblStylePr>
  </w:style>
  <w:style w:type="table" w:styleId="DarkList-Accent5">
    <w:name w:val="Dark List Accent 5"/>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AFCA0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56640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2970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29708" w:themeFill="accent5" w:themeFillShade="BF"/>
      </w:tcPr>
    </w:tblStylePr>
    <w:tblStylePr w:type="band1Vert">
      <w:tblPr/>
      <w:tcPr>
        <w:tcBorders>
          <w:top w:val="nil"/>
          <w:left w:val="nil"/>
          <w:bottom w:val="nil"/>
          <w:right w:val="nil"/>
          <w:insideH w:val="nil"/>
          <w:insideV w:val="nil"/>
        </w:tcBorders>
        <w:shd w:val="clear" w:color="auto" w:fill="829708" w:themeFill="accent5" w:themeFillShade="BF"/>
      </w:tcPr>
    </w:tblStylePr>
    <w:tblStylePr w:type="band1Horz">
      <w:tblPr/>
      <w:tcPr>
        <w:tcBorders>
          <w:top w:val="nil"/>
          <w:left w:val="nil"/>
          <w:bottom w:val="nil"/>
          <w:right w:val="nil"/>
          <w:insideH w:val="nil"/>
          <w:insideV w:val="nil"/>
        </w:tcBorders>
        <w:shd w:val="clear" w:color="auto" w:fill="829708" w:themeFill="accent5" w:themeFillShade="BF"/>
      </w:tcPr>
    </w:tblStylePr>
  </w:style>
  <w:style w:type="table" w:styleId="DarkList-Accent6">
    <w:name w:val="Dark List Accent 6"/>
    <w:basedOn w:val="TableNormal"/>
    <w:uiPriority w:val="70"/>
    <w:semiHidden/>
    <w:unhideWhenUsed/>
    <w:rsid w:val="00DF245D"/>
    <w:pPr>
      <w:spacing w:after="0" w:line="240" w:lineRule="auto"/>
    </w:pPr>
    <w:rPr>
      <w:color w:val="FFFFFF" w:themeColor="background1"/>
    </w:rPr>
    <w:tblPr>
      <w:tblStyleRowBandSize w:val="1"/>
      <w:tblStyleColBandSize w:val="1"/>
    </w:tblPr>
    <w:tcPr>
      <w:shd w:val="clear" w:color="auto" w:fill="3AAA3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0353F" w:themeFill="text1"/>
      </w:tcPr>
    </w:tblStylePr>
    <w:tblStylePr w:type="lastRow">
      <w:tblPr/>
      <w:tcPr>
        <w:tcBorders>
          <w:top w:val="single" w:sz="18" w:space="0" w:color="FFFFFF" w:themeColor="background1"/>
          <w:left w:val="nil"/>
          <w:bottom w:val="nil"/>
          <w:right w:val="nil"/>
          <w:insideH w:val="nil"/>
          <w:insideV w:val="nil"/>
        </w:tcBorders>
        <w:shd w:val="clear" w:color="auto" w:fill="1C541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B7F2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B7F27" w:themeFill="accent6" w:themeFillShade="BF"/>
      </w:tcPr>
    </w:tblStylePr>
    <w:tblStylePr w:type="band1Vert">
      <w:tblPr/>
      <w:tcPr>
        <w:tcBorders>
          <w:top w:val="nil"/>
          <w:left w:val="nil"/>
          <w:bottom w:val="nil"/>
          <w:right w:val="nil"/>
          <w:insideH w:val="nil"/>
          <w:insideV w:val="nil"/>
        </w:tcBorders>
        <w:shd w:val="clear" w:color="auto" w:fill="2B7F27" w:themeFill="accent6" w:themeFillShade="BF"/>
      </w:tcPr>
    </w:tblStylePr>
    <w:tblStylePr w:type="band1Horz">
      <w:tblPr/>
      <w:tcPr>
        <w:tcBorders>
          <w:top w:val="nil"/>
          <w:left w:val="nil"/>
          <w:bottom w:val="nil"/>
          <w:right w:val="nil"/>
          <w:insideH w:val="nil"/>
          <w:insideV w:val="nil"/>
        </w:tcBorders>
        <w:shd w:val="clear" w:color="auto" w:fill="2B7F27" w:themeFill="accent6" w:themeFillShade="BF"/>
      </w:tcPr>
    </w:tblStylePr>
  </w:style>
  <w:style w:type="paragraph" w:styleId="DocumentMap">
    <w:name w:val="Document Map"/>
    <w:basedOn w:val="Normal"/>
    <w:link w:val="DocumentMapChar"/>
    <w:uiPriority w:val="99"/>
    <w:semiHidden/>
    <w:unhideWhenUsed/>
    <w:rsid w:val="00DF245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F245D"/>
    <w:rPr>
      <w:rFonts w:ascii="Segoe UI" w:hAnsi="Segoe UI" w:cs="Segoe UI"/>
      <w:sz w:val="16"/>
      <w:szCs w:val="16"/>
    </w:rPr>
  </w:style>
  <w:style w:type="paragraph" w:styleId="E-mailSignature">
    <w:name w:val="E-mail Signature"/>
    <w:basedOn w:val="Normal"/>
    <w:link w:val="E-mailSignatureChar"/>
    <w:uiPriority w:val="99"/>
    <w:semiHidden/>
    <w:unhideWhenUsed/>
    <w:rsid w:val="00DF245D"/>
    <w:pPr>
      <w:spacing w:after="0" w:line="240" w:lineRule="auto"/>
    </w:pPr>
  </w:style>
  <w:style w:type="character" w:customStyle="1" w:styleId="E-mailSignatureChar">
    <w:name w:val="E-mail Signature Char"/>
    <w:basedOn w:val="DefaultParagraphFont"/>
    <w:link w:val="E-mailSignature"/>
    <w:uiPriority w:val="99"/>
    <w:semiHidden/>
    <w:rsid w:val="00DF245D"/>
    <w:rPr>
      <w:rFonts w:ascii="Calibri" w:hAnsi="Calibri"/>
    </w:rPr>
  </w:style>
  <w:style w:type="character" w:styleId="EndnoteReference">
    <w:name w:val="endnote reference"/>
    <w:basedOn w:val="DefaultParagraphFont"/>
    <w:uiPriority w:val="99"/>
    <w:semiHidden/>
    <w:unhideWhenUsed/>
    <w:rsid w:val="00DF245D"/>
    <w:rPr>
      <w:vertAlign w:val="superscript"/>
    </w:rPr>
  </w:style>
  <w:style w:type="paragraph" w:styleId="EndnoteText">
    <w:name w:val="endnote text"/>
    <w:basedOn w:val="Normal"/>
    <w:link w:val="EndnoteTextChar"/>
    <w:uiPriority w:val="99"/>
    <w:semiHidden/>
    <w:unhideWhenUsed/>
    <w:rsid w:val="00DF24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45D"/>
    <w:rPr>
      <w:rFonts w:ascii="Calibri" w:hAnsi="Calibri"/>
      <w:sz w:val="20"/>
      <w:szCs w:val="20"/>
    </w:rPr>
  </w:style>
  <w:style w:type="paragraph" w:styleId="EnvelopeAddress">
    <w:name w:val="envelope address"/>
    <w:basedOn w:val="Normal"/>
    <w:uiPriority w:val="99"/>
    <w:semiHidden/>
    <w:unhideWhenUsed/>
    <w:rsid w:val="00DF245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F245D"/>
    <w:pPr>
      <w:spacing w:after="0" w:line="240" w:lineRule="auto"/>
    </w:pPr>
    <w:rPr>
      <w:rFonts w:asciiTheme="majorHAnsi" w:eastAsiaTheme="majorEastAsia" w:hAnsiTheme="majorHAnsi" w:cstheme="majorBidi"/>
      <w:sz w:val="20"/>
      <w:szCs w:val="20"/>
    </w:rPr>
  </w:style>
  <w:style w:type="table" w:styleId="GridTable1Light-Accent1">
    <w:name w:val="Grid Table 1 Light Accent 1"/>
    <w:basedOn w:val="TableNormal"/>
    <w:uiPriority w:val="46"/>
    <w:rsid w:val="00916CFA"/>
    <w:pPr>
      <w:spacing w:after="0" w:line="240" w:lineRule="auto"/>
    </w:pPr>
    <w:tblPr>
      <w:tblStyleRowBandSize w:val="1"/>
      <w:tblStyleColBandSize w:val="1"/>
      <w:tblInd w:w="851" w:type="dxa"/>
      <w:tblBorders>
        <w:top w:val="single" w:sz="4" w:space="0" w:color="81DFFF" w:themeColor="accent1" w:themeTint="66"/>
        <w:left w:val="single" w:sz="4" w:space="0" w:color="81DFFF" w:themeColor="accent1" w:themeTint="66"/>
        <w:bottom w:val="single" w:sz="4" w:space="0" w:color="81DFFF" w:themeColor="accent1" w:themeTint="66"/>
        <w:right w:val="single" w:sz="4" w:space="0" w:color="81DFFF" w:themeColor="accent1" w:themeTint="66"/>
        <w:insideH w:val="single" w:sz="4" w:space="0" w:color="81DFFF" w:themeColor="accent1" w:themeTint="66"/>
        <w:insideV w:val="single" w:sz="4" w:space="0" w:color="81DFFF" w:themeColor="accent1" w:themeTint="66"/>
      </w:tblBorders>
    </w:tblPr>
    <w:tblStylePr w:type="firstRow">
      <w:rPr>
        <w:b/>
        <w:bCs/>
      </w:rPr>
      <w:tblPr/>
      <w:tcPr>
        <w:tcBorders>
          <w:bottom w:val="single" w:sz="12" w:space="0" w:color="43CFFF" w:themeColor="accent1" w:themeTint="99"/>
        </w:tcBorders>
      </w:tcPr>
    </w:tblStylePr>
    <w:tblStylePr w:type="lastRow">
      <w:rPr>
        <w:b/>
        <w:bCs/>
      </w:rPr>
      <w:tblPr/>
      <w:tcPr>
        <w:tcBorders>
          <w:top w:val="double" w:sz="2" w:space="0" w:color="43CF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16CFA"/>
    <w:pPr>
      <w:spacing w:after="0" w:line="240" w:lineRule="auto"/>
    </w:pPr>
    <w:tblPr>
      <w:tblStyleRowBandSize w:val="1"/>
      <w:tblStyleColBandSize w:val="1"/>
      <w:tblInd w:w="851" w:type="dxa"/>
      <w:tblBorders>
        <w:top w:val="single" w:sz="4" w:space="0" w:color="FF8EC3" w:themeColor="accent2" w:themeTint="66"/>
        <w:left w:val="single" w:sz="4" w:space="0" w:color="FF8EC3" w:themeColor="accent2" w:themeTint="66"/>
        <w:bottom w:val="single" w:sz="4" w:space="0" w:color="FF8EC3" w:themeColor="accent2" w:themeTint="66"/>
        <w:right w:val="single" w:sz="4" w:space="0" w:color="FF8EC3" w:themeColor="accent2" w:themeTint="66"/>
        <w:insideH w:val="single" w:sz="4" w:space="0" w:color="FF8EC3" w:themeColor="accent2" w:themeTint="66"/>
        <w:insideV w:val="single" w:sz="4" w:space="0" w:color="FF8EC3" w:themeColor="accent2" w:themeTint="66"/>
      </w:tblBorders>
    </w:tblPr>
    <w:tblStylePr w:type="firstRow">
      <w:rPr>
        <w:b/>
        <w:bCs/>
      </w:rPr>
      <w:tblPr/>
      <w:tcPr>
        <w:tcBorders>
          <w:bottom w:val="single" w:sz="12" w:space="0" w:color="FF56A6" w:themeColor="accent2" w:themeTint="99"/>
        </w:tcBorders>
      </w:tcPr>
    </w:tblStylePr>
    <w:tblStylePr w:type="lastRow">
      <w:rPr>
        <w:b/>
        <w:bCs/>
      </w:rPr>
      <w:tblPr/>
      <w:tcPr>
        <w:tcBorders>
          <w:top w:val="double" w:sz="2" w:space="0" w:color="FF56A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16CFA"/>
    <w:pPr>
      <w:spacing w:after="0" w:line="240" w:lineRule="auto"/>
    </w:pPr>
    <w:tblPr>
      <w:tblStyleRowBandSize w:val="1"/>
      <w:tblStyleColBandSize w:val="1"/>
      <w:tblInd w:w="851" w:type="dxa"/>
      <w:tblBorders>
        <w:top w:val="single" w:sz="4" w:space="0" w:color="998FDF" w:themeColor="accent3" w:themeTint="66"/>
        <w:left w:val="single" w:sz="4" w:space="0" w:color="998FDF" w:themeColor="accent3" w:themeTint="66"/>
        <w:bottom w:val="single" w:sz="4" w:space="0" w:color="998FDF" w:themeColor="accent3" w:themeTint="66"/>
        <w:right w:val="single" w:sz="4" w:space="0" w:color="998FDF" w:themeColor="accent3" w:themeTint="66"/>
        <w:insideH w:val="single" w:sz="4" w:space="0" w:color="998FDF" w:themeColor="accent3" w:themeTint="66"/>
        <w:insideV w:val="single" w:sz="4" w:space="0" w:color="998FDF" w:themeColor="accent3" w:themeTint="66"/>
      </w:tblBorders>
    </w:tblPr>
    <w:tblStylePr w:type="firstRow">
      <w:rPr>
        <w:b/>
        <w:bCs/>
      </w:rPr>
      <w:tblPr/>
      <w:tcPr>
        <w:tcBorders>
          <w:bottom w:val="single" w:sz="12" w:space="0" w:color="6658CF" w:themeColor="accent3" w:themeTint="99"/>
        </w:tcBorders>
      </w:tcPr>
    </w:tblStylePr>
    <w:tblStylePr w:type="lastRow">
      <w:rPr>
        <w:b/>
        <w:bCs/>
      </w:rPr>
      <w:tblPr/>
      <w:tcPr>
        <w:tcBorders>
          <w:top w:val="double" w:sz="2" w:space="0" w:color="6658C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16CFA"/>
    <w:pPr>
      <w:spacing w:after="0" w:line="240" w:lineRule="auto"/>
    </w:pPr>
    <w:tblPr>
      <w:tblStyleRowBandSize w:val="1"/>
      <w:tblStyleColBandSize w:val="1"/>
      <w:tblInd w:w="851" w:type="dxa"/>
      <w:tblBorders>
        <w:top w:val="single" w:sz="4" w:space="0" w:color="EC7EB2" w:themeColor="accent4" w:themeTint="66"/>
        <w:left w:val="single" w:sz="4" w:space="0" w:color="EC7EB2" w:themeColor="accent4" w:themeTint="66"/>
        <w:bottom w:val="single" w:sz="4" w:space="0" w:color="EC7EB2" w:themeColor="accent4" w:themeTint="66"/>
        <w:right w:val="single" w:sz="4" w:space="0" w:color="EC7EB2" w:themeColor="accent4" w:themeTint="66"/>
        <w:insideH w:val="single" w:sz="4" w:space="0" w:color="EC7EB2" w:themeColor="accent4" w:themeTint="66"/>
        <w:insideV w:val="single" w:sz="4" w:space="0" w:color="EC7EB2" w:themeColor="accent4" w:themeTint="66"/>
      </w:tblBorders>
    </w:tblPr>
    <w:tblStylePr w:type="firstRow">
      <w:rPr>
        <w:b/>
        <w:bCs/>
      </w:rPr>
      <w:tblPr/>
      <w:tcPr>
        <w:tcBorders>
          <w:bottom w:val="single" w:sz="12" w:space="0" w:color="E23D8B" w:themeColor="accent4" w:themeTint="99"/>
        </w:tcBorders>
      </w:tcPr>
    </w:tblStylePr>
    <w:tblStylePr w:type="lastRow">
      <w:rPr>
        <w:b/>
        <w:bCs/>
      </w:rPr>
      <w:tblPr/>
      <w:tcPr>
        <w:tcBorders>
          <w:top w:val="double" w:sz="2" w:space="0" w:color="E23D8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16CFA"/>
    <w:pPr>
      <w:spacing w:after="0" w:line="240" w:lineRule="auto"/>
    </w:pPr>
    <w:tblPr>
      <w:tblStyleRowBandSize w:val="1"/>
      <w:tblStyleColBandSize w:val="1"/>
      <w:tblInd w:w="851" w:type="dxa"/>
      <w:tblBorders>
        <w:top w:val="single" w:sz="4" w:space="0" w:color="E9F88E" w:themeColor="accent5" w:themeTint="66"/>
        <w:left w:val="single" w:sz="4" w:space="0" w:color="E9F88E" w:themeColor="accent5" w:themeTint="66"/>
        <w:bottom w:val="single" w:sz="4" w:space="0" w:color="E9F88E" w:themeColor="accent5" w:themeTint="66"/>
        <w:right w:val="single" w:sz="4" w:space="0" w:color="E9F88E" w:themeColor="accent5" w:themeTint="66"/>
        <w:insideH w:val="single" w:sz="4" w:space="0" w:color="E9F88E" w:themeColor="accent5" w:themeTint="66"/>
        <w:insideV w:val="single" w:sz="4" w:space="0" w:color="E9F88E" w:themeColor="accent5" w:themeTint="66"/>
      </w:tblBorders>
    </w:tblPr>
    <w:tblStylePr w:type="firstRow">
      <w:rPr>
        <w:b/>
        <w:bCs/>
      </w:rPr>
      <w:tblPr/>
      <w:tcPr>
        <w:tcBorders>
          <w:bottom w:val="single" w:sz="12" w:space="0" w:color="DEF555" w:themeColor="accent5" w:themeTint="99"/>
        </w:tcBorders>
      </w:tcPr>
    </w:tblStylePr>
    <w:tblStylePr w:type="lastRow">
      <w:rPr>
        <w:b/>
        <w:bCs/>
      </w:rPr>
      <w:tblPr/>
      <w:tcPr>
        <w:tcBorders>
          <w:top w:val="double" w:sz="2" w:space="0" w:color="DEF55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F245D"/>
    <w:pPr>
      <w:spacing w:after="0" w:line="240" w:lineRule="auto"/>
    </w:pPr>
    <w:tblPr>
      <w:tblStyleRowBandSize w:val="1"/>
      <w:tblStyleColBandSize w:val="1"/>
      <w:tblBorders>
        <w:top w:val="single" w:sz="4" w:space="0" w:color="A9E3A7" w:themeColor="accent6" w:themeTint="66"/>
        <w:left w:val="single" w:sz="4" w:space="0" w:color="A9E3A7" w:themeColor="accent6" w:themeTint="66"/>
        <w:bottom w:val="single" w:sz="4" w:space="0" w:color="A9E3A7" w:themeColor="accent6" w:themeTint="66"/>
        <w:right w:val="single" w:sz="4" w:space="0" w:color="A9E3A7" w:themeColor="accent6" w:themeTint="66"/>
        <w:insideH w:val="single" w:sz="4" w:space="0" w:color="A9E3A7" w:themeColor="accent6" w:themeTint="66"/>
        <w:insideV w:val="single" w:sz="4" w:space="0" w:color="A9E3A7" w:themeColor="accent6" w:themeTint="66"/>
      </w:tblBorders>
    </w:tblPr>
    <w:tblStylePr w:type="firstRow">
      <w:rPr>
        <w:b/>
        <w:bCs/>
      </w:rPr>
      <w:tblPr/>
      <w:tcPr>
        <w:tcBorders>
          <w:bottom w:val="single" w:sz="12" w:space="0" w:color="7FD67B" w:themeColor="accent6" w:themeTint="99"/>
        </w:tcBorders>
      </w:tcPr>
    </w:tblStylePr>
    <w:tblStylePr w:type="lastRow">
      <w:rPr>
        <w:b/>
        <w:bCs/>
      </w:rPr>
      <w:tblPr/>
      <w:tcPr>
        <w:tcBorders>
          <w:top w:val="double" w:sz="2" w:space="0" w:color="7FD67B" w:themeColor="accent6"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DF245D"/>
    <w:pPr>
      <w:spacing w:after="0" w:line="240" w:lineRule="auto"/>
    </w:pPr>
    <w:tblPr>
      <w:tblStyleRowBandSize w:val="1"/>
      <w:tblStyleColBandSize w:val="1"/>
      <w:tblBorders>
        <w:top w:val="single" w:sz="2" w:space="0" w:color="43CFFF" w:themeColor="accent1" w:themeTint="99"/>
        <w:bottom w:val="single" w:sz="2" w:space="0" w:color="43CFFF" w:themeColor="accent1" w:themeTint="99"/>
        <w:insideH w:val="single" w:sz="2" w:space="0" w:color="43CFFF" w:themeColor="accent1" w:themeTint="99"/>
        <w:insideV w:val="single" w:sz="2" w:space="0" w:color="43CFFF" w:themeColor="accent1" w:themeTint="99"/>
      </w:tblBorders>
    </w:tblPr>
    <w:tblStylePr w:type="firstRow">
      <w:rPr>
        <w:b/>
        <w:bCs/>
      </w:rPr>
      <w:tblPr/>
      <w:tcPr>
        <w:tcBorders>
          <w:top w:val="nil"/>
          <w:bottom w:val="single" w:sz="12" w:space="0" w:color="43CFFF" w:themeColor="accent1" w:themeTint="99"/>
          <w:insideH w:val="nil"/>
          <w:insideV w:val="nil"/>
        </w:tcBorders>
        <w:shd w:val="clear" w:color="auto" w:fill="FFFFFF" w:themeFill="background1"/>
      </w:tcPr>
    </w:tblStylePr>
    <w:tblStylePr w:type="lastRow">
      <w:rPr>
        <w:b/>
        <w:bCs/>
      </w:rPr>
      <w:tblPr/>
      <w:tcPr>
        <w:tcBorders>
          <w:top w:val="double" w:sz="2" w:space="0" w:color="43C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FFF" w:themeFill="accent1" w:themeFillTint="33"/>
      </w:tcPr>
    </w:tblStylePr>
    <w:tblStylePr w:type="band1Horz">
      <w:tblPr/>
      <w:tcPr>
        <w:shd w:val="clear" w:color="auto" w:fill="C0EFFF" w:themeFill="accent1" w:themeFillTint="33"/>
      </w:tcPr>
    </w:tblStylePr>
  </w:style>
  <w:style w:type="table" w:styleId="GridTable2-Accent2">
    <w:name w:val="Grid Table 2 Accent 2"/>
    <w:basedOn w:val="TableNormal"/>
    <w:uiPriority w:val="47"/>
    <w:rsid w:val="00DF245D"/>
    <w:pPr>
      <w:spacing w:after="0" w:line="240" w:lineRule="auto"/>
    </w:pPr>
    <w:tblPr>
      <w:tblStyleRowBandSize w:val="1"/>
      <w:tblStyleColBandSize w:val="1"/>
      <w:tblBorders>
        <w:top w:val="single" w:sz="2" w:space="0" w:color="FF56A6" w:themeColor="accent2" w:themeTint="99"/>
        <w:bottom w:val="single" w:sz="2" w:space="0" w:color="FF56A6" w:themeColor="accent2" w:themeTint="99"/>
        <w:insideH w:val="single" w:sz="2" w:space="0" w:color="FF56A6" w:themeColor="accent2" w:themeTint="99"/>
        <w:insideV w:val="single" w:sz="2" w:space="0" w:color="FF56A6" w:themeColor="accent2" w:themeTint="99"/>
      </w:tblBorders>
    </w:tblPr>
    <w:tblStylePr w:type="firstRow">
      <w:rPr>
        <w:b/>
        <w:bCs/>
      </w:rPr>
      <w:tblPr/>
      <w:tcPr>
        <w:tcBorders>
          <w:top w:val="nil"/>
          <w:bottom w:val="single" w:sz="12" w:space="0" w:color="FF56A6" w:themeColor="accent2" w:themeTint="99"/>
          <w:insideH w:val="nil"/>
          <w:insideV w:val="nil"/>
        </w:tcBorders>
        <w:shd w:val="clear" w:color="auto" w:fill="FFFFFF" w:themeFill="background1"/>
      </w:tcPr>
    </w:tblStylePr>
    <w:tblStylePr w:type="lastRow">
      <w:rPr>
        <w:b/>
        <w:bCs/>
      </w:rPr>
      <w:tblPr/>
      <w:tcPr>
        <w:tcBorders>
          <w:top w:val="double" w:sz="2" w:space="0" w:color="FF56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6E1" w:themeFill="accent2" w:themeFillTint="33"/>
      </w:tcPr>
    </w:tblStylePr>
    <w:tblStylePr w:type="band1Horz">
      <w:tblPr/>
      <w:tcPr>
        <w:shd w:val="clear" w:color="auto" w:fill="FFC6E1" w:themeFill="accent2" w:themeFillTint="33"/>
      </w:tcPr>
    </w:tblStylePr>
  </w:style>
  <w:style w:type="table" w:styleId="GridTable2-Accent3">
    <w:name w:val="Grid Table 2 Accent 3"/>
    <w:basedOn w:val="TableNormal"/>
    <w:uiPriority w:val="47"/>
    <w:rsid w:val="00DF245D"/>
    <w:pPr>
      <w:spacing w:after="0" w:line="240" w:lineRule="auto"/>
    </w:pPr>
    <w:tblPr>
      <w:tblStyleRowBandSize w:val="1"/>
      <w:tblStyleColBandSize w:val="1"/>
      <w:tblBorders>
        <w:top w:val="single" w:sz="2" w:space="0" w:color="6658CF" w:themeColor="accent3" w:themeTint="99"/>
        <w:bottom w:val="single" w:sz="2" w:space="0" w:color="6658CF" w:themeColor="accent3" w:themeTint="99"/>
        <w:insideH w:val="single" w:sz="2" w:space="0" w:color="6658CF" w:themeColor="accent3" w:themeTint="99"/>
        <w:insideV w:val="single" w:sz="2" w:space="0" w:color="6658CF" w:themeColor="accent3" w:themeTint="99"/>
      </w:tblBorders>
    </w:tblPr>
    <w:tblStylePr w:type="firstRow">
      <w:rPr>
        <w:b/>
        <w:bCs/>
      </w:rPr>
      <w:tblPr/>
      <w:tcPr>
        <w:tcBorders>
          <w:top w:val="nil"/>
          <w:bottom w:val="single" w:sz="12" w:space="0" w:color="6658CF" w:themeColor="accent3" w:themeTint="99"/>
          <w:insideH w:val="nil"/>
          <w:insideV w:val="nil"/>
        </w:tcBorders>
        <w:shd w:val="clear" w:color="auto" w:fill="FFFFFF" w:themeFill="background1"/>
      </w:tcPr>
    </w:tblStylePr>
    <w:tblStylePr w:type="lastRow">
      <w:rPr>
        <w:b/>
        <w:bCs/>
      </w:rPr>
      <w:tblPr/>
      <w:tcPr>
        <w:tcBorders>
          <w:top w:val="double" w:sz="2" w:space="0" w:color="6658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7EF" w:themeFill="accent3" w:themeFillTint="33"/>
      </w:tcPr>
    </w:tblStylePr>
    <w:tblStylePr w:type="band1Horz">
      <w:tblPr/>
      <w:tcPr>
        <w:shd w:val="clear" w:color="auto" w:fill="CCC7EF" w:themeFill="accent3" w:themeFillTint="33"/>
      </w:tcPr>
    </w:tblStylePr>
  </w:style>
  <w:style w:type="table" w:styleId="GridTable2-Accent4">
    <w:name w:val="Grid Table 2 Accent 4"/>
    <w:basedOn w:val="TableNormal"/>
    <w:uiPriority w:val="47"/>
    <w:rsid w:val="00DF245D"/>
    <w:pPr>
      <w:spacing w:after="0" w:line="240" w:lineRule="auto"/>
    </w:pPr>
    <w:tblPr>
      <w:tblStyleRowBandSize w:val="1"/>
      <w:tblStyleColBandSize w:val="1"/>
      <w:tblBorders>
        <w:top w:val="single" w:sz="2" w:space="0" w:color="E23D8B" w:themeColor="accent4" w:themeTint="99"/>
        <w:bottom w:val="single" w:sz="2" w:space="0" w:color="E23D8B" w:themeColor="accent4" w:themeTint="99"/>
        <w:insideH w:val="single" w:sz="2" w:space="0" w:color="E23D8B" w:themeColor="accent4" w:themeTint="99"/>
        <w:insideV w:val="single" w:sz="2" w:space="0" w:color="E23D8B" w:themeColor="accent4" w:themeTint="99"/>
      </w:tblBorders>
    </w:tblPr>
    <w:tblStylePr w:type="firstRow">
      <w:rPr>
        <w:b/>
        <w:bCs/>
      </w:rPr>
      <w:tblPr/>
      <w:tcPr>
        <w:tcBorders>
          <w:top w:val="nil"/>
          <w:bottom w:val="single" w:sz="12" w:space="0" w:color="E23D8B" w:themeColor="accent4" w:themeTint="99"/>
          <w:insideH w:val="nil"/>
          <w:insideV w:val="nil"/>
        </w:tcBorders>
        <w:shd w:val="clear" w:color="auto" w:fill="FFFFFF" w:themeFill="background1"/>
      </w:tcPr>
    </w:tblStylePr>
    <w:tblStylePr w:type="lastRow">
      <w:rPr>
        <w:b/>
        <w:bCs/>
      </w:rPr>
      <w:tblPr/>
      <w:tcPr>
        <w:tcBorders>
          <w:top w:val="double" w:sz="2" w:space="0" w:color="E23D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BED8" w:themeFill="accent4" w:themeFillTint="33"/>
      </w:tcPr>
    </w:tblStylePr>
    <w:tblStylePr w:type="band1Horz">
      <w:tblPr/>
      <w:tcPr>
        <w:shd w:val="clear" w:color="auto" w:fill="F5BED8" w:themeFill="accent4" w:themeFillTint="33"/>
      </w:tcPr>
    </w:tblStylePr>
  </w:style>
  <w:style w:type="table" w:styleId="GridTable2-Accent5">
    <w:name w:val="Grid Table 2 Accent 5"/>
    <w:basedOn w:val="TableNormal"/>
    <w:uiPriority w:val="47"/>
    <w:rsid w:val="00DF245D"/>
    <w:pPr>
      <w:spacing w:after="0" w:line="240" w:lineRule="auto"/>
    </w:pPr>
    <w:tblPr>
      <w:tblStyleRowBandSize w:val="1"/>
      <w:tblStyleColBandSize w:val="1"/>
      <w:tblBorders>
        <w:top w:val="single" w:sz="2" w:space="0" w:color="DEF555" w:themeColor="accent5" w:themeTint="99"/>
        <w:bottom w:val="single" w:sz="2" w:space="0" w:color="DEF555" w:themeColor="accent5" w:themeTint="99"/>
        <w:insideH w:val="single" w:sz="2" w:space="0" w:color="DEF555" w:themeColor="accent5" w:themeTint="99"/>
        <w:insideV w:val="single" w:sz="2" w:space="0" w:color="DEF555" w:themeColor="accent5" w:themeTint="99"/>
      </w:tblBorders>
    </w:tblPr>
    <w:tblStylePr w:type="firstRow">
      <w:rPr>
        <w:b/>
        <w:bCs/>
      </w:rPr>
      <w:tblPr/>
      <w:tcPr>
        <w:tcBorders>
          <w:top w:val="nil"/>
          <w:bottom w:val="single" w:sz="12" w:space="0" w:color="DEF555" w:themeColor="accent5" w:themeTint="99"/>
          <w:insideH w:val="nil"/>
          <w:insideV w:val="nil"/>
        </w:tcBorders>
        <w:shd w:val="clear" w:color="auto" w:fill="FFFFFF" w:themeFill="background1"/>
      </w:tcPr>
    </w:tblStylePr>
    <w:tblStylePr w:type="lastRow">
      <w:rPr>
        <w:b/>
        <w:bCs/>
      </w:rPr>
      <w:tblPr/>
      <w:tcPr>
        <w:tcBorders>
          <w:top w:val="double" w:sz="2" w:space="0" w:color="DEF55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CC6" w:themeFill="accent5" w:themeFillTint="33"/>
      </w:tcPr>
    </w:tblStylePr>
    <w:tblStylePr w:type="band1Horz">
      <w:tblPr/>
      <w:tcPr>
        <w:shd w:val="clear" w:color="auto" w:fill="F4FCC6" w:themeFill="accent5" w:themeFillTint="33"/>
      </w:tcPr>
    </w:tblStylePr>
  </w:style>
  <w:style w:type="table" w:styleId="GridTable2-Accent6">
    <w:name w:val="Grid Table 2 Accent 6"/>
    <w:basedOn w:val="TableNormal"/>
    <w:uiPriority w:val="47"/>
    <w:rsid w:val="00DF245D"/>
    <w:pPr>
      <w:spacing w:after="0" w:line="240" w:lineRule="auto"/>
    </w:pPr>
    <w:tblPr>
      <w:tblStyleRowBandSize w:val="1"/>
      <w:tblStyleColBandSize w:val="1"/>
      <w:tblBorders>
        <w:top w:val="single" w:sz="2" w:space="0" w:color="7FD67B" w:themeColor="accent6" w:themeTint="99"/>
        <w:bottom w:val="single" w:sz="2" w:space="0" w:color="7FD67B" w:themeColor="accent6" w:themeTint="99"/>
        <w:insideH w:val="single" w:sz="2" w:space="0" w:color="7FD67B" w:themeColor="accent6" w:themeTint="99"/>
        <w:insideV w:val="single" w:sz="2" w:space="0" w:color="7FD67B" w:themeColor="accent6" w:themeTint="99"/>
      </w:tblBorders>
    </w:tblPr>
    <w:tblStylePr w:type="firstRow">
      <w:rPr>
        <w:b/>
        <w:bCs/>
      </w:rPr>
      <w:tblPr/>
      <w:tcPr>
        <w:tcBorders>
          <w:top w:val="nil"/>
          <w:bottom w:val="single" w:sz="12" w:space="0" w:color="7FD67B" w:themeColor="accent6" w:themeTint="99"/>
          <w:insideH w:val="nil"/>
          <w:insideV w:val="nil"/>
        </w:tcBorders>
        <w:shd w:val="clear" w:color="auto" w:fill="FFFFFF" w:themeFill="background1"/>
      </w:tcPr>
    </w:tblStylePr>
    <w:tblStylePr w:type="lastRow">
      <w:rPr>
        <w:b/>
        <w:bCs/>
      </w:rPr>
      <w:tblPr/>
      <w:tcPr>
        <w:tcBorders>
          <w:top w:val="double" w:sz="2" w:space="0" w:color="7FD67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F1D3" w:themeFill="accent6" w:themeFillTint="33"/>
      </w:tcPr>
    </w:tblStylePr>
    <w:tblStylePr w:type="band1Horz">
      <w:tblPr/>
      <w:tcPr>
        <w:shd w:val="clear" w:color="auto" w:fill="D4F1D3" w:themeFill="accent6" w:themeFillTint="33"/>
      </w:tcPr>
    </w:tblStylePr>
  </w:style>
  <w:style w:type="table" w:styleId="GridTable3-Accent1">
    <w:name w:val="Grid Table 3 Accent 1"/>
    <w:basedOn w:val="TableNormal"/>
    <w:uiPriority w:val="48"/>
    <w:rsid w:val="00DF245D"/>
    <w:pPr>
      <w:spacing w:after="0" w:line="240" w:lineRule="auto"/>
    </w:pPr>
    <w:tblPr>
      <w:tblStyleRowBandSize w:val="1"/>
      <w:tblStyleColBandSize w:val="1"/>
      <w:tblBorders>
        <w:top w:val="single" w:sz="4" w:space="0" w:color="43CFFF" w:themeColor="accent1" w:themeTint="99"/>
        <w:left w:val="single" w:sz="4" w:space="0" w:color="43CFFF" w:themeColor="accent1" w:themeTint="99"/>
        <w:bottom w:val="single" w:sz="4" w:space="0" w:color="43CFFF" w:themeColor="accent1" w:themeTint="99"/>
        <w:right w:val="single" w:sz="4" w:space="0" w:color="43CFFF" w:themeColor="accent1" w:themeTint="99"/>
        <w:insideH w:val="single" w:sz="4" w:space="0" w:color="43CFFF" w:themeColor="accent1" w:themeTint="99"/>
        <w:insideV w:val="single" w:sz="4" w:space="0" w:color="43C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FFF" w:themeFill="accent1" w:themeFillTint="33"/>
      </w:tcPr>
    </w:tblStylePr>
    <w:tblStylePr w:type="band1Horz">
      <w:tblPr/>
      <w:tcPr>
        <w:shd w:val="clear" w:color="auto" w:fill="C0EFFF" w:themeFill="accent1" w:themeFillTint="33"/>
      </w:tcPr>
    </w:tblStylePr>
    <w:tblStylePr w:type="neCell">
      <w:tblPr/>
      <w:tcPr>
        <w:tcBorders>
          <w:bottom w:val="single" w:sz="4" w:space="0" w:color="43CFFF" w:themeColor="accent1" w:themeTint="99"/>
        </w:tcBorders>
      </w:tcPr>
    </w:tblStylePr>
    <w:tblStylePr w:type="nwCell">
      <w:tblPr/>
      <w:tcPr>
        <w:tcBorders>
          <w:bottom w:val="single" w:sz="4" w:space="0" w:color="43CFFF" w:themeColor="accent1" w:themeTint="99"/>
        </w:tcBorders>
      </w:tcPr>
    </w:tblStylePr>
    <w:tblStylePr w:type="seCell">
      <w:tblPr/>
      <w:tcPr>
        <w:tcBorders>
          <w:top w:val="single" w:sz="4" w:space="0" w:color="43CFFF" w:themeColor="accent1" w:themeTint="99"/>
        </w:tcBorders>
      </w:tcPr>
    </w:tblStylePr>
    <w:tblStylePr w:type="swCell">
      <w:tblPr/>
      <w:tcPr>
        <w:tcBorders>
          <w:top w:val="single" w:sz="4" w:space="0" w:color="43CFFF" w:themeColor="accent1" w:themeTint="99"/>
        </w:tcBorders>
      </w:tcPr>
    </w:tblStylePr>
  </w:style>
  <w:style w:type="table" w:styleId="GridTable3-Accent2">
    <w:name w:val="Grid Table 3 Accent 2"/>
    <w:basedOn w:val="TableNormal"/>
    <w:uiPriority w:val="48"/>
    <w:rsid w:val="00DF245D"/>
    <w:pPr>
      <w:spacing w:after="0" w:line="240" w:lineRule="auto"/>
    </w:pPr>
    <w:tblPr>
      <w:tblStyleRowBandSize w:val="1"/>
      <w:tblStyleColBandSize w:val="1"/>
      <w:tblBorders>
        <w:top w:val="single" w:sz="4" w:space="0" w:color="FF56A6" w:themeColor="accent2" w:themeTint="99"/>
        <w:left w:val="single" w:sz="4" w:space="0" w:color="FF56A6" w:themeColor="accent2" w:themeTint="99"/>
        <w:bottom w:val="single" w:sz="4" w:space="0" w:color="FF56A6" w:themeColor="accent2" w:themeTint="99"/>
        <w:right w:val="single" w:sz="4" w:space="0" w:color="FF56A6" w:themeColor="accent2" w:themeTint="99"/>
        <w:insideH w:val="single" w:sz="4" w:space="0" w:color="FF56A6" w:themeColor="accent2" w:themeTint="99"/>
        <w:insideV w:val="single" w:sz="4" w:space="0" w:color="FF56A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6E1" w:themeFill="accent2" w:themeFillTint="33"/>
      </w:tcPr>
    </w:tblStylePr>
    <w:tblStylePr w:type="band1Horz">
      <w:tblPr/>
      <w:tcPr>
        <w:shd w:val="clear" w:color="auto" w:fill="FFC6E1" w:themeFill="accent2" w:themeFillTint="33"/>
      </w:tcPr>
    </w:tblStylePr>
    <w:tblStylePr w:type="neCell">
      <w:tblPr/>
      <w:tcPr>
        <w:tcBorders>
          <w:bottom w:val="single" w:sz="4" w:space="0" w:color="FF56A6" w:themeColor="accent2" w:themeTint="99"/>
        </w:tcBorders>
      </w:tcPr>
    </w:tblStylePr>
    <w:tblStylePr w:type="nwCell">
      <w:tblPr/>
      <w:tcPr>
        <w:tcBorders>
          <w:bottom w:val="single" w:sz="4" w:space="0" w:color="FF56A6" w:themeColor="accent2" w:themeTint="99"/>
        </w:tcBorders>
      </w:tcPr>
    </w:tblStylePr>
    <w:tblStylePr w:type="seCell">
      <w:tblPr/>
      <w:tcPr>
        <w:tcBorders>
          <w:top w:val="single" w:sz="4" w:space="0" w:color="FF56A6" w:themeColor="accent2" w:themeTint="99"/>
        </w:tcBorders>
      </w:tcPr>
    </w:tblStylePr>
    <w:tblStylePr w:type="swCell">
      <w:tblPr/>
      <w:tcPr>
        <w:tcBorders>
          <w:top w:val="single" w:sz="4" w:space="0" w:color="FF56A6" w:themeColor="accent2" w:themeTint="99"/>
        </w:tcBorders>
      </w:tcPr>
    </w:tblStylePr>
  </w:style>
  <w:style w:type="table" w:styleId="GridTable3-Accent3">
    <w:name w:val="Grid Table 3 Accent 3"/>
    <w:basedOn w:val="TableNormal"/>
    <w:uiPriority w:val="48"/>
    <w:rsid w:val="00DF245D"/>
    <w:pPr>
      <w:spacing w:after="0" w:line="240" w:lineRule="auto"/>
    </w:pPr>
    <w:tblPr>
      <w:tblStyleRowBandSize w:val="1"/>
      <w:tblStyleColBandSize w:val="1"/>
      <w:tblBorders>
        <w:top w:val="single" w:sz="4" w:space="0" w:color="6658CF" w:themeColor="accent3" w:themeTint="99"/>
        <w:left w:val="single" w:sz="4" w:space="0" w:color="6658CF" w:themeColor="accent3" w:themeTint="99"/>
        <w:bottom w:val="single" w:sz="4" w:space="0" w:color="6658CF" w:themeColor="accent3" w:themeTint="99"/>
        <w:right w:val="single" w:sz="4" w:space="0" w:color="6658CF" w:themeColor="accent3" w:themeTint="99"/>
        <w:insideH w:val="single" w:sz="4" w:space="0" w:color="6658CF" w:themeColor="accent3" w:themeTint="99"/>
        <w:insideV w:val="single" w:sz="4" w:space="0" w:color="6658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7EF" w:themeFill="accent3" w:themeFillTint="33"/>
      </w:tcPr>
    </w:tblStylePr>
    <w:tblStylePr w:type="band1Horz">
      <w:tblPr/>
      <w:tcPr>
        <w:shd w:val="clear" w:color="auto" w:fill="CCC7EF" w:themeFill="accent3" w:themeFillTint="33"/>
      </w:tcPr>
    </w:tblStylePr>
    <w:tblStylePr w:type="neCell">
      <w:tblPr/>
      <w:tcPr>
        <w:tcBorders>
          <w:bottom w:val="single" w:sz="4" w:space="0" w:color="6658CF" w:themeColor="accent3" w:themeTint="99"/>
        </w:tcBorders>
      </w:tcPr>
    </w:tblStylePr>
    <w:tblStylePr w:type="nwCell">
      <w:tblPr/>
      <w:tcPr>
        <w:tcBorders>
          <w:bottom w:val="single" w:sz="4" w:space="0" w:color="6658CF" w:themeColor="accent3" w:themeTint="99"/>
        </w:tcBorders>
      </w:tcPr>
    </w:tblStylePr>
    <w:tblStylePr w:type="seCell">
      <w:tblPr/>
      <w:tcPr>
        <w:tcBorders>
          <w:top w:val="single" w:sz="4" w:space="0" w:color="6658CF" w:themeColor="accent3" w:themeTint="99"/>
        </w:tcBorders>
      </w:tcPr>
    </w:tblStylePr>
    <w:tblStylePr w:type="swCell">
      <w:tblPr/>
      <w:tcPr>
        <w:tcBorders>
          <w:top w:val="single" w:sz="4" w:space="0" w:color="6658CF" w:themeColor="accent3" w:themeTint="99"/>
        </w:tcBorders>
      </w:tcPr>
    </w:tblStylePr>
  </w:style>
  <w:style w:type="table" w:styleId="GridTable3-Accent4">
    <w:name w:val="Grid Table 3 Accent 4"/>
    <w:basedOn w:val="TableNormal"/>
    <w:uiPriority w:val="48"/>
    <w:rsid w:val="00DF245D"/>
    <w:pPr>
      <w:spacing w:after="0" w:line="240" w:lineRule="auto"/>
    </w:pPr>
    <w:tblPr>
      <w:tblStyleRowBandSize w:val="1"/>
      <w:tblStyleColBandSize w:val="1"/>
      <w:tblBorders>
        <w:top w:val="single" w:sz="4" w:space="0" w:color="E23D8B" w:themeColor="accent4" w:themeTint="99"/>
        <w:left w:val="single" w:sz="4" w:space="0" w:color="E23D8B" w:themeColor="accent4" w:themeTint="99"/>
        <w:bottom w:val="single" w:sz="4" w:space="0" w:color="E23D8B" w:themeColor="accent4" w:themeTint="99"/>
        <w:right w:val="single" w:sz="4" w:space="0" w:color="E23D8B" w:themeColor="accent4" w:themeTint="99"/>
        <w:insideH w:val="single" w:sz="4" w:space="0" w:color="E23D8B" w:themeColor="accent4" w:themeTint="99"/>
        <w:insideV w:val="single" w:sz="4" w:space="0" w:color="E23D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BED8" w:themeFill="accent4" w:themeFillTint="33"/>
      </w:tcPr>
    </w:tblStylePr>
    <w:tblStylePr w:type="band1Horz">
      <w:tblPr/>
      <w:tcPr>
        <w:shd w:val="clear" w:color="auto" w:fill="F5BED8" w:themeFill="accent4" w:themeFillTint="33"/>
      </w:tcPr>
    </w:tblStylePr>
    <w:tblStylePr w:type="neCell">
      <w:tblPr/>
      <w:tcPr>
        <w:tcBorders>
          <w:bottom w:val="single" w:sz="4" w:space="0" w:color="E23D8B" w:themeColor="accent4" w:themeTint="99"/>
        </w:tcBorders>
      </w:tcPr>
    </w:tblStylePr>
    <w:tblStylePr w:type="nwCell">
      <w:tblPr/>
      <w:tcPr>
        <w:tcBorders>
          <w:bottom w:val="single" w:sz="4" w:space="0" w:color="E23D8B" w:themeColor="accent4" w:themeTint="99"/>
        </w:tcBorders>
      </w:tcPr>
    </w:tblStylePr>
    <w:tblStylePr w:type="seCell">
      <w:tblPr/>
      <w:tcPr>
        <w:tcBorders>
          <w:top w:val="single" w:sz="4" w:space="0" w:color="E23D8B" w:themeColor="accent4" w:themeTint="99"/>
        </w:tcBorders>
      </w:tcPr>
    </w:tblStylePr>
    <w:tblStylePr w:type="swCell">
      <w:tblPr/>
      <w:tcPr>
        <w:tcBorders>
          <w:top w:val="single" w:sz="4" w:space="0" w:color="E23D8B" w:themeColor="accent4" w:themeTint="99"/>
        </w:tcBorders>
      </w:tcPr>
    </w:tblStylePr>
  </w:style>
  <w:style w:type="table" w:styleId="GridTable3-Accent5">
    <w:name w:val="Grid Table 3 Accent 5"/>
    <w:basedOn w:val="TableNormal"/>
    <w:uiPriority w:val="48"/>
    <w:rsid w:val="00DF245D"/>
    <w:pPr>
      <w:spacing w:after="0" w:line="240" w:lineRule="auto"/>
    </w:pPr>
    <w:tblPr>
      <w:tblStyleRowBandSize w:val="1"/>
      <w:tblStyleColBandSize w:val="1"/>
      <w:tblBorders>
        <w:top w:val="single" w:sz="4" w:space="0" w:color="DEF555" w:themeColor="accent5" w:themeTint="99"/>
        <w:left w:val="single" w:sz="4" w:space="0" w:color="DEF555" w:themeColor="accent5" w:themeTint="99"/>
        <w:bottom w:val="single" w:sz="4" w:space="0" w:color="DEF555" w:themeColor="accent5" w:themeTint="99"/>
        <w:right w:val="single" w:sz="4" w:space="0" w:color="DEF555" w:themeColor="accent5" w:themeTint="99"/>
        <w:insideH w:val="single" w:sz="4" w:space="0" w:color="DEF555" w:themeColor="accent5" w:themeTint="99"/>
        <w:insideV w:val="single" w:sz="4" w:space="0" w:color="DEF55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CC6" w:themeFill="accent5" w:themeFillTint="33"/>
      </w:tcPr>
    </w:tblStylePr>
    <w:tblStylePr w:type="band1Horz">
      <w:tblPr/>
      <w:tcPr>
        <w:shd w:val="clear" w:color="auto" w:fill="F4FCC6" w:themeFill="accent5" w:themeFillTint="33"/>
      </w:tcPr>
    </w:tblStylePr>
    <w:tblStylePr w:type="neCell">
      <w:tblPr/>
      <w:tcPr>
        <w:tcBorders>
          <w:bottom w:val="single" w:sz="4" w:space="0" w:color="DEF555" w:themeColor="accent5" w:themeTint="99"/>
        </w:tcBorders>
      </w:tcPr>
    </w:tblStylePr>
    <w:tblStylePr w:type="nwCell">
      <w:tblPr/>
      <w:tcPr>
        <w:tcBorders>
          <w:bottom w:val="single" w:sz="4" w:space="0" w:color="DEF555" w:themeColor="accent5" w:themeTint="99"/>
        </w:tcBorders>
      </w:tcPr>
    </w:tblStylePr>
    <w:tblStylePr w:type="seCell">
      <w:tblPr/>
      <w:tcPr>
        <w:tcBorders>
          <w:top w:val="single" w:sz="4" w:space="0" w:color="DEF555" w:themeColor="accent5" w:themeTint="99"/>
        </w:tcBorders>
      </w:tcPr>
    </w:tblStylePr>
    <w:tblStylePr w:type="swCell">
      <w:tblPr/>
      <w:tcPr>
        <w:tcBorders>
          <w:top w:val="single" w:sz="4" w:space="0" w:color="DEF555" w:themeColor="accent5" w:themeTint="99"/>
        </w:tcBorders>
      </w:tcPr>
    </w:tblStylePr>
  </w:style>
  <w:style w:type="table" w:styleId="GridTable3-Accent6">
    <w:name w:val="Grid Table 3 Accent 6"/>
    <w:basedOn w:val="TableNormal"/>
    <w:uiPriority w:val="48"/>
    <w:rsid w:val="00DF245D"/>
    <w:pPr>
      <w:spacing w:after="0" w:line="240" w:lineRule="auto"/>
    </w:pPr>
    <w:tblPr>
      <w:tblStyleRowBandSize w:val="1"/>
      <w:tblStyleColBandSize w:val="1"/>
      <w:tblBorders>
        <w:top w:val="single" w:sz="4" w:space="0" w:color="7FD67B" w:themeColor="accent6" w:themeTint="99"/>
        <w:left w:val="single" w:sz="4" w:space="0" w:color="7FD67B" w:themeColor="accent6" w:themeTint="99"/>
        <w:bottom w:val="single" w:sz="4" w:space="0" w:color="7FD67B" w:themeColor="accent6" w:themeTint="99"/>
        <w:right w:val="single" w:sz="4" w:space="0" w:color="7FD67B" w:themeColor="accent6" w:themeTint="99"/>
        <w:insideH w:val="single" w:sz="4" w:space="0" w:color="7FD67B" w:themeColor="accent6" w:themeTint="99"/>
        <w:insideV w:val="single" w:sz="4" w:space="0" w:color="7FD6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F1D3" w:themeFill="accent6" w:themeFillTint="33"/>
      </w:tcPr>
    </w:tblStylePr>
    <w:tblStylePr w:type="band1Horz">
      <w:tblPr/>
      <w:tcPr>
        <w:shd w:val="clear" w:color="auto" w:fill="D4F1D3" w:themeFill="accent6" w:themeFillTint="33"/>
      </w:tcPr>
    </w:tblStylePr>
    <w:tblStylePr w:type="neCell">
      <w:tblPr/>
      <w:tcPr>
        <w:tcBorders>
          <w:bottom w:val="single" w:sz="4" w:space="0" w:color="7FD67B" w:themeColor="accent6" w:themeTint="99"/>
        </w:tcBorders>
      </w:tcPr>
    </w:tblStylePr>
    <w:tblStylePr w:type="nwCell">
      <w:tblPr/>
      <w:tcPr>
        <w:tcBorders>
          <w:bottom w:val="single" w:sz="4" w:space="0" w:color="7FD67B" w:themeColor="accent6" w:themeTint="99"/>
        </w:tcBorders>
      </w:tcPr>
    </w:tblStylePr>
    <w:tblStylePr w:type="seCell">
      <w:tblPr/>
      <w:tcPr>
        <w:tcBorders>
          <w:top w:val="single" w:sz="4" w:space="0" w:color="7FD67B" w:themeColor="accent6" w:themeTint="99"/>
        </w:tcBorders>
      </w:tcPr>
    </w:tblStylePr>
    <w:tblStylePr w:type="swCell">
      <w:tblPr/>
      <w:tcPr>
        <w:tcBorders>
          <w:top w:val="single" w:sz="4" w:space="0" w:color="7FD67B" w:themeColor="accent6" w:themeTint="99"/>
        </w:tcBorders>
      </w:tcPr>
    </w:tblStylePr>
  </w:style>
  <w:style w:type="table" w:styleId="GridTable4-Accent2">
    <w:name w:val="Grid Table 4 Accent 2"/>
    <w:basedOn w:val="TableNormal"/>
    <w:uiPriority w:val="49"/>
    <w:rsid w:val="00DF245D"/>
    <w:pPr>
      <w:spacing w:after="0" w:line="240" w:lineRule="auto"/>
    </w:pPr>
    <w:tblPr>
      <w:tblStyleRowBandSize w:val="1"/>
      <w:tblStyleColBandSize w:val="1"/>
      <w:tblBorders>
        <w:top w:val="single" w:sz="4" w:space="0" w:color="FF56A6" w:themeColor="accent2" w:themeTint="99"/>
        <w:left w:val="single" w:sz="4" w:space="0" w:color="FF56A6" w:themeColor="accent2" w:themeTint="99"/>
        <w:bottom w:val="single" w:sz="4" w:space="0" w:color="FF56A6" w:themeColor="accent2" w:themeTint="99"/>
        <w:right w:val="single" w:sz="4" w:space="0" w:color="FF56A6" w:themeColor="accent2" w:themeTint="99"/>
        <w:insideH w:val="single" w:sz="4" w:space="0" w:color="FF56A6" w:themeColor="accent2" w:themeTint="99"/>
        <w:insideV w:val="single" w:sz="4" w:space="0" w:color="FF56A6" w:themeColor="accent2" w:themeTint="99"/>
      </w:tblBorders>
    </w:tblPr>
    <w:tblStylePr w:type="firstRow">
      <w:rPr>
        <w:b/>
        <w:bCs/>
        <w:color w:val="FFFFFF" w:themeColor="background1"/>
      </w:rPr>
      <w:tblPr/>
      <w:tcPr>
        <w:tcBorders>
          <w:top w:val="single" w:sz="4" w:space="0" w:color="E5006D" w:themeColor="accent2"/>
          <w:left w:val="single" w:sz="4" w:space="0" w:color="E5006D" w:themeColor="accent2"/>
          <w:bottom w:val="single" w:sz="4" w:space="0" w:color="E5006D" w:themeColor="accent2"/>
          <w:right w:val="single" w:sz="4" w:space="0" w:color="E5006D" w:themeColor="accent2"/>
          <w:insideH w:val="nil"/>
          <w:insideV w:val="nil"/>
        </w:tcBorders>
        <w:shd w:val="clear" w:color="auto" w:fill="E5006D" w:themeFill="accent2"/>
      </w:tcPr>
    </w:tblStylePr>
    <w:tblStylePr w:type="lastRow">
      <w:rPr>
        <w:b/>
        <w:bCs/>
      </w:rPr>
      <w:tblPr/>
      <w:tcPr>
        <w:tcBorders>
          <w:top w:val="double" w:sz="4" w:space="0" w:color="E5006D" w:themeColor="accent2"/>
        </w:tcBorders>
      </w:tcPr>
    </w:tblStylePr>
    <w:tblStylePr w:type="firstCol">
      <w:rPr>
        <w:b/>
        <w:bCs/>
      </w:rPr>
    </w:tblStylePr>
    <w:tblStylePr w:type="lastCol">
      <w:rPr>
        <w:b/>
        <w:bCs/>
      </w:rPr>
    </w:tblStylePr>
    <w:tblStylePr w:type="band1Vert">
      <w:tblPr/>
      <w:tcPr>
        <w:shd w:val="clear" w:color="auto" w:fill="FFC6E1" w:themeFill="accent2" w:themeFillTint="33"/>
      </w:tcPr>
    </w:tblStylePr>
    <w:tblStylePr w:type="band1Horz">
      <w:tblPr/>
      <w:tcPr>
        <w:shd w:val="clear" w:color="auto" w:fill="FFC6E1" w:themeFill="accent2" w:themeFillTint="33"/>
      </w:tcPr>
    </w:tblStylePr>
  </w:style>
  <w:style w:type="table" w:styleId="GridTable4-Accent3">
    <w:name w:val="Grid Table 4 Accent 3"/>
    <w:basedOn w:val="TableNormal"/>
    <w:uiPriority w:val="49"/>
    <w:rsid w:val="00DF245D"/>
    <w:pPr>
      <w:spacing w:after="0" w:line="240" w:lineRule="auto"/>
    </w:pPr>
    <w:tblPr>
      <w:tblStyleRowBandSize w:val="1"/>
      <w:tblStyleColBandSize w:val="1"/>
      <w:tblBorders>
        <w:top w:val="single" w:sz="4" w:space="0" w:color="6658CF" w:themeColor="accent3" w:themeTint="99"/>
        <w:left w:val="single" w:sz="4" w:space="0" w:color="6658CF" w:themeColor="accent3" w:themeTint="99"/>
        <w:bottom w:val="single" w:sz="4" w:space="0" w:color="6658CF" w:themeColor="accent3" w:themeTint="99"/>
        <w:right w:val="single" w:sz="4" w:space="0" w:color="6658CF" w:themeColor="accent3" w:themeTint="99"/>
        <w:insideH w:val="single" w:sz="4" w:space="0" w:color="6658CF" w:themeColor="accent3" w:themeTint="99"/>
        <w:insideV w:val="single" w:sz="4" w:space="0" w:color="6658CF" w:themeColor="accent3" w:themeTint="99"/>
      </w:tblBorders>
    </w:tblPr>
    <w:tblStylePr w:type="firstRow">
      <w:rPr>
        <w:b/>
        <w:bCs/>
        <w:color w:val="FFFFFF" w:themeColor="background1"/>
      </w:rPr>
      <w:tblPr/>
      <w:tcPr>
        <w:tcBorders>
          <w:top w:val="single" w:sz="4" w:space="0" w:color="2C2276" w:themeColor="accent3"/>
          <w:left w:val="single" w:sz="4" w:space="0" w:color="2C2276" w:themeColor="accent3"/>
          <w:bottom w:val="single" w:sz="4" w:space="0" w:color="2C2276" w:themeColor="accent3"/>
          <w:right w:val="single" w:sz="4" w:space="0" w:color="2C2276" w:themeColor="accent3"/>
          <w:insideH w:val="nil"/>
          <w:insideV w:val="nil"/>
        </w:tcBorders>
        <w:shd w:val="clear" w:color="auto" w:fill="2C2276" w:themeFill="accent3"/>
      </w:tcPr>
    </w:tblStylePr>
    <w:tblStylePr w:type="lastRow">
      <w:rPr>
        <w:b/>
        <w:bCs/>
      </w:rPr>
      <w:tblPr/>
      <w:tcPr>
        <w:tcBorders>
          <w:top w:val="double" w:sz="4" w:space="0" w:color="2C2276" w:themeColor="accent3"/>
        </w:tcBorders>
      </w:tcPr>
    </w:tblStylePr>
    <w:tblStylePr w:type="firstCol">
      <w:rPr>
        <w:b/>
        <w:bCs/>
      </w:rPr>
    </w:tblStylePr>
    <w:tblStylePr w:type="lastCol">
      <w:rPr>
        <w:b/>
        <w:bCs/>
      </w:rPr>
    </w:tblStylePr>
    <w:tblStylePr w:type="band1Vert">
      <w:tblPr/>
      <w:tcPr>
        <w:shd w:val="clear" w:color="auto" w:fill="CCC7EF" w:themeFill="accent3" w:themeFillTint="33"/>
      </w:tcPr>
    </w:tblStylePr>
    <w:tblStylePr w:type="band1Horz">
      <w:tblPr/>
      <w:tcPr>
        <w:shd w:val="clear" w:color="auto" w:fill="CCC7EF" w:themeFill="accent3" w:themeFillTint="33"/>
      </w:tcPr>
    </w:tblStylePr>
  </w:style>
  <w:style w:type="table" w:styleId="GridTable4-Accent4">
    <w:name w:val="Grid Table 4 Accent 4"/>
    <w:basedOn w:val="TableNormal"/>
    <w:uiPriority w:val="49"/>
    <w:rsid w:val="00DF245D"/>
    <w:pPr>
      <w:spacing w:after="0" w:line="240" w:lineRule="auto"/>
    </w:pPr>
    <w:tblPr>
      <w:tblStyleRowBandSize w:val="1"/>
      <w:tblStyleColBandSize w:val="1"/>
      <w:tblBorders>
        <w:top w:val="single" w:sz="4" w:space="0" w:color="E23D8B" w:themeColor="accent4" w:themeTint="99"/>
        <w:left w:val="single" w:sz="4" w:space="0" w:color="E23D8B" w:themeColor="accent4" w:themeTint="99"/>
        <w:bottom w:val="single" w:sz="4" w:space="0" w:color="E23D8B" w:themeColor="accent4" w:themeTint="99"/>
        <w:right w:val="single" w:sz="4" w:space="0" w:color="E23D8B" w:themeColor="accent4" w:themeTint="99"/>
        <w:insideH w:val="single" w:sz="4" w:space="0" w:color="E23D8B" w:themeColor="accent4" w:themeTint="99"/>
        <w:insideV w:val="single" w:sz="4" w:space="0" w:color="E23D8B" w:themeColor="accent4" w:themeTint="99"/>
      </w:tblBorders>
    </w:tblPr>
    <w:tblStylePr w:type="firstRow">
      <w:rPr>
        <w:b/>
        <w:bCs/>
        <w:color w:val="FFFFFF" w:themeColor="background1"/>
      </w:rPr>
      <w:tblPr/>
      <w:tcPr>
        <w:tcBorders>
          <w:top w:val="single" w:sz="4" w:space="0" w:color="7B1244" w:themeColor="accent4"/>
          <w:left w:val="single" w:sz="4" w:space="0" w:color="7B1244" w:themeColor="accent4"/>
          <w:bottom w:val="single" w:sz="4" w:space="0" w:color="7B1244" w:themeColor="accent4"/>
          <w:right w:val="single" w:sz="4" w:space="0" w:color="7B1244" w:themeColor="accent4"/>
          <w:insideH w:val="nil"/>
          <w:insideV w:val="nil"/>
        </w:tcBorders>
        <w:shd w:val="clear" w:color="auto" w:fill="7B1244" w:themeFill="accent4"/>
      </w:tcPr>
    </w:tblStylePr>
    <w:tblStylePr w:type="lastRow">
      <w:rPr>
        <w:b/>
        <w:bCs/>
      </w:rPr>
      <w:tblPr/>
      <w:tcPr>
        <w:tcBorders>
          <w:top w:val="double" w:sz="4" w:space="0" w:color="7B1244" w:themeColor="accent4"/>
        </w:tcBorders>
      </w:tcPr>
    </w:tblStylePr>
    <w:tblStylePr w:type="firstCol">
      <w:rPr>
        <w:b/>
        <w:bCs/>
      </w:rPr>
    </w:tblStylePr>
    <w:tblStylePr w:type="lastCol">
      <w:rPr>
        <w:b/>
        <w:bCs/>
      </w:rPr>
    </w:tblStylePr>
    <w:tblStylePr w:type="band1Vert">
      <w:tblPr/>
      <w:tcPr>
        <w:shd w:val="clear" w:color="auto" w:fill="F5BED8" w:themeFill="accent4" w:themeFillTint="33"/>
      </w:tcPr>
    </w:tblStylePr>
    <w:tblStylePr w:type="band1Horz">
      <w:tblPr/>
      <w:tcPr>
        <w:shd w:val="clear" w:color="auto" w:fill="F5BED8" w:themeFill="accent4" w:themeFillTint="33"/>
      </w:tcPr>
    </w:tblStylePr>
  </w:style>
  <w:style w:type="table" w:styleId="GridTable4-Accent5">
    <w:name w:val="Grid Table 4 Accent 5"/>
    <w:basedOn w:val="TableNormal"/>
    <w:uiPriority w:val="49"/>
    <w:rsid w:val="00DF245D"/>
    <w:pPr>
      <w:spacing w:after="0" w:line="240" w:lineRule="auto"/>
    </w:pPr>
    <w:tblPr>
      <w:tblStyleRowBandSize w:val="1"/>
      <w:tblStyleColBandSize w:val="1"/>
      <w:tblBorders>
        <w:top w:val="single" w:sz="4" w:space="0" w:color="DEF555" w:themeColor="accent5" w:themeTint="99"/>
        <w:left w:val="single" w:sz="4" w:space="0" w:color="DEF555" w:themeColor="accent5" w:themeTint="99"/>
        <w:bottom w:val="single" w:sz="4" w:space="0" w:color="DEF555" w:themeColor="accent5" w:themeTint="99"/>
        <w:right w:val="single" w:sz="4" w:space="0" w:color="DEF555" w:themeColor="accent5" w:themeTint="99"/>
        <w:insideH w:val="single" w:sz="4" w:space="0" w:color="DEF555" w:themeColor="accent5" w:themeTint="99"/>
        <w:insideV w:val="single" w:sz="4" w:space="0" w:color="DEF555" w:themeColor="accent5" w:themeTint="99"/>
      </w:tblBorders>
    </w:tblPr>
    <w:tblStylePr w:type="firstRow">
      <w:rPr>
        <w:b/>
        <w:bCs/>
        <w:color w:val="FFFFFF" w:themeColor="background1"/>
      </w:rPr>
      <w:tblPr/>
      <w:tcPr>
        <w:tcBorders>
          <w:top w:val="single" w:sz="4" w:space="0" w:color="AFCA0B" w:themeColor="accent5"/>
          <w:left w:val="single" w:sz="4" w:space="0" w:color="AFCA0B" w:themeColor="accent5"/>
          <w:bottom w:val="single" w:sz="4" w:space="0" w:color="AFCA0B" w:themeColor="accent5"/>
          <w:right w:val="single" w:sz="4" w:space="0" w:color="AFCA0B" w:themeColor="accent5"/>
          <w:insideH w:val="nil"/>
          <w:insideV w:val="nil"/>
        </w:tcBorders>
        <w:shd w:val="clear" w:color="auto" w:fill="AFCA0B" w:themeFill="accent5"/>
      </w:tcPr>
    </w:tblStylePr>
    <w:tblStylePr w:type="lastRow">
      <w:rPr>
        <w:b/>
        <w:bCs/>
      </w:rPr>
      <w:tblPr/>
      <w:tcPr>
        <w:tcBorders>
          <w:top w:val="double" w:sz="4" w:space="0" w:color="AFCA0B" w:themeColor="accent5"/>
        </w:tcBorders>
      </w:tcPr>
    </w:tblStylePr>
    <w:tblStylePr w:type="firstCol">
      <w:rPr>
        <w:b/>
        <w:bCs/>
      </w:rPr>
    </w:tblStylePr>
    <w:tblStylePr w:type="lastCol">
      <w:rPr>
        <w:b/>
        <w:bCs/>
      </w:rPr>
    </w:tblStylePr>
    <w:tblStylePr w:type="band1Vert">
      <w:tblPr/>
      <w:tcPr>
        <w:shd w:val="clear" w:color="auto" w:fill="F4FCC6" w:themeFill="accent5" w:themeFillTint="33"/>
      </w:tcPr>
    </w:tblStylePr>
    <w:tblStylePr w:type="band1Horz">
      <w:tblPr/>
      <w:tcPr>
        <w:shd w:val="clear" w:color="auto" w:fill="F4FCC6" w:themeFill="accent5" w:themeFillTint="33"/>
      </w:tcPr>
    </w:tblStylePr>
  </w:style>
  <w:style w:type="table" w:styleId="GridTable4-Accent6">
    <w:name w:val="Grid Table 4 Accent 6"/>
    <w:basedOn w:val="TableNormal"/>
    <w:uiPriority w:val="49"/>
    <w:rsid w:val="00DF245D"/>
    <w:pPr>
      <w:spacing w:after="0" w:line="240" w:lineRule="auto"/>
    </w:pPr>
    <w:tblPr>
      <w:tblStyleRowBandSize w:val="1"/>
      <w:tblStyleColBandSize w:val="1"/>
      <w:tblBorders>
        <w:top w:val="single" w:sz="4" w:space="0" w:color="7FD67B" w:themeColor="accent6" w:themeTint="99"/>
        <w:left w:val="single" w:sz="4" w:space="0" w:color="7FD67B" w:themeColor="accent6" w:themeTint="99"/>
        <w:bottom w:val="single" w:sz="4" w:space="0" w:color="7FD67B" w:themeColor="accent6" w:themeTint="99"/>
        <w:right w:val="single" w:sz="4" w:space="0" w:color="7FD67B" w:themeColor="accent6" w:themeTint="99"/>
        <w:insideH w:val="single" w:sz="4" w:space="0" w:color="7FD67B" w:themeColor="accent6" w:themeTint="99"/>
        <w:insideV w:val="single" w:sz="4" w:space="0" w:color="7FD67B" w:themeColor="accent6" w:themeTint="99"/>
      </w:tblBorders>
    </w:tblPr>
    <w:tblStylePr w:type="firstRow">
      <w:rPr>
        <w:b/>
        <w:bCs/>
        <w:color w:val="FFFFFF" w:themeColor="background1"/>
      </w:rPr>
      <w:tblPr/>
      <w:tcPr>
        <w:tcBorders>
          <w:top w:val="single" w:sz="4" w:space="0" w:color="3AAA35" w:themeColor="accent6"/>
          <w:left w:val="single" w:sz="4" w:space="0" w:color="3AAA35" w:themeColor="accent6"/>
          <w:bottom w:val="single" w:sz="4" w:space="0" w:color="3AAA35" w:themeColor="accent6"/>
          <w:right w:val="single" w:sz="4" w:space="0" w:color="3AAA35" w:themeColor="accent6"/>
          <w:insideH w:val="nil"/>
          <w:insideV w:val="nil"/>
        </w:tcBorders>
        <w:shd w:val="clear" w:color="auto" w:fill="3AAA35" w:themeFill="accent6"/>
      </w:tcPr>
    </w:tblStylePr>
    <w:tblStylePr w:type="lastRow">
      <w:rPr>
        <w:b/>
        <w:bCs/>
      </w:rPr>
      <w:tblPr/>
      <w:tcPr>
        <w:tcBorders>
          <w:top w:val="double" w:sz="4" w:space="0" w:color="3AAA35" w:themeColor="accent6"/>
        </w:tcBorders>
      </w:tcPr>
    </w:tblStylePr>
    <w:tblStylePr w:type="firstCol">
      <w:rPr>
        <w:b/>
        <w:bCs/>
      </w:rPr>
    </w:tblStylePr>
    <w:tblStylePr w:type="lastCol">
      <w:rPr>
        <w:b/>
        <w:bCs/>
      </w:rPr>
    </w:tblStylePr>
    <w:tblStylePr w:type="band1Vert">
      <w:tblPr/>
      <w:tcPr>
        <w:shd w:val="clear" w:color="auto" w:fill="D4F1D3" w:themeFill="accent6" w:themeFillTint="33"/>
      </w:tcPr>
    </w:tblStylePr>
    <w:tblStylePr w:type="band1Horz">
      <w:tblPr/>
      <w:tcPr>
        <w:shd w:val="clear" w:color="auto" w:fill="D4F1D3" w:themeFill="accent6" w:themeFillTint="33"/>
      </w:tcPr>
    </w:tblStylePr>
  </w:style>
  <w:style w:type="table" w:styleId="GridTable5Dark-Accent2">
    <w:name w:val="Grid Table 5 Dark Accent 2"/>
    <w:basedOn w:val="TableNormal"/>
    <w:uiPriority w:val="50"/>
    <w:rsid w:val="00DF2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6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006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006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006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006D" w:themeFill="accent2"/>
      </w:tcPr>
    </w:tblStylePr>
    <w:tblStylePr w:type="band1Vert">
      <w:tblPr/>
      <w:tcPr>
        <w:shd w:val="clear" w:color="auto" w:fill="FF8EC3" w:themeFill="accent2" w:themeFillTint="66"/>
      </w:tcPr>
    </w:tblStylePr>
    <w:tblStylePr w:type="band1Horz">
      <w:tblPr/>
      <w:tcPr>
        <w:shd w:val="clear" w:color="auto" w:fill="FF8EC3" w:themeFill="accent2" w:themeFillTint="66"/>
      </w:tcPr>
    </w:tblStylePr>
  </w:style>
  <w:style w:type="table" w:styleId="GridTable5Dark-Accent3">
    <w:name w:val="Grid Table 5 Dark Accent 3"/>
    <w:basedOn w:val="TableNormal"/>
    <w:uiPriority w:val="50"/>
    <w:rsid w:val="00DF2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7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227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227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227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2276" w:themeFill="accent3"/>
      </w:tcPr>
    </w:tblStylePr>
    <w:tblStylePr w:type="band1Vert">
      <w:tblPr/>
      <w:tcPr>
        <w:shd w:val="clear" w:color="auto" w:fill="998FDF" w:themeFill="accent3" w:themeFillTint="66"/>
      </w:tcPr>
    </w:tblStylePr>
    <w:tblStylePr w:type="band1Horz">
      <w:tblPr/>
      <w:tcPr>
        <w:shd w:val="clear" w:color="auto" w:fill="998FDF" w:themeFill="accent3" w:themeFillTint="66"/>
      </w:tcPr>
    </w:tblStylePr>
  </w:style>
  <w:style w:type="table" w:styleId="GridTable5Dark-Accent4">
    <w:name w:val="Grid Table 5 Dark Accent 4"/>
    <w:basedOn w:val="TableNormal"/>
    <w:uiPriority w:val="50"/>
    <w:rsid w:val="00DF2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BE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124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124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124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1244" w:themeFill="accent4"/>
      </w:tcPr>
    </w:tblStylePr>
    <w:tblStylePr w:type="band1Vert">
      <w:tblPr/>
      <w:tcPr>
        <w:shd w:val="clear" w:color="auto" w:fill="EC7EB2" w:themeFill="accent4" w:themeFillTint="66"/>
      </w:tcPr>
    </w:tblStylePr>
    <w:tblStylePr w:type="band1Horz">
      <w:tblPr/>
      <w:tcPr>
        <w:shd w:val="clear" w:color="auto" w:fill="EC7EB2" w:themeFill="accent4" w:themeFillTint="66"/>
      </w:tcPr>
    </w:tblStylePr>
  </w:style>
  <w:style w:type="table" w:styleId="GridTable5Dark-Accent5">
    <w:name w:val="Grid Table 5 Dark Accent 5"/>
    <w:basedOn w:val="TableNormal"/>
    <w:uiPriority w:val="50"/>
    <w:rsid w:val="00DF2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CC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CA0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CA0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CA0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CA0B" w:themeFill="accent5"/>
      </w:tcPr>
    </w:tblStylePr>
    <w:tblStylePr w:type="band1Vert">
      <w:tblPr/>
      <w:tcPr>
        <w:shd w:val="clear" w:color="auto" w:fill="E9F88E" w:themeFill="accent5" w:themeFillTint="66"/>
      </w:tcPr>
    </w:tblStylePr>
    <w:tblStylePr w:type="band1Horz">
      <w:tblPr/>
      <w:tcPr>
        <w:shd w:val="clear" w:color="auto" w:fill="E9F88E" w:themeFill="accent5" w:themeFillTint="66"/>
      </w:tcPr>
    </w:tblStylePr>
  </w:style>
  <w:style w:type="table" w:styleId="GridTable5Dark-Accent6">
    <w:name w:val="Grid Table 5 Dark Accent 6"/>
    <w:basedOn w:val="TableNormal"/>
    <w:uiPriority w:val="50"/>
    <w:rsid w:val="00DF24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F1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AA3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AA3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AA3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AA35" w:themeFill="accent6"/>
      </w:tcPr>
    </w:tblStylePr>
    <w:tblStylePr w:type="band1Vert">
      <w:tblPr/>
      <w:tcPr>
        <w:shd w:val="clear" w:color="auto" w:fill="A9E3A7" w:themeFill="accent6" w:themeFillTint="66"/>
      </w:tcPr>
    </w:tblStylePr>
    <w:tblStylePr w:type="band1Horz">
      <w:tblPr/>
      <w:tcPr>
        <w:shd w:val="clear" w:color="auto" w:fill="A9E3A7" w:themeFill="accent6" w:themeFillTint="66"/>
      </w:tcPr>
    </w:tblStylePr>
  </w:style>
  <w:style w:type="table" w:styleId="GridTable6Colorful-Accent1">
    <w:name w:val="Grid Table 6 Colorful Accent 1"/>
    <w:basedOn w:val="TableNormal"/>
    <w:uiPriority w:val="51"/>
    <w:rsid w:val="00DF245D"/>
    <w:pPr>
      <w:spacing w:after="0" w:line="240" w:lineRule="auto"/>
    </w:pPr>
    <w:rPr>
      <w:color w:val="006E93" w:themeColor="accent1" w:themeShade="BF"/>
    </w:rPr>
    <w:tblPr>
      <w:tblStyleRowBandSize w:val="1"/>
      <w:tblStyleColBandSize w:val="1"/>
      <w:tblBorders>
        <w:top w:val="single" w:sz="4" w:space="0" w:color="43CFFF" w:themeColor="accent1" w:themeTint="99"/>
        <w:left w:val="single" w:sz="4" w:space="0" w:color="43CFFF" w:themeColor="accent1" w:themeTint="99"/>
        <w:bottom w:val="single" w:sz="4" w:space="0" w:color="43CFFF" w:themeColor="accent1" w:themeTint="99"/>
        <w:right w:val="single" w:sz="4" w:space="0" w:color="43CFFF" w:themeColor="accent1" w:themeTint="99"/>
        <w:insideH w:val="single" w:sz="4" w:space="0" w:color="43CFFF" w:themeColor="accent1" w:themeTint="99"/>
        <w:insideV w:val="single" w:sz="4" w:space="0" w:color="43CFFF" w:themeColor="accent1" w:themeTint="99"/>
      </w:tblBorders>
    </w:tblPr>
    <w:tblStylePr w:type="firstRow">
      <w:rPr>
        <w:b/>
        <w:bCs/>
      </w:rPr>
      <w:tblPr/>
      <w:tcPr>
        <w:tcBorders>
          <w:bottom w:val="single" w:sz="12" w:space="0" w:color="43CFFF" w:themeColor="accent1" w:themeTint="99"/>
        </w:tcBorders>
      </w:tcPr>
    </w:tblStylePr>
    <w:tblStylePr w:type="lastRow">
      <w:rPr>
        <w:b/>
        <w:bCs/>
      </w:rPr>
      <w:tblPr/>
      <w:tcPr>
        <w:tcBorders>
          <w:top w:val="double" w:sz="4" w:space="0" w:color="43CFFF" w:themeColor="accent1" w:themeTint="99"/>
        </w:tcBorders>
      </w:tcPr>
    </w:tblStylePr>
    <w:tblStylePr w:type="firstCol">
      <w:rPr>
        <w:b/>
        <w:bCs/>
      </w:rPr>
    </w:tblStylePr>
    <w:tblStylePr w:type="lastCol">
      <w:rPr>
        <w:b/>
        <w:bCs/>
      </w:rPr>
    </w:tblStylePr>
    <w:tblStylePr w:type="band1Vert">
      <w:tblPr/>
      <w:tcPr>
        <w:shd w:val="clear" w:color="auto" w:fill="C0EFFF" w:themeFill="accent1" w:themeFillTint="33"/>
      </w:tcPr>
    </w:tblStylePr>
    <w:tblStylePr w:type="band1Horz">
      <w:tblPr/>
      <w:tcPr>
        <w:shd w:val="clear" w:color="auto" w:fill="C0EFFF" w:themeFill="accent1" w:themeFillTint="33"/>
      </w:tcPr>
    </w:tblStylePr>
  </w:style>
  <w:style w:type="table" w:styleId="GridTable6Colorful-Accent2">
    <w:name w:val="Grid Table 6 Colorful Accent 2"/>
    <w:basedOn w:val="TableNormal"/>
    <w:uiPriority w:val="51"/>
    <w:rsid w:val="00DF245D"/>
    <w:pPr>
      <w:spacing w:after="0" w:line="240" w:lineRule="auto"/>
    </w:pPr>
    <w:rPr>
      <w:color w:val="AB0051" w:themeColor="accent2" w:themeShade="BF"/>
    </w:rPr>
    <w:tblPr>
      <w:tblStyleRowBandSize w:val="1"/>
      <w:tblStyleColBandSize w:val="1"/>
      <w:tblBorders>
        <w:top w:val="single" w:sz="4" w:space="0" w:color="FF56A6" w:themeColor="accent2" w:themeTint="99"/>
        <w:left w:val="single" w:sz="4" w:space="0" w:color="FF56A6" w:themeColor="accent2" w:themeTint="99"/>
        <w:bottom w:val="single" w:sz="4" w:space="0" w:color="FF56A6" w:themeColor="accent2" w:themeTint="99"/>
        <w:right w:val="single" w:sz="4" w:space="0" w:color="FF56A6" w:themeColor="accent2" w:themeTint="99"/>
        <w:insideH w:val="single" w:sz="4" w:space="0" w:color="FF56A6" w:themeColor="accent2" w:themeTint="99"/>
        <w:insideV w:val="single" w:sz="4" w:space="0" w:color="FF56A6" w:themeColor="accent2" w:themeTint="99"/>
      </w:tblBorders>
    </w:tblPr>
    <w:tblStylePr w:type="firstRow">
      <w:rPr>
        <w:b/>
        <w:bCs/>
      </w:rPr>
      <w:tblPr/>
      <w:tcPr>
        <w:tcBorders>
          <w:bottom w:val="single" w:sz="12" w:space="0" w:color="FF56A6" w:themeColor="accent2" w:themeTint="99"/>
        </w:tcBorders>
      </w:tcPr>
    </w:tblStylePr>
    <w:tblStylePr w:type="lastRow">
      <w:rPr>
        <w:b/>
        <w:bCs/>
      </w:rPr>
      <w:tblPr/>
      <w:tcPr>
        <w:tcBorders>
          <w:top w:val="double" w:sz="4" w:space="0" w:color="FF56A6" w:themeColor="accent2" w:themeTint="99"/>
        </w:tcBorders>
      </w:tcPr>
    </w:tblStylePr>
    <w:tblStylePr w:type="firstCol">
      <w:rPr>
        <w:b/>
        <w:bCs/>
      </w:rPr>
    </w:tblStylePr>
    <w:tblStylePr w:type="lastCol">
      <w:rPr>
        <w:b/>
        <w:bCs/>
      </w:rPr>
    </w:tblStylePr>
    <w:tblStylePr w:type="band1Vert">
      <w:tblPr/>
      <w:tcPr>
        <w:shd w:val="clear" w:color="auto" w:fill="FFC6E1" w:themeFill="accent2" w:themeFillTint="33"/>
      </w:tcPr>
    </w:tblStylePr>
    <w:tblStylePr w:type="band1Horz">
      <w:tblPr/>
      <w:tcPr>
        <w:shd w:val="clear" w:color="auto" w:fill="FFC6E1" w:themeFill="accent2" w:themeFillTint="33"/>
      </w:tcPr>
    </w:tblStylePr>
  </w:style>
  <w:style w:type="table" w:styleId="GridTable6Colorful-Accent3">
    <w:name w:val="Grid Table 6 Colorful Accent 3"/>
    <w:basedOn w:val="TableNormal"/>
    <w:uiPriority w:val="51"/>
    <w:rsid w:val="00DF245D"/>
    <w:pPr>
      <w:spacing w:after="0" w:line="240" w:lineRule="auto"/>
    </w:pPr>
    <w:rPr>
      <w:color w:val="201958" w:themeColor="accent3" w:themeShade="BF"/>
    </w:rPr>
    <w:tblPr>
      <w:tblStyleRowBandSize w:val="1"/>
      <w:tblStyleColBandSize w:val="1"/>
      <w:tblBorders>
        <w:top w:val="single" w:sz="4" w:space="0" w:color="6658CF" w:themeColor="accent3" w:themeTint="99"/>
        <w:left w:val="single" w:sz="4" w:space="0" w:color="6658CF" w:themeColor="accent3" w:themeTint="99"/>
        <w:bottom w:val="single" w:sz="4" w:space="0" w:color="6658CF" w:themeColor="accent3" w:themeTint="99"/>
        <w:right w:val="single" w:sz="4" w:space="0" w:color="6658CF" w:themeColor="accent3" w:themeTint="99"/>
        <w:insideH w:val="single" w:sz="4" w:space="0" w:color="6658CF" w:themeColor="accent3" w:themeTint="99"/>
        <w:insideV w:val="single" w:sz="4" w:space="0" w:color="6658CF" w:themeColor="accent3" w:themeTint="99"/>
      </w:tblBorders>
    </w:tblPr>
    <w:tblStylePr w:type="firstRow">
      <w:rPr>
        <w:b/>
        <w:bCs/>
      </w:rPr>
      <w:tblPr/>
      <w:tcPr>
        <w:tcBorders>
          <w:bottom w:val="single" w:sz="12" w:space="0" w:color="6658CF" w:themeColor="accent3" w:themeTint="99"/>
        </w:tcBorders>
      </w:tcPr>
    </w:tblStylePr>
    <w:tblStylePr w:type="lastRow">
      <w:rPr>
        <w:b/>
        <w:bCs/>
      </w:rPr>
      <w:tblPr/>
      <w:tcPr>
        <w:tcBorders>
          <w:top w:val="double" w:sz="4" w:space="0" w:color="6658CF" w:themeColor="accent3" w:themeTint="99"/>
        </w:tcBorders>
      </w:tcPr>
    </w:tblStylePr>
    <w:tblStylePr w:type="firstCol">
      <w:rPr>
        <w:b/>
        <w:bCs/>
      </w:rPr>
    </w:tblStylePr>
    <w:tblStylePr w:type="lastCol">
      <w:rPr>
        <w:b/>
        <w:bCs/>
      </w:rPr>
    </w:tblStylePr>
    <w:tblStylePr w:type="band1Vert">
      <w:tblPr/>
      <w:tcPr>
        <w:shd w:val="clear" w:color="auto" w:fill="CCC7EF" w:themeFill="accent3" w:themeFillTint="33"/>
      </w:tcPr>
    </w:tblStylePr>
    <w:tblStylePr w:type="band1Horz">
      <w:tblPr/>
      <w:tcPr>
        <w:shd w:val="clear" w:color="auto" w:fill="CCC7EF" w:themeFill="accent3" w:themeFillTint="33"/>
      </w:tcPr>
    </w:tblStylePr>
  </w:style>
  <w:style w:type="table" w:styleId="GridTable6Colorful-Accent4">
    <w:name w:val="Grid Table 6 Colorful Accent 4"/>
    <w:basedOn w:val="TableNormal"/>
    <w:uiPriority w:val="51"/>
    <w:rsid w:val="00DF245D"/>
    <w:pPr>
      <w:spacing w:after="0" w:line="240" w:lineRule="auto"/>
    </w:pPr>
    <w:rPr>
      <w:color w:val="5B0D32" w:themeColor="accent4" w:themeShade="BF"/>
    </w:rPr>
    <w:tblPr>
      <w:tblStyleRowBandSize w:val="1"/>
      <w:tblStyleColBandSize w:val="1"/>
      <w:tblBorders>
        <w:top w:val="single" w:sz="4" w:space="0" w:color="E23D8B" w:themeColor="accent4" w:themeTint="99"/>
        <w:left w:val="single" w:sz="4" w:space="0" w:color="E23D8B" w:themeColor="accent4" w:themeTint="99"/>
        <w:bottom w:val="single" w:sz="4" w:space="0" w:color="E23D8B" w:themeColor="accent4" w:themeTint="99"/>
        <w:right w:val="single" w:sz="4" w:space="0" w:color="E23D8B" w:themeColor="accent4" w:themeTint="99"/>
        <w:insideH w:val="single" w:sz="4" w:space="0" w:color="E23D8B" w:themeColor="accent4" w:themeTint="99"/>
        <w:insideV w:val="single" w:sz="4" w:space="0" w:color="E23D8B" w:themeColor="accent4" w:themeTint="99"/>
      </w:tblBorders>
    </w:tblPr>
    <w:tblStylePr w:type="firstRow">
      <w:rPr>
        <w:b/>
        <w:bCs/>
      </w:rPr>
      <w:tblPr/>
      <w:tcPr>
        <w:tcBorders>
          <w:bottom w:val="single" w:sz="12" w:space="0" w:color="E23D8B" w:themeColor="accent4" w:themeTint="99"/>
        </w:tcBorders>
      </w:tcPr>
    </w:tblStylePr>
    <w:tblStylePr w:type="lastRow">
      <w:rPr>
        <w:b/>
        <w:bCs/>
      </w:rPr>
      <w:tblPr/>
      <w:tcPr>
        <w:tcBorders>
          <w:top w:val="double" w:sz="4" w:space="0" w:color="E23D8B" w:themeColor="accent4" w:themeTint="99"/>
        </w:tcBorders>
      </w:tcPr>
    </w:tblStylePr>
    <w:tblStylePr w:type="firstCol">
      <w:rPr>
        <w:b/>
        <w:bCs/>
      </w:rPr>
    </w:tblStylePr>
    <w:tblStylePr w:type="lastCol">
      <w:rPr>
        <w:b/>
        <w:bCs/>
      </w:rPr>
    </w:tblStylePr>
    <w:tblStylePr w:type="band1Vert">
      <w:tblPr/>
      <w:tcPr>
        <w:shd w:val="clear" w:color="auto" w:fill="F5BED8" w:themeFill="accent4" w:themeFillTint="33"/>
      </w:tcPr>
    </w:tblStylePr>
    <w:tblStylePr w:type="band1Horz">
      <w:tblPr/>
      <w:tcPr>
        <w:shd w:val="clear" w:color="auto" w:fill="F5BED8" w:themeFill="accent4" w:themeFillTint="33"/>
      </w:tcPr>
    </w:tblStylePr>
  </w:style>
  <w:style w:type="table" w:styleId="GridTable6Colorful-Accent5">
    <w:name w:val="Grid Table 6 Colorful Accent 5"/>
    <w:basedOn w:val="TableNormal"/>
    <w:uiPriority w:val="51"/>
    <w:rsid w:val="00DF245D"/>
    <w:pPr>
      <w:spacing w:after="0" w:line="240" w:lineRule="auto"/>
    </w:pPr>
    <w:rPr>
      <w:color w:val="829708" w:themeColor="accent5" w:themeShade="BF"/>
    </w:rPr>
    <w:tblPr>
      <w:tblStyleRowBandSize w:val="1"/>
      <w:tblStyleColBandSize w:val="1"/>
      <w:tblBorders>
        <w:top w:val="single" w:sz="4" w:space="0" w:color="DEF555" w:themeColor="accent5" w:themeTint="99"/>
        <w:left w:val="single" w:sz="4" w:space="0" w:color="DEF555" w:themeColor="accent5" w:themeTint="99"/>
        <w:bottom w:val="single" w:sz="4" w:space="0" w:color="DEF555" w:themeColor="accent5" w:themeTint="99"/>
        <w:right w:val="single" w:sz="4" w:space="0" w:color="DEF555" w:themeColor="accent5" w:themeTint="99"/>
        <w:insideH w:val="single" w:sz="4" w:space="0" w:color="DEF555" w:themeColor="accent5" w:themeTint="99"/>
        <w:insideV w:val="single" w:sz="4" w:space="0" w:color="DEF555" w:themeColor="accent5" w:themeTint="99"/>
      </w:tblBorders>
    </w:tblPr>
    <w:tblStylePr w:type="firstRow">
      <w:rPr>
        <w:b/>
        <w:bCs/>
      </w:rPr>
      <w:tblPr/>
      <w:tcPr>
        <w:tcBorders>
          <w:bottom w:val="single" w:sz="12" w:space="0" w:color="DEF555" w:themeColor="accent5" w:themeTint="99"/>
        </w:tcBorders>
      </w:tcPr>
    </w:tblStylePr>
    <w:tblStylePr w:type="lastRow">
      <w:rPr>
        <w:b/>
        <w:bCs/>
      </w:rPr>
      <w:tblPr/>
      <w:tcPr>
        <w:tcBorders>
          <w:top w:val="double" w:sz="4" w:space="0" w:color="DEF555" w:themeColor="accent5" w:themeTint="99"/>
        </w:tcBorders>
      </w:tcPr>
    </w:tblStylePr>
    <w:tblStylePr w:type="firstCol">
      <w:rPr>
        <w:b/>
        <w:bCs/>
      </w:rPr>
    </w:tblStylePr>
    <w:tblStylePr w:type="lastCol">
      <w:rPr>
        <w:b/>
        <w:bCs/>
      </w:rPr>
    </w:tblStylePr>
    <w:tblStylePr w:type="band1Vert">
      <w:tblPr/>
      <w:tcPr>
        <w:shd w:val="clear" w:color="auto" w:fill="F4FCC6" w:themeFill="accent5" w:themeFillTint="33"/>
      </w:tcPr>
    </w:tblStylePr>
    <w:tblStylePr w:type="band1Horz">
      <w:tblPr/>
      <w:tcPr>
        <w:shd w:val="clear" w:color="auto" w:fill="F4FCC6" w:themeFill="accent5" w:themeFillTint="33"/>
      </w:tcPr>
    </w:tblStylePr>
  </w:style>
  <w:style w:type="table" w:styleId="GridTable6Colorful-Accent6">
    <w:name w:val="Grid Table 6 Colorful Accent 6"/>
    <w:basedOn w:val="TableNormal"/>
    <w:uiPriority w:val="51"/>
    <w:rsid w:val="00DF245D"/>
    <w:pPr>
      <w:spacing w:after="0" w:line="240" w:lineRule="auto"/>
    </w:pPr>
    <w:rPr>
      <w:color w:val="2B7F27" w:themeColor="accent6" w:themeShade="BF"/>
    </w:rPr>
    <w:tblPr>
      <w:tblStyleRowBandSize w:val="1"/>
      <w:tblStyleColBandSize w:val="1"/>
      <w:tblBorders>
        <w:top w:val="single" w:sz="4" w:space="0" w:color="7FD67B" w:themeColor="accent6" w:themeTint="99"/>
        <w:left w:val="single" w:sz="4" w:space="0" w:color="7FD67B" w:themeColor="accent6" w:themeTint="99"/>
        <w:bottom w:val="single" w:sz="4" w:space="0" w:color="7FD67B" w:themeColor="accent6" w:themeTint="99"/>
        <w:right w:val="single" w:sz="4" w:space="0" w:color="7FD67B" w:themeColor="accent6" w:themeTint="99"/>
        <w:insideH w:val="single" w:sz="4" w:space="0" w:color="7FD67B" w:themeColor="accent6" w:themeTint="99"/>
        <w:insideV w:val="single" w:sz="4" w:space="0" w:color="7FD67B" w:themeColor="accent6" w:themeTint="99"/>
      </w:tblBorders>
    </w:tblPr>
    <w:tblStylePr w:type="firstRow">
      <w:rPr>
        <w:b/>
        <w:bCs/>
      </w:rPr>
      <w:tblPr/>
      <w:tcPr>
        <w:tcBorders>
          <w:bottom w:val="single" w:sz="12" w:space="0" w:color="7FD67B" w:themeColor="accent6" w:themeTint="99"/>
        </w:tcBorders>
      </w:tcPr>
    </w:tblStylePr>
    <w:tblStylePr w:type="lastRow">
      <w:rPr>
        <w:b/>
        <w:bCs/>
      </w:rPr>
      <w:tblPr/>
      <w:tcPr>
        <w:tcBorders>
          <w:top w:val="double" w:sz="4" w:space="0" w:color="7FD67B" w:themeColor="accent6" w:themeTint="99"/>
        </w:tcBorders>
      </w:tcPr>
    </w:tblStylePr>
    <w:tblStylePr w:type="firstCol">
      <w:rPr>
        <w:b/>
        <w:bCs/>
      </w:rPr>
    </w:tblStylePr>
    <w:tblStylePr w:type="lastCol">
      <w:rPr>
        <w:b/>
        <w:bCs/>
      </w:rPr>
    </w:tblStylePr>
    <w:tblStylePr w:type="band1Vert">
      <w:tblPr/>
      <w:tcPr>
        <w:shd w:val="clear" w:color="auto" w:fill="D4F1D3" w:themeFill="accent6" w:themeFillTint="33"/>
      </w:tcPr>
    </w:tblStylePr>
    <w:tblStylePr w:type="band1Horz">
      <w:tblPr/>
      <w:tcPr>
        <w:shd w:val="clear" w:color="auto" w:fill="D4F1D3" w:themeFill="accent6" w:themeFillTint="33"/>
      </w:tcPr>
    </w:tblStylePr>
  </w:style>
  <w:style w:type="table" w:styleId="GridTable7Colorful">
    <w:name w:val="Grid Table 7 Colorful"/>
    <w:basedOn w:val="TableNormal"/>
    <w:uiPriority w:val="52"/>
    <w:rsid w:val="00DF245D"/>
    <w:pPr>
      <w:spacing w:after="0" w:line="240" w:lineRule="auto"/>
    </w:pPr>
    <w:rPr>
      <w:color w:val="30353F" w:themeColor="text1"/>
    </w:rPr>
    <w:tblPr>
      <w:tblStyleRowBandSize w:val="1"/>
      <w:tblStyleColBandSize w:val="1"/>
      <w:tblBorders>
        <w:top w:val="single" w:sz="4" w:space="0" w:color="778197" w:themeColor="text1" w:themeTint="99"/>
        <w:left w:val="single" w:sz="4" w:space="0" w:color="778197" w:themeColor="text1" w:themeTint="99"/>
        <w:bottom w:val="single" w:sz="4" w:space="0" w:color="778197" w:themeColor="text1" w:themeTint="99"/>
        <w:right w:val="single" w:sz="4" w:space="0" w:color="778197" w:themeColor="text1" w:themeTint="99"/>
        <w:insideH w:val="single" w:sz="4" w:space="0" w:color="778197" w:themeColor="text1" w:themeTint="99"/>
        <w:insideV w:val="single" w:sz="4" w:space="0" w:color="778197"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5DC" w:themeFill="text1" w:themeFillTint="33"/>
      </w:tcPr>
    </w:tblStylePr>
    <w:tblStylePr w:type="band1Horz">
      <w:tblPr/>
      <w:tcPr>
        <w:shd w:val="clear" w:color="auto" w:fill="D1D5DC" w:themeFill="text1" w:themeFillTint="33"/>
      </w:tcPr>
    </w:tblStylePr>
    <w:tblStylePr w:type="neCell">
      <w:tblPr/>
      <w:tcPr>
        <w:tcBorders>
          <w:bottom w:val="single" w:sz="4" w:space="0" w:color="778197" w:themeColor="text1" w:themeTint="99"/>
        </w:tcBorders>
      </w:tcPr>
    </w:tblStylePr>
    <w:tblStylePr w:type="nwCell">
      <w:tblPr/>
      <w:tcPr>
        <w:tcBorders>
          <w:bottom w:val="single" w:sz="4" w:space="0" w:color="778197" w:themeColor="text1" w:themeTint="99"/>
        </w:tcBorders>
      </w:tcPr>
    </w:tblStylePr>
    <w:tblStylePr w:type="seCell">
      <w:tblPr/>
      <w:tcPr>
        <w:tcBorders>
          <w:top w:val="single" w:sz="4" w:space="0" w:color="778197" w:themeColor="text1" w:themeTint="99"/>
        </w:tcBorders>
      </w:tcPr>
    </w:tblStylePr>
    <w:tblStylePr w:type="swCell">
      <w:tblPr/>
      <w:tcPr>
        <w:tcBorders>
          <w:top w:val="single" w:sz="4" w:space="0" w:color="778197" w:themeColor="text1" w:themeTint="99"/>
        </w:tcBorders>
      </w:tcPr>
    </w:tblStylePr>
  </w:style>
  <w:style w:type="table" w:styleId="GridTable7Colorful-Accent1">
    <w:name w:val="Grid Table 7 Colorful Accent 1"/>
    <w:basedOn w:val="TableNormal"/>
    <w:uiPriority w:val="52"/>
    <w:rsid w:val="00DF245D"/>
    <w:pPr>
      <w:spacing w:after="0" w:line="240" w:lineRule="auto"/>
    </w:pPr>
    <w:rPr>
      <w:color w:val="006E93" w:themeColor="accent1" w:themeShade="BF"/>
    </w:rPr>
    <w:tblPr>
      <w:tblStyleRowBandSize w:val="1"/>
      <w:tblStyleColBandSize w:val="1"/>
      <w:tblBorders>
        <w:top w:val="single" w:sz="4" w:space="0" w:color="43CFFF" w:themeColor="accent1" w:themeTint="99"/>
        <w:left w:val="single" w:sz="4" w:space="0" w:color="43CFFF" w:themeColor="accent1" w:themeTint="99"/>
        <w:bottom w:val="single" w:sz="4" w:space="0" w:color="43CFFF" w:themeColor="accent1" w:themeTint="99"/>
        <w:right w:val="single" w:sz="4" w:space="0" w:color="43CFFF" w:themeColor="accent1" w:themeTint="99"/>
        <w:insideH w:val="single" w:sz="4" w:space="0" w:color="43CFFF" w:themeColor="accent1" w:themeTint="99"/>
        <w:insideV w:val="single" w:sz="4" w:space="0" w:color="43C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FFF" w:themeFill="accent1" w:themeFillTint="33"/>
      </w:tcPr>
    </w:tblStylePr>
    <w:tblStylePr w:type="band1Horz">
      <w:tblPr/>
      <w:tcPr>
        <w:shd w:val="clear" w:color="auto" w:fill="C0EFFF" w:themeFill="accent1" w:themeFillTint="33"/>
      </w:tcPr>
    </w:tblStylePr>
    <w:tblStylePr w:type="neCell">
      <w:tblPr/>
      <w:tcPr>
        <w:tcBorders>
          <w:bottom w:val="single" w:sz="4" w:space="0" w:color="43CFFF" w:themeColor="accent1" w:themeTint="99"/>
        </w:tcBorders>
      </w:tcPr>
    </w:tblStylePr>
    <w:tblStylePr w:type="nwCell">
      <w:tblPr/>
      <w:tcPr>
        <w:tcBorders>
          <w:bottom w:val="single" w:sz="4" w:space="0" w:color="43CFFF" w:themeColor="accent1" w:themeTint="99"/>
        </w:tcBorders>
      </w:tcPr>
    </w:tblStylePr>
    <w:tblStylePr w:type="seCell">
      <w:tblPr/>
      <w:tcPr>
        <w:tcBorders>
          <w:top w:val="single" w:sz="4" w:space="0" w:color="43CFFF" w:themeColor="accent1" w:themeTint="99"/>
        </w:tcBorders>
      </w:tcPr>
    </w:tblStylePr>
    <w:tblStylePr w:type="swCell">
      <w:tblPr/>
      <w:tcPr>
        <w:tcBorders>
          <w:top w:val="single" w:sz="4" w:space="0" w:color="43CFFF" w:themeColor="accent1" w:themeTint="99"/>
        </w:tcBorders>
      </w:tcPr>
    </w:tblStylePr>
  </w:style>
  <w:style w:type="table" w:styleId="GridTable7Colorful-Accent2">
    <w:name w:val="Grid Table 7 Colorful Accent 2"/>
    <w:basedOn w:val="TableNormal"/>
    <w:uiPriority w:val="52"/>
    <w:rsid w:val="00DF245D"/>
    <w:pPr>
      <w:spacing w:after="0" w:line="240" w:lineRule="auto"/>
    </w:pPr>
    <w:rPr>
      <w:color w:val="AB0051" w:themeColor="accent2" w:themeShade="BF"/>
    </w:rPr>
    <w:tblPr>
      <w:tblStyleRowBandSize w:val="1"/>
      <w:tblStyleColBandSize w:val="1"/>
      <w:tblBorders>
        <w:top w:val="single" w:sz="4" w:space="0" w:color="FF56A6" w:themeColor="accent2" w:themeTint="99"/>
        <w:left w:val="single" w:sz="4" w:space="0" w:color="FF56A6" w:themeColor="accent2" w:themeTint="99"/>
        <w:bottom w:val="single" w:sz="4" w:space="0" w:color="FF56A6" w:themeColor="accent2" w:themeTint="99"/>
        <w:right w:val="single" w:sz="4" w:space="0" w:color="FF56A6" w:themeColor="accent2" w:themeTint="99"/>
        <w:insideH w:val="single" w:sz="4" w:space="0" w:color="FF56A6" w:themeColor="accent2" w:themeTint="99"/>
        <w:insideV w:val="single" w:sz="4" w:space="0" w:color="FF56A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6E1" w:themeFill="accent2" w:themeFillTint="33"/>
      </w:tcPr>
    </w:tblStylePr>
    <w:tblStylePr w:type="band1Horz">
      <w:tblPr/>
      <w:tcPr>
        <w:shd w:val="clear" w:color="auto" w:fill="FFC6E1" w:themeFill="accent2" w:themeFillTint="33"/>
      </w:tcPr>
    </w:tblStylePr>
    <w:tblStylePr w:type="neCell">
      <w:tblPr/>
      <w:tcPr>
        <w:tcBorders>
          <w:bottom w:val="single" w:sz="4" w:space="0" w:color="FF56A6" w:themeColor="accent2" w:themeTint="99"/>
        </w:tcBorders>
      </w:tcPr>
    </w:tblStylePr>
    <w:tblStylePr w:type="nwCell">
      <w:tblPr/>
      <w:tcPr>
        <w:tcBorders>
          <w:bottom w:val="single" w:sz="4" w:space="0" w:color="FF56A6" w:themeColor="accent2" w:themeTint="99"/>
        </w:tcBorders>
      </w:tcPr>
    </w:tblStylePr>
    <w:tblStylePr w:type="seCell">
      <w:tblPr/>
      <w:tcPr>
        <w:tcBorders>
          <w:top w:val="single" w:sz="4" w:space="0" w:color="FF56A6" w:themeColor="accent2" w:themeTint="99"/>
        </w:tcBorders>
      </w:tcPr>
    </w:tblStylePr>
    <w:tblStylePr w:type="swCell">
      <w:tblPr/>
      <w:tcPr>
        <w:tcBorders>
          <w:top w:val="single" w:sz="4" w:space="0" w:color="FF56A6" w:themeColor="accent2" w:themeTint="99"/>
        </w:tcBorders>
      </w:tcPr>
    </w:tblStylePr>
  </w:style>
  <w:style w:type="table" w:styleId="GridTable7Colorful-Accent3">
    <w:name w:val="Grid Table 7 Colorful Accent 3"/>
    <w:basedOn w:val="TableNormal"/>
    <w:uiPriority w:val="52"/>
    <w:rsid w:val="00DF245D"/>
    <w:pPr>
      <w:spacing w:after="0" w:line="240" w:lineRule="auto"/>
    </w:pPr>
    <w:rPr>
      <w:color w:val="201958" w:themeColor="accent3" w:themeShade="BF"/>
    </w:rPr>
    <w:tblPr>
      <w:tblStyleRowBandSize w:val="1"/>
      <w:tblStyleColBandSize w:val="1"/>
      <w:tblBorders>
        <w:top w:val="single" w:sz="4" w:space="0" w:color="6658CF" w:themeColor="accent3" w:themeTint="99"/>
        <w:left w:val="single" w:sz="4" w:space="0" w:color="6658CF" w:themeColor="accent3" w:themeTint="99"/>
        <w:bottom w:val="single" w:sz="4" w:space="0" w:color="6658CF" w:themeColor="accent3" w:themeTint="99"/>
        <w:right w:val="single" w:sz="4" w:space="0" w:color="6658CF" w:themeColor="accent3" w:themeTint="99"/>
        <w:insideH w:val="single" w:sz="4" w:space="0" w:color="6658CF" w:themeColor="accent3" w:themeTint="99"/>
        <w:insideV w:val="single" w:sz="4" w:space="0" w:color="6658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7EF" w:themeFill="accent3" w:themeFillTint="33"/>
      </w:tcPr>
    </w:tblStylePr>
    <w:tblStylePr w:type="band1Horz">
      <w:tblPr/>
      <w:tcPr>
        <w:shd w:val="clear" w:color="auto" w:fill="CCC7EF" w:themeFill="accent3" w:themeFillTint="33"/>
      </w:tcPr>
    </w:tblStylePr>
    <w:tblStylePr w:type="neCell">
      <w:tblPr/>
      <w:tcPr>
        <w:tcBorders>
          <w:bottom w:val="single" w:sz="4" w:space="0" w:color="6658CF" w:themeColor="accent3" w:themeTint="99"/>
        </w:tcBorders>
      </w:tcPr>
    </w:tblStylePr>
    <w:tblStylePr w:type="nwCell">
      <w:tblPr/>
      <w:tcPr>
        <w:tcBorders>
          <w:bottom w:val="single" w:sz="4" w:space="0" w:color="6658CF" w:themeColor="accent3" w:themeTint="99"/>
        </w:tcBorders>
      </w:tcPr>
    </w:tblStylePr>
    <w:tblStylePr w:type="seCell">
      <w:tblPr/>
      <w:tcPr>
        <w:tcBorders>
          <w:top w:val="single" w:sz="4" w:space="0" w:color="6658CF" w:themeColor="accent3" w:themeTint="99"/>
        </w:tcBorders>
      </w:tcPr>
    </w:tblStylePr>
    <w:tblStylePr w:type="swCell">
      <w:tblPr/>
      <w:tcPr>
        <w:tcBorders>
          <w:top w:val="single" w:sz="4" w:space="0" w:color="6658CF" w:themeColor="accent3" w:themeTint="99"/>
        </w:tcBorders>
      </w:tcPr>
    </w:tblStylePr>
  </w:style>
  <w:style w:type="table" w:styleId="GridTable7Colorful-Accent4">
    <w:name w:val="Grid Table 7 Colorful Accent 4"/>
    <w:basedOn w:val="TableNormal"/>
    <w:uiPriority w:val="52"/>
    <w:rsid w:val="00DF245D"/>
    <w:pPr>
      <w:spacing w:after="0" w:line="240" w:lineRule="auto"/>
    </w:pPr>
    <w:rPr>
      <w:color w:val="5B0D32" w:themeColor="accent4" w:themeShade="BF"/>
    </w:rPr>
    <w:tblPr>
      <w:tblStyleRowBandSize w:val="1"/>
      <w:tblStyleColBandSize w:val="1"/>
      <w:tblBorders>
        <w:top w:val="single" w:sz="4" w:space="0" w:color="E23D8B" w:themeColor="accent4" w:themeTint="99"/>
        <w:left w:val="single" w:sz="4" w:space="0" w:color="E23D8B" w:themeColor="accent4" w:themeTint="99"/>
        <w:bottom w:val="single" w:sz="4" w:space="0" w:color="E23D8B" w:themeColor="accent4" w:themeTint="99"/>
        <w:right w:val="single" w:sz="4" w:space="0" w:color="E23D8B" w:themeColor="accent4" w:themeTint="99"/>
        <w:insideH w:val="single" w:sz="4" w:space="0" w:color="E23D8B" w:themeColor="accent4" w:themeTint="99"/>
        <w:insideV w:val="single" w:sz="4" w:space="0" w:color="E23D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BED8" w:themeFill="accent4" w:themeFillTint="33"/>
      </w:tcPr>
    </w:tblStylePr>
    <w:tblStylePr w:type="band1Horz">
      <w:tblPr/>
      <w:tcPr>
        <w:shd w:val="clear" w:color="auto" w:fill="F5BED8" w:themeFill="accent4" w:themeFillTint="33"/>
      </w:tcPr>
    </w:tblStylePr>
    <w:tblStylePr w:type="neCell">
      <w:tblPr/>
      <w:tcPr>
        <w:tcBorders>
          <w:bottom w:val="single" w:sz="4" w:space="0" w:color="E23D8B" w:themeColor="accent4" w:themeTint="99"/>
        </w:tcBorders>
      </w:tcPr>
    </w:tblStylePr>
    <w:tblStylePr w:type="nwCell">
      <w:tblPr/>
      <w:tcPr>
        <w:tcBorders>
          <w:bottom w:val="single" w:sz="4" w:space="0" w:color="E23D8B" w:themeColor="accent4" w:themeTint="99"/>
        </w:tcBorders>
      </w:tcPr>
    </w:tblStylePr>
    <w:tblStylePr w:type="seCell">
      <w:tblPr/>
      <w:tcPr>
        <w:tcBorders>
          <w:top w:val="single" w:sz="4" w:space="0" w:color="E23D8B" w:themeColor="accent4" w:themeTint="99"/>
        </w:tcBorders>
      </w:tcPr>
    </w:tblStylePr>
    <w:tblStylePr w:type="swCell">
      <w:tblPr/>
      <w:tcPr>
        <w:tcBorders>
          <w:top w:val="single" w:sz="4" w:space="0" w:color="E23D8B" w:themeColor="accent4" w:themeTint="99"/>
        </w:tcBorders>
      </w:tcPr>
    </w:tblStylePr>
  </w:style>
  <w:style w:type="table" w:styleId="GridTable7Colorful-Accent5">
    <w:name w:val="Grid Table 7 Colorful Accent 5"/>
    <w:basedOn w:val="TableNormal"/>
    <w:uiPriority w:val="52"/>
    <w:rsid w:val="00DF245D"/>
    <w:pPr>
      <w:spacing w:after="0" w:line="240" w:lineRule="auto"/>
    </w:pPr>
    <w:rPr>
      <w:color w:val="829708" w:themeColor="accent5" w:themeShade="BF"/>
    </w:rPr>
    <w:tblPr>
      <w:tblStyleRowBandSize w:val="1"/>
      <w:tblStyleColBandSize w:val="1"/>
      <w:tblBorders>
        <w:top w:val="single" w:sz="4" w:space="0" w:color="DEF555" w:themeColor="accent5" w:themeTint="99"/>
        <w:left w:val="single" w:sz="4" w:space="0" w:color="DEF555" w:themeColor="accent5" w:themeTint="99"/>
        <w:bottom w:val="single" w:sz="4" w:space="0" w:color="DEF555" w:themeColor="accent5" w:themeTint="99"/>
        <w:right w:val="single" w:sz="4" w:space="0" w:color="DEF555" w:themeColor="accent5" w:themeTint="99"/>
        <w:insideH w:val="single" w:sz="4" w:space="0" w:color="DEF555" w:themeColor="accent5" w:themeTint="99"/>
        <w:insideV w:val="single" w:sz="4" w:space="0" w:color="DEF55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CC6" w:themeFill="accent5" w:themeFillTint="33"/>
      </w:tcPr>
    </w:tblStylePr>
    <w:tblStylePr w:type="band1Horz">
      <w:tblPr/>
      <w:tcPr>
        <w:shd w:val="clear" w:color="auto" w:fill="F4FCC6" w:themeFill="accent5" w:themeFillTint="33"/>
      </w:tcPr>
    </w:tblStylePr>
    <w:tblStylePr w:type="neCell">
      <w:tblPr/>
      <w:tcPr>
        <w:tcBorders>
          <w:bottom w:val="single" w:sz="4" w:space="0" w:color="DEF555" w:themeColor="accent5" w:themeTint="99"/>
        </w:tcBorders>
      </w:tcPr>
    </w:tblStylePr>
    <w:tblStylePr w:type="nwCell">
      <w:tblPr/>
      <w:tcPr>
        <w:tcBorders>
          <w:bottom w:val="single" w:sz="4" w:space="0" w:color="DEF555" w:themeColor="accent5" w:themeTint="99"/>
        </w:tcBorders>
      </w:tcPr>
    </w:tblStylePr>
    <w:tblStylePr w:type="seCell">
      <w:tblPr/>
      <w:tcPr>
        <w:tcBorders>
          <w:top w:val="single" w:sz="4" w:space="0" w:color="DEF555" w:themeColor="accent5" w:themeTint="99"/>
        </w:tcBorders>
      </w:tcPr>
    </w:tblStylePr>
    <w:tblStylePr w:type="swCell">
      <w:tblPr/>
      <w:tcPr>
        <w:tcBorders>
          <w:top w:val="single" w:sz="4" w:space="0" w:color="DEF555" w:themeColor="accent5" w:themeTint="99"/>
        </w:tcBorders>
      </w:tcPr>
    </w:tblStylePr>
  </w:style>
  <w:style w:type="table" w:styleId="GridTable7Colorful-Accent6">
    <w:name w:val="Grid Table 7 Colorful Accent 6"/>
    <w:basedOn w:val="TableNormal"/>
    <w:uiPriority w:val="52"/>
    <w:rsid w:val="00DF245D"/>
    <w:pPr>
      <w:spacing w:after="0" w:line="240" w:lineRule="auto"/>
    </w:pPr>
    <w:rPr>
      <w:color w:val="2B7F27" w:themeColor="accent6" w:themeShade="BF"/>
    </w:rPr>
    <w:tblPr>
      <w:tblStyleRowBandSize w:val="1"/>
      <w:tblStyleColBandSize w:val="1"/>
      <w:tblBorders>
        <w:top w:val="single" w:sz="4" w:space="0" w:color="7FD67B" w:themeColor="accent6" w:themeTint="99"/>
        <w:left w:val="single" w:sz="4" w:space="0" w:color="7FD67B" w:themeColor="accent6" w:themeTint="99"/>
        <w:bottom w:val="single" w:sz="4" w:space="0" w:color="7FD67B" w:themeColor="accent6" w:themeTint="99"/>
        <w:right w:val="single" w:sz="4" w:space="0" w:color="7FD67B" w:themeColor="accent6" w:themeTint="99"/>
        <w:insideH w:val="single" w:sz="4" w:space="0" w:color="7FD67B" w:themeColor="accent6" w:themeTint="99"/>
        <w:insideV w:val="single" w:sz="4" w:space="0" w:color="7FD6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F1D3" w:themeFill="accent6" w:themeFillTint="33"/>
      </w:tcPr>
    </w:tblStylePr>
    <w:tblStylePr w:type="band1Horz">
      <w:tblPr/>
      <w:tcPr>
        <w:shd w:val="clear" w:color="auto" w:fill="D4F1D3" w:themeFill="accent6" w:themeFillTint="33"/>
      </w:tcPr>
    </w:tblStylePr>
    <w:tblStylePr w:type="neCell">
      <w:tblPr/>
      <w:tcPr>
        <w:tcBorders>
          <w:bottom w:val="single" w:sz="4" w:space="0" w:color="7FD67B" w:themeColor="accent6" w:themeTint="99"/>
        </w:tcBorders>
      </w:tcPr>
    </w:tblStylePr>
    <w:tblStylePr w:type="nwCell">
      <w:tblPr/>
      <w:tcPr>
        <w:tcBorders>
          <w:bottom w:val="single" w:sz="4" w:space="0" w:color="7FD67B" w:themeColor="accent6" w:themeTint="99"/>
        </w:tcBorders>
      </w:tcPr>
    </w:tblStylePr>
    <w:tblStylePr w:type="seCell">
      <w:tblPr/>
      <w:tcPr>
        <w:tcBorders>
          <w:top w:val="single" w:sz="4" w:space="0" w:color="7FD67B" w:themeColor="accent6" w:themeTint="99"/>
        </w:tcBorders>
      </w:tcPr>
    </w:tblStylePr>
    <w:tblStylePr w:type="swCell">
      <w:tblPr/>
      <w:tcPr>
        <w:tcBorders>
          <w:top w:val="single" w:sz="4" w:space="0" w:color="7FD67B" w:themeColor="accent6" w:themeTint="99"/>
        </w:tcBorders>
      </w:tcPr>
    </w:tblStylePr>
  </w:style>
  <w:style w:type="character" w:styleId="Hashtag">
    <w:name w:val="Hashtag"/>
    <w:basedOn w:val="DefaultParagraphFont"/>
    <w:uiPriority w:val="99"/>
    <w:semiHidden/>
    <w:unhideWhenUsed/>
    <w:rsid w:val="00DF245D"/>
    <w:rPr>
      <w:color w:val="2B579A"/>
      <w:shd w:val="clear" w:color="auto" w:fill="E1DFDD"/>
    </w:rPr>
  </w:style>
  <w:style w:type="character" w:styleId="HTMLAcronym">
    <w:name w:val="HTML Acronym"/>
    <w:basedOn w:val="DefaultParagraphFont"/>
    <w:uiPriority w:val="99"/>
    <w:semiHidden/>
    <w:unhideWhenUsed/>
    <w:rsid w:val="00DF245D"/>
  </w:style>
  <w:style w:type="paragraph" w:styleId="HTMLAddress">
    <w:name w:val="HTML Address"/>
    <w:basedOn w:val="Normal"/>
    <w:link w:val="HTMLAddressChar"/>
    <w:uiPriority w:val="99"/>
    <w:semiHidden/>
    <w:unhideWhenUsed/>
    <w:rsid w:val="00DF245D"/>
    <w:pPr>
      <w:spacing w:after="0" w:line="240" w:lineRule="auto"/>
    </w:pPr>
    <w:rPr>
      <w:i/>
      <w:iCs/>
    </w:rPr>
  </w:style>
  <w:style w:type="character" w:customStyle="1" w:styleId="HTMLAddressChar">
    <w:name w:val="HTML Address Char"/>
    <w:basedOn w:val="DefaultParagraphFont"/>
    <w:link w:val="HTMLAddress"/>
    <w:uiPriority w:val="99"/>
    <w:semiHidden/>
    <w:rsid w:val="00DF245D"/>
    <w:rPr>
      <w:rFonts w:ascii="Calibri" w:hAnsi="Calibri"/>
      <w:i/>
      <w:iCs/>
    </w:rPr>
  </w:style>
  <w:style w:type="character" w:styleId="HTMLCite">
    <w:name w:val="HTML Cite"/>
    <w:basedOn w:val="DefaultParagraphFont"/>
    <w:uiPriority w:val="99"/>
    <w:semiHidden/>
    <w:unhideWhenUsed/>
    <w:rsid w:val="00DF245D"/>
    <w:rPr>
      <w:i/>
      <w:iCs/>
    </w:rPr>
  </w:style>
  <w:style w:type="character" w:styleId="HTMLCode">
    <w:name w:val="HTML Code"/>
    <w:basedOn w:val="DefaultParagraphFont"/>
    <w:uiPriority w:val="99"/>
    <w:semiHidden/>
    <w:unhideWhenUsed/>
    <w:rsid w:val="00DF245D"/>
    <w:rPr>
      <w:rFonts w:ascii="Consolas" w:hAnsi="Consolas"/>
      <w:sz w:val="20"/>
      <w:szCs w:val="20"/>
    </w:rPr>
  </w:style>
  <w:style w:type="character" w:styleId="HTMLDefinition">
    <w:name w:val="HTML Definition"/>
    <w:basedOn w:val="DefaultParagraphFont"/>
    <w:uiPriority w:val="99"/>
    <w:semiHidden/>
    <w:unhideWhenUsed/>
    <w:rsid w:val="00DF245D"/>
    <w:rPr>
      <w:i/>
      <w:iCs/>
    </w:rPr>
  </w:style>
  <w:style w:type="character" w:styleId="HTMLKeyboard">
    <w:name w:val="HTML Keyboard"/>
    <w:basedOn w:val="DefaultParagraphFont"/>
    <w:uiPriority w:val="99"/>
    <w:semiHidden/>
    <w:unhideWhenUsed/>
    <w:rsid w:val="00DF245D"/>
    <w:rPr>
      <w:rFonts w:ascii="Consolas" w:hAnsi="Consolas"/>
      <w:sz w:val="20"/>
      <w:szCs w:val="20"/>
    </w:rPr>
  </w:style>
  <w:style w:type="paragraph" w:styleId="HTMLPreformatted">
    <w:name w:val="HTML Preformatted"/>
    <w:basedOn w:val="Normal"/>
    <w:link w:val="HTMLPreformattedChar"/>
    <w:uiPriority w:val="99"/>
    <w:semiHidden/>
    <w:unhideWhenUsed/>
    <w:rsid w:val="00DF24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F245D"/>
    <w:rPr>
      <w:rFonts w:ascii="Consolas" w:hAnsi="Consolas"/>
      <w:sz w:val="20"/>
      <w:szCs w:val="20"/>
    </w:rPr>
  </w:style>
  <w:style w:type="character" w:styleId="HTMLSample">
    <w:name w:val="HTML Sample"/>
    <w:basedOn w:val="DefaultParagraphFont"/>
    <w:uiPriority w:val="99"/>
    <w:semiHidden/>
    <w:unhideWhenUsed/>
    <w:rsid w:val="00DF245D"/>
    <w:rPr>
      <w:rFonts w:ascii="Consolas" w:hAnsi="Consolas"/>
      <w:sz w:val="24"/>
      <w:szCs w:val="24"/>
    </w:rPr>
  </w:style>
  <w:style w:type="character" w:styleId="HTMLTypewriter">
    <w:name w:val="HTML Typewriter"/>
    <w:basedOn w:val="DefaultParagraphFont"/>
    <w:uiPriority w:val="99"/>
    <w:semiHidden/>
    <w:unhideWhenUsed/>
    <w:rsid w:val="00DF245D"/>
    <w:rPr>
      <w:rFonts w:ascii="Consolas" w:hAnsi="Consolas"/>
      <w:sz w:val="20"/>
      <w:szCs w:val="20"/>
    </w:rPr>
  </w:style>
  <w:style w:type="character" w:styleId="HTMLVariable">
    <w:name w:val="HTML Variable"/>
    <w:basedOn w:val="DefaultParagraphFont"/>
    <w:uiPriority w:val="99"/>
    <w:semiHidden/>
    <w:unhideWhenUsed/>
    <w:rsid w:val="00DF245D"/>
    <w:rPr>
      <w:i/>
      <w:iCs/>
    </w:rPr>
  </w:style>
  <w:style w:type="paragraph" w:styleId="Index1">
    <w:name w:val="index 1"/>
    <w:basedOn w:val="Normal"/>
    <w:next w:val="Normal"/>
    <w:autoRedefine/>
    <w:uiPriority w:val="99"/>
    <w:semiHidden/>
    <w:unhideWhenUsed/>
    <w:rsid w:val="00DF245D"/>
    <w:pPr>
      <w:spacing w:after="0" w:line="240" w:lineRule="auto"/>
      <w:ind w:left="220" w:hanging="220"/>
    </w:pPr>
  </w:style>
  <w:style w:type="paragraph" w:styleId="Index2">
    <w:name w:val="index 2"/>
    <w:basedOn w:val="Normal"/>
    <w:next w:val="Normal"/>
    <w:autoRedefine/>
    <w:uiPriority w:val="99"/>
    <w:semiHidden/>
    <w:unhideWhenUsed/>
    <w:rsid w:val="00DF245D"/>
    <w:pPr>
      <w:spacing w:after="0" w:line="240" w:lineRule="auto"/>
      <w:ind w:left="440" w:hanging="220"/>
    </w:pPr>
  </w:style>
  <w:style w:type="paragraph" w:styleId="Index3">
    <w:name w:val="index 3"/>
    <w:basedOn w:val="Normal"/>
    <w:next w:val="Normal"/>
    <w:autoRedefine/>
    <w:uiPriority w:val="99"/>
    <w:semiHidden/>
    <w:unhideWhenUsed/>
    <w:rsid w:val="00DF245D"/>
    <w:pPr>
      <w:spacing w:after="0" w:line="240" w:lineRule="auto"/>
      <w:ind w:left="660" w:hanging="220"/>
    </w:pPr>
  </w:style>
  <w:style w:type="paragraph" w:styleId="Index4">
    <w:name w:val="index 4"/>
    <w:basedOn w:val="Normal"/>
    <w:next w:val="Normal"/>
    <w:autoRedefine/>
    <w:uiPriority w:val="99"/>
    <w:semiHidden/>
    <w:unhideWhenUsed/>
    <w:rsid w:val="00DF245D"/>
    <w:pPr>
      <w:spacing w:after="0" w:line="240" w:lineRule="auto"/>
      <w:ind w:left="880" w:hanging="220"/>
    </w:pPr>
  </w:style>
  <w:style w:type="paragraph" w:styleId="Index5">
    <w:name w:val="index 5"/>
    <w:basedOn w:val="Normal"/>
    <w:next w:val="Normal"/>
    <w:autoRedefine/>
    <w:uiPriority w:val="99"/>
    <w:semiHidden/>
    <w:unhideWhenUsed/>
    <w:rsid w:val="00DF245D"/>
    <w:pPr>
      <w:spacing w:after="0" w:line="240" w:lineRule="auto"/>
      <w:ind w:left="1100" w:hanging="220"/>
    </w:pPr>
  </w:style>
  <w:style w:type="paragraph" w:styleId="Index6">
    <w:name w:val="index 6"/>
    <w:basedOn w:val="Normal"/>
    <w:next w:val="Normal"/>
    <w:autoRedefine/>
    <w:uiPriority w:val="99"/>
    <w:semiHidden/>
    <w:unhideWhenUsed/>
    <w:rsid w:val="00DF245D"/>
    <w:pPr>
      <w:spacing w:after="0" w:line="240" w:lineRule="auto"/>
      <w:ind w:left="1320" w:hanging="220"/>
    </w:pPr>
  </w:style>
  <w:style w:type="paragraph" w:styleId="Index7">
    <w:name w:val="index 7"/>
    <w:basedOn w:val="Normal"/>
    <w:next w:val="Normal"/>
    <w:autoRedefine/>
    <w:uiPriority w:val="99"/>
    <w:semiHidden/>
    <w:unhideWhenUsed/>
    <w:rsid w:val="00DF245D"/>
    <w:pPr>
      <w:spacing w:after="0" w:line="240" w:lineRule="auto"/>
      <w:ind w:left="1540" w:hanging="220"/>
    </w:pPr>
  </w:style>
  <w:style w:type="paragraph" w:styleId="Index8">
    <w:name w:val="index 8"/>
    <w:basedOn w:val="Normal"/>
    <w:next w:val="Normal"/>
    <w:autoRedefine/>
    <w:uiPriority w:val="99"/>
    <w:semiHidden/>
    <w:unhideWhenUsed/>
    <w:rsid w:val="00DF245D"/>
    <w:pPr>
      <w:spacing w:after="0" w:line="240" w:lineRule="auto"/>
      <w:ind w:left="1760" w:hanging="220"/>
    </w:pPr>
  </w:style>
  <w:style w:type="paragraph" w:styleId="Index9">
    <w:name w:val="index 9"/>
    <w:basedOn w:val="Normal"/>
    <w:next w:val="Normal"/>
    <w:autoRedefine/>
    <w:uiPriority w:val="99"/>
    <w:semiHidden/>
    <w:unhideWhenUsed/>
    <w:rsid w:val="00DF245D"/>
    <w:pPr>
      <w:spacing w:after="0" w:line="240" w:lineRule="auto"/>
      <w:ind w:left="1980" w:hanging="220"/>
    </w:pPr>
  </w:style>
  <w:style w:type="paragraph" w:styleId="IndexHeading">
    <w:name w:val="index heading"/>
    <w:basedOn w:val="Normal"/>
    <w:next w:val="Index1"/>
    <w:uiPriority w:val="99"/>
    <w:semiHidden/>
    <w:unhideWhenUsed/>
    <w:rsid w:val="00DF245D"/>
    <w:rPr>
      <w:rFonts w:asciiTheme="majorHAnsi" w:eastAsiaTheme="majorEastAsia" w:hAnsiTheme="majorHAnsi" w:cstheme="majorBidi"/>
      <w:b/>
      <w:bCs/>
    </w:rPr>
  </w:style>
  <w:style w:type="table" w:styleId="LightGrid">
    <w:name w:val="Light Grid"/>
    <w:basedOn w:val="TableNormal"/>
    <w:uiPriority w:val="62"/>
    <w:semiHidden/>
    <w:unhideWhenUsed/>
    <w:rsid w:val="00DF245D"/>
    <w:pPr>
      <w:spacing w:after="0" w:line="240" w:lineRule="auto"/>
    </w:pPr>
    <w:tblPr>
      <w:tblStyleRowBandSize w:val="1"/>
      <w:tblStyleColBandSize w:val="1"/>
      <w:tblBorders>
        <w:top w:val="single" w:sz="8" w:space="0" w:color="30353F" w:themeColor="text1"/>
        <w:left w:val="single" w:sz="8" w:space="0" w:color="30353F" w:themeColor="text1"/>
        <w:bottom w:val="single" w:sz="8" w:space="0" w:color="30353F" w:themeColor="text1"/>
        <w:right w:val="single" w:sz="8" w:space="0" w:color="30353F" w:themeColor="text1"/>
        <w:insideH w:val="single" w:sz="8" w:space="0" w:color="30353F" w:themeColor="text1"/>
        <w:insideV w:val="single" w:sz="8" w:space="0" w:color="30353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0353F" w:themeColor="text1"/>
          <w:left w:val="single" w:sz="8" w:space="0" w:color="30353F" w:themeColor="text1"/>
          <w:bottom w:val="single" w:sz="18" w:space="0" w:color="30353F" w:themeColor="text1"/>
          <w:right w:val="single" w:sz="8" w:space="0" w:color="30353F" w:themeColor="text1"/>
          <w:insideH w:val="nil"/>
          <w:insideV w:val="single" w:sz="8" w:space="0" w:color="30353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353F" w:themeColor="text1"/>
          <w:left w:val="single" w:sz="8" w:space="0" w:color="30353F" w:themeColor="text1"/>
          <w:bottom w:val="single" w:sz="8" w:space="0" w:color="30353F" w:themeColor="text1"/>
          <w:right w:val="single" w:sz="8" w:space="0" w:color="30353F" w:themeColor="text1"/>
          <w:insideH w:val="nil"/>
          <w:insideV w:val="single" w:sz="8" w:space="0" w:color="30353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353F" w:themeColor="text1"/>
          <w:left w:val="single" w:sz="8" w:space="0" w:color="30353F" w:themeColor="text1"/>
          <w:bottom w:val="single" w:sz="8" w:space="0" w:color="30353F" w:themeColor="text1"/>
          <w:right w:val="single" w:sz="8" w:space="0" w:color="30353F" w:themeColor="text1"/>
        </w:tcBorders>
      </w:tcPr>
    </w:tblStylePr>
    <w:tblStylePr w:type="band1Vert">
      <w:tblPr/>
      <w:tcPr>
        <w:tcBorders>
          <w:top w:val="single" w:sz="8" w:space="0" w:color="30353F" w:themeColor="text1"/>
          <w:left w:val="single" w:sz="8" w:space="0" w:color="30353F" w:themeColor="text1"/>
          <w:bottom w:val="single" w:sz="8" w:space="0" w:color="30353F" w:themeColor="text1"/>
          <w:right w:val="single" w:sz="8" w:space="0" w:color="30353F" w:themeColor="text1"/>
        </w:tcBorders>
        <w:shd w:val="clear" w:color="auto" w:fill="C7CBD4" w:themeFill="text1" w:themeFillTint="3F"/>
      </w:tcPr>
    </w:tblStylePr>
    <w:tblStylePr w:type="band1Horz">
      <w:tblPr/>
      <w:tcPr>
        <w:tcBorders>
          <w:top w:val="single" w:sz="8" w:space="0" w:color="30353F" w:themeColor="text1"/>
          <w:left w:val="single" w:sz="8" w:space="0" w:color="30353F" w:themeColor="text1"/>
          <w:bottom w:val="single" w:sz="8" w:space="0" w:color="30353F" w:themeColor="text1"/>
          <w:right w:val="single" w:sz="8" w:space="0" w:color="30353F" w:themeColor="text1"/>
          <w:insideV w:val="single" w:sz="8" w:space="0" w:color="30353F" w:themeColor="text1"/>
        </w:tcBorders>
        <w:shd w:val="clear" w:color="auto" w:fill="C7CBD4" w:themeFill="text1" w:themeFillTint="3F"/>
      </w:tcPr>
    </w:tblStylePr>
    <w:tblStylePr w:type="band2Horz">
      <w:tblPr/>
      <w:tcPr>
        <w:tcBorders>
          <w:top w:val="single" w:sz="8" w:space="0" w:color="30353F" w:themeColor="text1"/>
          <w:left w:val="single" w:sz="8" w:space="0" w:color="30353F" w:themeColor="text1"/>
          <w:bottom w:val="single" w:sz="8" w:space="0" w:color="30353F" w:themeColor="text1"/>
          <w:right w:val="single" w:sz="8" w:space="0" w:color="30353F" w:themeColor="text1"/>
          <w:insideV w:val="single" w:sz="8" w:space="0" w:color="30353F" w:themeColor="text1"/>
        </w:tcBorders>
      </w:tcPr>
    </w:tblStylePr>
  </w:style>
  <w:style w:type="table" w:styleId="LightGrid-Accent1">
    <w:name w:val="Light Grid Accent 1"/>
    <w:basedOn w:val="TableNormal"/>
    <w:uiPriority w:val="62"/>
    <w:semiHidden/>
    <w:unhideWhenUsed/>
    <w:rsid w:val="00DF245D"/>
    <w:pPr>
      <w:spacing w:after="0" w:line="240" w:lineRule="auto"/>
    </w:pPr>
    <w:tblPr>
      <w:tblStyleRowBandSize w:val="1"/>
      <w:tblStyleColBandSize w:val="1"/>
      <w:tblBorders>
        <w:top w:val="single" w:sz="8" w:space="0" w:color="0094C5" w:themeColor="accent1"/>
        <w:left w:val="single" w:sz="8" w:space="0" w:color="0094C5" w:themeColor="accent1"/>
        <w:bottom w:val="single" w:sz="8" w:space="0" w:color="0094C5" w:themeColor="accent1"/>
        <w:right w:val="single" w:sz="8" w:space="0" w:color="0094C5" w:themeColor="accent1"/>
        <w:insideH w:val="single" w:sz="8" w:space="0" w:color="0094C5" w:themeColor="accent1"/>
        <w:insideV w:val="single" w:sz="8" w:space="0" w:color="0094C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4C5" w:themeColor="accent1"/>
          <w:left w:val="single" w:sz="8" w:space="0" w:color="0094C5" w:themeColor="accent1"/>
          <w:bottom w:val="single" w:sz="18" w:space="0" w:color="0094C5" w:themeColor="accent1"/>
          <w:right w:val="single" w:sz="8" w:space="0" w:color="0094C5" w:themeColor="accent1"/>
          <w:insideH w:val="nil"/>
          <w:insideV w:val="single" w:sz="8" w:space="0" w:color="0094C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4C5" w:themeColor="accent1"/>
          <w:left w:val="single" w:sz="8" w:space="0" w:color="0094C5" w:themeColor="accent1"/>
          <w:bottom w:val="single" w:sz="8" w:space="0" w:color="0094C5" w:themeColor="accent1"/>
          <w:right w:val="single" w:sz="8" w:space="0" w:color="0094C5" w:themeColor="accent1"/>
          <w:insideH w:val="nil"/>
          <w:insideV w:val="single" w:sz="8" w:space="0" w:color="0094C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4C5" w:themeColor="accent1"/>
          <w:left w:val="single" w:sz="8" w:space="0" w:color="0094C5" w:themeColor="accent1"/>
          <w:bottom w:val="single" w:sz="8" w:space="0" w:color="0094C5" w:themeColor="accent1"/>
          <w:right w:val="single" w:sz="8" w:space="0" w:color="0094C5" w:themeColor="accent1"/>
        </w:tcBorders>
      </w:tcPr>
    </w:tblStylePr>
    <w:tblStylePr w:type="band1Vert">
      <w:tblPr/>
      <w:tcPr>
        <w:tcBorders>
          <w:top w:val="single" w:sz="8" w:space="0" w:color="0094C5" w:themeColor="accent1"/>
          <w:left w:val="single" w:sz="8" w:space="0" w:color="0094C5" w:themeColor="accent1"/>
          <w:bottom w:val="single" w:sz="8" w:space="0" w:color="0094C5" w:themeColor="accent1"/>
          <w:right w:val="single" w:sz="8" w:space="0" w:color="0094C5" w:themeColor="accent1"/>
        </w:tcBorders>
        <w:shd w:val="clear" w:color="auto" w:fill="B1EBFF" w:themeFill="accent1" w:themeFillTint="3F"/>
      </w:tcPr>
    </w:tblStylePr>
    <w:tblStylePr w:type="band1Horz">
      <w:tblPr/>
      <w:tcPr>
        <w:tcBorders>
          <w:top w:val="single" w:sz="8" w:space="0" w:color="0094C5" w:themeColor="accent1"/>
          <w:left w:val="single" w:sz="8" w:space="0" w:color="0094C5" w:themeColor="accent1"/>
          <w:bottom w:val="single" w:sz="8" w:space="0" w:color="0094C5" w:themeColor="accent1"/>
          <w:right w:val="single" w:sz="8" w:space="0" w:color="0094C5" w:themeColor="accent1"/>
          <w:insideV w:val="single" w:sz="8" w:space="0" w:color="0094C5" w:themeColor="accent1"/>
        </w:tcBorders>
        <w:shd w:val="clear" w:color="auto" w:fill="B1EBFF" w:themeFill="accent1" w:themeFillTint="3F"/>
      </w:tcPr>
    </w:tblStylePr>
    <w:tblStylePr w:type="band2Horz">
      <w:tblPr/>
      <w:tcPr>
        <w:tcBorders>
          <w:top w:val="single" w:sz="8" w:space="0" w:color="0094C5" w:themeColor="accent1"/>
          <w:left w:val="single" w:sz="8" w:space="0" w:color="0094C5" w:themeColor="accent1"/>
          <w:bottom w:val="single" w:sz="8" w:space="0" w:color="0094C5" w:themeColor="accent1"/>
          <w:right w:val="single" w:sz="8" w:space="0" w:color="0094C5" w:themeColor="accent1"/>
          <w:insideV w:val="single" w:sz="8" w:space="0" w:color="0094C5" w:themeColor="accent1"/>
        </w:tcBorders>
      </w:tcPr>
    </w:tblStylePr>
  </w:style>
  <w:style w:type="table" w:styleId="LightGrid-Accent2">
    <w:name w:val="Light Grid Accent 2"/>
    <w:basedOn w:val="TableNormal"/>
    <w:uiPriority w:val="62"/>
    <w:semiHidden/>
    <w:unhideWhenUsed/>
    <w:rsid w:val="00DF245D"/>
    <w:pPr>
      <w:spacing w:after="0" w:line="240" w:lineRule="auto"/>
    </w:pPr>
    <w:tblPr>
      <w:tblStyleRowBandSize w:val="1"/>
      <w:tblStyleColBandSize w:val="1"/>
      <w:tblBorders>
        <w:top w:val="single" w:sz="8" w:space="0" w:color="E5006D" w:themeColor="accent2"/>
        <w:left w:val="single" w:sz="8" w:space="0" w:color="E5006D" w:themeColor="accent2"/>
        <w:bottom w:val="single" w:sz="8" w:space="0" w:color="E5006D" w:themeColor="accent2"/>
        <w:right w:val="single" w:sz="8" w:space="0" w:color="E5006D" w:themeColor="accent2"/>
        <w:insideH w:val="single" w:sz="8" w:space="0" w:color="E5006D" w:themeColor="accent2"/>
        <w:insideV w:val="single" w:sz="8" w:space="0" w:color="E5006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006D" w:themeColor="accent2"/>
          <w:left w:val="single" w:sz="8" w:space="0" w:color="E5006D" w:themeColor="accent2"/>
          <w:bottom w:val="single" w:sz="18" w:space="0" w:color="E5006D" w:themeColor="accent2"/>
          <w:right w:val="single" w:sz="8" w:space="0" w:color="E5006D" w:themeColor="accent2"/>
          <w:insideH w:val="nil"/>
          <w:insideV w:val="single" w:sz="8" w:space="0" w:color="E5006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006D" w:themeColor="accent2"/>
          <w:left w:val="single" w:sz="8" w:space="0" w:color="E5006D" w:themeColor="accent2"/>
          <w:bottom w:val="single" w:sz="8" w:space="0" w:color="E5006D" w:themeColor="accent2"/>
          <w:right w:val="single" w:sz="8" w:space="0" w:color="E5006D" w:themeColor="accent2"/>
          <w:insideH w:val="nil"/>
          <w:insideV w:val="single" w:sz="8" w:space="0" w:color="E5006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006D" w:themeColor="accent2"/>
          <w:left w:val="single" w:sz="8" w:space="0" w:color="E5006D" w:themeColor="accent2"/>
          <w:bottom w:val="single" w:sz="8" w:space="0" w:color="E5006D" w:themeColor="accent2"/>
          <w:right w:val="single" w:sz="8" w:space="0" w:color="E5006D" w:themeColor="accent2"/>
        </w:tcBorders>
      </w:tcPr>
    </w:tblStylePr>
    <w:tblStylePr w:type="band1Vert">
      <w:tblPr/>
      <w:tcPr>
        <w:tcBorders>
          <w:top w:val="single" w:sz="8" w:space="0" w:color="E5006D" w:themeColor="accent2"/>
          <w:left w:val="single" w:sz="8" w:space="0" w:color="E5006D" w:themeColor="accent2"/>
          <w:bottom w:val="single" w:sz="8" w:space="0" w:color="E5006D" w:themeColor="accent2"/>
          <w:right w:val="single" w:sz="8" w:space="0" w:color="E5006D" w:themeColor="accent2"/>
        </w:tcBorders>
        <w:shd w:val="clear" w:color="auto" w:fill="FFB9DA" w:themeFill="accent2" w:themeFillTint="3F"/>
      </w:tcPr>
    </w:tblStylePr>
    <w:tblStylePr w:type="band1Horz">
      <w:tblPr/>
      <w:tcPr>
        <w:tcBorders>
          <w:top w:val="single" w:sz="8" w:space="0" w:color="E5006D" w:themeColor="accent2"/>
          <w:left w:val="single" w:sz="8" w:space="0" w:color="E5006D" w:themeColor="accent2"/>
          <w:bottom w:val="single" w:sz="8" w:space="0" w:color="E5006D" w:themeColor="accent2"/>
          <w:right w:val="single" w:sz="8" w:space="0" w:color="E5006D" w:themeColor="accent2"/>
          <w:insideV w:val="single" w:sz="8" w:space="0" w:color="E5006D" w:themeColor="accent2"/>
        </w:tcBorders>
        <w:shd w:val="clear" w:color="auto" w:fill="FFB9DA" w:themeFill="accent2" w:themeFillTint="3F"/>
      </w:tcPr>
    </w:tblStylePr>
    <w:tblStylePr w:type="band2Horz">
      <w:tblPr/>
      <w:tcPr>
        <w:tcBorders>
          <w:top w:val="single" w:sz="8" w:space="0" w:color="E5006D" w:themeColor="accent2"/>
          <w:left w:val="single" w:sz="8" w:space="0" w:color="E5006D" w:themeColor="accent2"/>
          <w:bottom w:val="single" w:sz="8" w:space="0" w:color="E5006D" w:themeColor="accent2"/>
          <w:right w:val="single" w:sz="8" w:space="0" w:color="E5006D" w:themeColor="accent2"/>
          <w:insideV w:val="single" w:sz="8" w:space="0" w:color="E5006D" w:themeColor="accent2"/>
        </w:tcBorders>
      </w:tcPr>
    </w:tblStylePr>
  </w:style>
  <w:style w:type="table" w:styleId="LightGrid-Accent3">
    <w:name w:val="Light Grid Accent 3"/>
    <w:basedOn w:val="TableNormal"/>
    <w:uiPriority w:val="62"/>
    <w:semiHidden/>
    <w:unhideWhenUsed/>
    <w:rsid w:val="00DF245D"/>
    <w:pPr>
      <w:spacing w:after="0" w:line="240" w:lineRule="auto"/>
    </w:pPr>
    <w:tblPr>
      <w:tblStyleRowBandSize w:val="1"/>
      <w:tblStyleColBandSize w:val="1"/>
      <w:tblBorders>
        <w:top w:val="single" w:sz="8" w:space="0" w:color="2C2276" w:themeColor="accent3"/>
        <w:left w:val="single" w:sz="8" w:space="0" w:color="2C2276" w:themeColor="accent3"/>
        <w:bottom w:val="single" w:sz="8" w:space="0" w:color="2C2276" w:themeColor="accent3"/>
        <w:right w:val="single" w:sz="8" w:space="0" w:color="2C2276" w:themeColor="accent3"/>
        <w:insideH w:val="single" w:sz="8" w:space="0" w:color="2C2276" w:themeColor="accent3"/>
        <w:insideV w:val="single" w:sz="8" w:space="0" w:color="2C227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2276" w:themeColor="accent3"/>
          <w:left w:val="single" w:sz="8" w:space="0" w:color="2C2276" w:themeColor="accent3"/>
          <w:bottom w:val="single" w:sz="18" w:space="0" w:color="2C2276" w:themeColor="accent3"/>
          <w:right w:val="single" w:sz="8" w:space="0" w:color="2C2276" w:themeColor="accent3"/>
          <w:insideH w:val="nil"/>
          <w:insideV w:val="single" w:sz="8" w:space="0" w:color="2C227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2276" w:themeColor="accent3"/>
          <w:left w:val="single" w:sz="8" w:space="0" w:color="2C2276" w:themeColor="accent3"/>
          <w:bottom w:val="single" w:sz="8" w:space="0" w:color="2C2276" w:themeColor="accent3"/>
          <w:right w:val="single" w:sz="8" w:space="0" w:color="2C2276" w:themeColor="accent3"/>
          <w:insideH w:val="nil"/>
          <w:insideV w:val="single" w:sz="8" w:space="0" w:color="2C227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2276" w:themeColor="accent3"/>
          <w:left w:val="single" w:sz="8" w:space="0" w:color="2C2276" w:themeColor="accent3"/>
          <w:bottom w:val="single" w:sz="8" w:space="0" w:color="2C2276" w:themeColor="accent3"/>
          <w:right w:val="single" w:sz="8" w:space="0" w:color="2C2276" w:themeColor="accent3"/>
        </w:tcBorders>
      </w:tcPr>
    </w:tblStylePr>
    <w:tblStylePr w:type="band1Vert">
      <w:tblPr/>
      <w:tcPr>
        <w:tcBorders>
          <w:top w:val="single" w:sz="8" w:space="0" w:color="2C2276" w:themeColor="accent3"/>
          <w:left w:val="single" w:sz="8" w:space="0" w:color="2C2276" w:themeColor="accent3"/>
          <w:bottom w:val="single" w:sz="8" w:space="0" w:color="2C2276" w:themeColor="accent3"/>
          <w:right w:val="single" w:sz="8" w:space="0" w:color="2C2276" w:themeColor="accent3"/>
        </w:tcBorders>
        <w:shd w:val="clear" w:color="auto" w:fill="BFBAEB" w:themeFill="accent3" w:themeFillTint="3F"/>
      </w:tcPr>
    </w:tblStylePr>
    <w:tblStylePr w:type="band1Horz">
      <w:tblPr/>
      <w:tcPr>
        <w:tcBorders>
          <w:top w:val="single" w:sz="8" w:space="0" w:color="2C2276" w:themeColor="accent3"/>
          <w:left w:val="single" w:sz="8" w:space="0" w:color="2C2276" w:themeColor="accent3"/>
          <w:bottom w:val="single" w:sz="8" w:space="0" w:color="2C2276" w:themeColor="accent3"/>
          <w:right w:val="single" w:sz="8" w:space="0" w:color="2C2276" w:themeColor="accent3"/>
          <w:insideV w:val="single" w:sz="8" w:space="0" w:color="2C2276" w:themeColor="accent3"/>
        </w:tcBorders>
        <w:shd w:val="clear" w:color="auto" w:fill="BFBAEB" w:themeFill="accent3" w:themeFillTint="3F"/>
      </w:tcPr>
    </w:tblStylePr>
    <w:tblStylePr w:type="band2Horz">
      <w:tblPr/>
      <w:tcPr>
        <w:tcBorders>
          <w:top w:val="single" w:sz="8" w:space="0" w:color="2C2276" w:themeColor="accent3"/>
          <w:left w:val="single" w:sz="8" w:space="0" w:color="2C2276" w:themeColor="accent3"/>
          <w:bottom w:val="single" w:sz="8" w:space="0" w:color="2C2276" w:themeColor="accent3"/>
          <w:right w:val="single" w:sz="8" w:space="0" w:color="2C2276" w:themeColor="accent3"/>
          <w:insideV w:val="single" w:sz="8" w:space="0" w:color="2C2276" w:themeColor="accent3"/>
        </w:tcBorders>
      </w:tcPr>
    </w:tblStylePr>
  </w:style>
  <w:style w:type="table" w:styleId="LightGrid-Accent4">
    <w:name w:val="Light Grid Accent 4"/>
    <w:basedOn w:val="TableNormal"/>
    <w:uiPriority w:val="62"/>
    <w:semiHidden/>
    <w:unhideWhenUsed/>
    <w:rsid w:val="00DF245D"/>
    <w:pPr>
      <w:spacing w:after="0" w:line="240" w:lineRule="auto"/>
    </w:pPr>
    <w:tblPr>
      <w:tblStyleRowBandSize w:val="1"/>
      <w:tblStyleColBandSize w:val="1"/>
      <w:tblBorders>
        <w:top w:val="single" w:sz="8" w:space="0" w:color="7B1244" w:themeColor="accent4"/>
        <w:left w:val="single" w:sz="8" w:space="0" w:color="7B1244" w:themeColor="accent4"/>
        <w:bottom w:val="single" w:sz="8" w:space="0" w:color="7B1244" w:themeColor="accent4"/>
        <w:right w:val="single" w:sz="8" w:space="0" w:color="7B1244" w:themeColor="accent4"/>
        <w:insideH w:val="single" w:sz="8" w:space="0" w:color="7B1244" w:themeColor="accent4"/>
        <w:insideV w:val="single" w:sz="8" w:space="0" w:color="7B124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1244" w:themeColor="accent4"/>
          <w:left w:val="single" w:sz="8" w:space="0" w:color="7B1244" w:themeColor="accent4"/>
          <w:bottom w:val="single" w:sz="18" w:space="0" w:color="7B1244" w:themeColor="accent4"/>
          <w:right w:val="single" w:sz="8" w:space="0" w:color="7B1244" w:themeColor="accent4"/>
          <w:insideH w:val="nil"/>
          <w:insideV w:val="single" w:sz="8" w:space="0" w:color="7B124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1244" w:themeColor="accent4"/>
          <w:left w:val="single" w:sz="8" w:space="0" w:color="7B1244" w:themeColor="accent4"/>
          <w:bottom w:val="single" w:sz="8" w:space="0" w:color="7B1244" w:themeColor="accent4"/>
          <w:right w:val="single" w:sz="8" w:space="0" w:color="7B1244" w:themeColor="accent4"/>
          <w:insideH w:val="nil"/>
          <w:insideV w:val="single" w:sz="8" w:space="0" w:color="7B124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1244" w:themeColor="accent4"/>
          <w:left w:val="single" w:sz="8" w:space="0" w:color="7B1244" w:themeColor="accent4"/>
          <w:bottom w:val="single" w:sz="8" w:space="0" w:color="7B1244" w:themeColor="accent4"/>
          <w:right w:val="single" w:sz="8" w:space="0" w:color="7B1244" w:themeColor="accent4"/>
        </w:tcBorders>
      </w:tcPr>
    </w:tblStylePr>
    <w:tblStylePr w:type="band1Vert">
      <w:tblPr/>
      <w:tcPr>
        <w:tcBorders>
          <w:top w:val="single" w:sz="8" w:space="0" w:color="7B1244" w:themeColor="accent4"/>
          <w:left w:val="single" w:sz="8" w:space="0" w:color="7B1244" w:themeColor="accent4"/>
          <w:bottom w:val="single" w:sz="8" w:space="0" w:color="7B1244" w:themeColor="accent4"/>
          <w:right w:val="single" w:sz="8" w:space="0" w:color="7B1244" w:themeColor="accent4"/>
        </w:tcBorders>
        <w:shd w:val="clear" w:color="auto" w:fill="F3AFCF" w:themeFill="accent4" w:themeFillTint="3F"/>
      </w:tcPr>
    </w:tblStylePr>
    <w:tblStylePr w:type="band1Horz">
      <w:tblPr/>
      <w:tcPr>
        <w:tcBorders>
          <w:top w:val="single" w:sz="8" w:space="0" w:color="7B1244" w:themeColor="accent4"/>
          <w:left w:val="single" w:sz="8" w:space="0" w:color="7B1244" w:themeColor="accent4"/>
          <w:bottom w:val="single" w:sz="8" w:space="0" w:color="7B1244" w:themeColor="accent4"/>
          <w:right w:val="single" w:sz="8" w:space="0" w:color="7B1244" w:themeColor="accent4"/>
          <w:insideV w:val="single" w:sz="8" w:space="0" w:color="7B1244" w:themeColor="accent4"/>
        </w:tcBorders>
        <w:shd w:val="clear" w:color="auto" w:fill="F3AFCF" w:themeFill="accent4" w:themeFillTint="3F"/>
      </w:tcPr>
    </w:tblStylePr>
    <w:tblStylePr w:type="band2Horz">
      <w:tblPr/>
      <w:tcPr>
        <w:tcBorders>
          <w:top w:val="single" w:sz="8" w:space="0" w:color="7B1244" w:themeColor="accent4"/>
          <w:left w:val="single" w:sz="8" w:space="0" w:color="7B1244" w:themeColor="accent4"/>
          <w:bottom w:val="single" w:sz="8" w:space="0" w:color="7B1244" w:themeColor="accent4"/>
          <w:right w:val="single" w:sz="8" w:space="0" w:color="7B1244" w:themeColor="accent4"/>
          <w:insideV w:val="single" w:sz="8" w:space="0" w:color="7B1244" w:themeColor="accent4"/>
        </w:tcBorders>
      </w:tcPr>
    </w:tblStylePr>
  </w:style>
  <w:style w:type="table" w:styleId="LightGrid-Accent5">
    <w:name w:val="Light Grid Accent 5"/>
    <w:basedOn w:val="TableNormal"/>
    <w:uiPriority w:val="62"/>
    <w:semiHidden/>
    <w:unhideWhenUsed/>
    <w:rsid w:val="00DF245D"/>
    <w:pPr>
      <w:spacing w:after="0" w:line="240" w:lineRule="auto"/>
    </w:pPr>
    <w:tblPr>
      <w:tblStyleRowBandSize w:val="1"/>
      <w:tblStyleColBandSize w:val="1"/>
      <w:tblBorders>
        <w:top w:val="single" w:sz="8" w:space="0" w:color="AFCA0B" w:themeColor="accent5"/>
        <w:left w:val="single" w:sz="8" w:space="0" w:color="AFCA0B" w:themeColor="accent5"/>
        <w:bottom w:val="single" w:sz="8" w:space="0" w:color="AFCA0B" w:themeColor="accent5"/>
        <w:right w:val="single" w:sz="8" w:space="0" w:color="AFCA0B" w:themeColor="accent5"/>
        <w:insideH w:val="single" w:sz="8" w:space="0" w:color="AFCA0B" w:themeColor="accent5"/>
        <w:insideV w:val="single" w:sz="8" w:space="0" w:color="AFCA0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CA0B" w:themeColor="accent5"/>
          <w:left w:val="single" w:sz="8" w:space="0" w:color="AFCA0B" w:themeColor="accent5"/>
          <w:bottom w:val="single" w:sz="18" w:space="0" w:color="AFCA0B" w:themeColor="accent5"/>
          <w:right w:val="single" w:sz="8" w:space="0" w:color="AFCA0B" w:themeColor="accent5"/>
          <w:insideH w:val="nil"/>
          <w:insideV w:val="single" w:sz="8" w:space="0" w:color="AFCA0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CA0B" w:themeColor="accent5"/>
          <w:left w:val="single" w:sz="8" w:space="0" w:color="AFCA0B" w:themeColor="accent5"/>
          <w:bottom w:val="single" w:sz="8" w:space="0" w:color="AFCA0B" w:themeColor="accent5"/>
          <w:right w:val="single" w:sz="8" w:space="0" w:color="AFCA0B" w:themeColor="accent5"/>
          <w:insideH w:val="nil"/>
          <w:insideV w:val="single" w:sz="8" w:space="0" w:color="AFCA0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CA0B" w:themeColor="accent5"/>
          <w:left w:val="single" w:sz="8" w:space="0" w:color="AFCA0B" w:themeColor="accent5"/>
          <w:bottom w:val="single" w:sz="8" w:space="0" w:color="AFCA0B" w:themeColor="accent5"/>
          <w:right w:val="single" w:sz="8" w:space="0" w:color="AFCA0B" w:themeColor="accent5"/>
        </w:tcBorders>
      </w:tcPr>
    </w:tblStylePr>
    <w:tblStylePr w:type="band1Vert">
      <w:tblPr/>
      <w:tcPr>
        <w:tcBorders>
          <w:top w:val="single" w:sz="8" w:space="0" w:color="AFCA0B" w:themeColor="accent5"/>
          <w:left w:val="single" w:sz="8" w:space="0" w:color="AFCA0B" w:themeColor="accent5"/>
          <w:bottom w:val="single" w:sz="8" w:space="0" w:color="AFCA0B" w:themeColor="accent5"/>
          <w:right w:val="single" w:sz="8" w:space="0" w:color="AFCA0B" w:themeColor="accent5"/>
        </w:tcBorders>
        <w:shd w:val="clear" w:color="auto" w:fill="F1FBB9" w:themeFill="accent5" w:themeFillTint="3F"/>
      </w:tcPr>
    </w:tblStylePr>
    <w:tblStylePr w:type="band1Horz">
      <w:tblPr/>
      <w:tcPr>
        <w:tcBorders>
          <w:top w:val="single" w:sz="8" w:space="0" w:color="AFCA0B" w:themeColor="accent5"/>
          <w:left w:val="single" w:sz="8" w:space="0" w:color="AFCA0B" w:themeColor="accent5"/>
          <w:bottom w:val="single" w:sz="8" w:space="0" w:color="AFCA0B" w:themeColor="accent5"/>
          <w:right w:val="single" w:sz="8" w:space="0" w:color="AFCA0B" w:themeColor="accent5"/>
          <w:insideV w:val="single" w:sz="8" w:space="0" w:color="AFCA0B" w:themeColor="accent5"/>
        </w:tcBorders>
        <w:shd w:val="clear" w:color="auto" w:fill="F1FBB9" w:themeFill="accent5" w:themeFillTint="3F"/>
      </w:tcPr>
    </w:tblStylePr>
    <w:tblStylePr w:type="band2Horz">
      <w:tblPr/>
      <w:tcPr>
        <w:tcBorders>
          <w:top w:val="single" w:sz="8" w:space="0" w:color="AFCA0B" w:themeColor="accent5"/>
          <w:left w:val="single" w:sz="8" w:space="0" w:color="AFCA0B" w:themeColor="accent5"/>
          <w:bottom w:val="single" w:sz="8" w:space="0" w:color="AFCA0B" w:themeColor="accent5"/>
          <w:right w:val="single" w:sz="8" w:space="0" w:color="AFCA0B" w:themeColor="accent5"/>
          <w:insideV w:val="single" w:sz="8" w:space="0" w:color="AFCA0B" w:themeColor="accent5"/>
        </w:tcBorders>
      </w:tcPr>
    </w:tblStylePr>
  </w:style>
  <w:style w:type="table" w:styleId="LightGrid-Accent6">
    <w:name w:val="Light Grid Accent 6"/>
    <w:basedOn w:val="TableNormal"/>
    <w:uiPriority w:val="62"/>
    <w:semiHidden/>
    <w:unhideWhenUsed/>
    <w:rsid w:val="00DF245D"/>
    <w:pPr>
      <w:spacing w:after="0" w:line="240" w:lineRule="auto"/>
    </w:pPr>
    <w:tblPr>
      <w:tblStyleRowBandSize w:val="1"/>
      <w:tblStyleColBandSize w:val="1"/>
      <w:tblBorders>
        <w:top w:val="single" w:sz="8" w:space="0" w:color="3AAA35" w:themeColor="accent6"/>
        <w:left w:val="single" w:sz="8" w:space="0" w:color="3AAA35" w:themeColor="accent6"/>
        <w:bottom w:val="single" w:sz="8" w:space="0" w:color="3AAA35" w:themeColor="accent6"/>
        <w:right w:val="single" w:sz="8" w:space="0" w:color="3AAA35" w:themeColor="accent6"/>
        <w:insideH w:val="single" w:sz="8" w:space="0" w:color="3AAA35" w:themeColor="accent6"/>
        <w:insideV w:val="single" w:sz="8" w:space="0" w:color="3AAA3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AAA35" w:themeColor="accent6"/>
          <w:left w:val="single" w:sz="8" w:space="0" w:color="3AAA35" w:themeColor="accent6"/>
          <w:bottom w:val="single" w:sz="18" w:space="0" w:color="3AAA35" w:themeColor="accent6"/>
          <w:right w:val="single" w:sz="8" w:space="0" w:color="3AAA35" w:themeColor="accent6"/>
          <w:insideH w:val="nil"/>
          <w:insideV w:val="single" w:sz="8" w:space="0" w:color="3AAA3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AAA35" w:themeColor="accent6"/>
          <w:left w:val="single" w:sz="8" w:space="0" w:color="3AAA35" w:themeColor="accent6"/>
          <w:bottom w:val="single" w:sz="8" w:space="0" w:color="3AAA35" w:themeColor="accent6"/>
          <w:right w:val="single" w:sz="8" w:space="0" w:color="3AAA35" w:themeColor="accent6"/>
          <w:insideH w:val="nil"/>
          <w:insideV w:val="single" w:sz="8" w:space="0" w:color="3AAA3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AAA35" w:themeColor="accent6"/>
          <w:left w:val="single" w:sz="8" w:space="0" w:color="3AAA35" w:themeColor="accent6"/>
          <w:bottom w:val="single" w:sz="8" w:space="0" w:color="3AAA35" w:themeColor="accent6"/>
          <w:right w:val="single" w:sz="8" w:space="0" w:color="3AAA35" w:themeColor="accent6"/>
        </w:tcBorders>
      </w:tcPr>
    </w:tblStylePr>
    <w:tblStylePr w:type="band1Vert">
      <w:tblPr/>
      <w:tcPr>
        <w:tcBorders>
          <w:top w:val="single" w:sz="8" w:space="0" w:color="3AAA35" w:themeColor="accent6"/>
          <w:left w:val="single" w:sz="8" w:space="0" w:color="3AAA35" w:themeColor="accent6"/>
          <w:bottom w:val="single" w:sz="8" w:space="0" w:color="3AAA35" w:themeColor="accent6"/>
          <w:right w:val="single" w:sz="8" w:space="0" w:color="3AAA35" w:themeColor="accent6"/>
        </w:tcBorders>
        <w:shd w:val="clear" w:color="auto" w:fill="CAEEC8" w:themeFill="accent6" w:themeFillTint="3F"/>
      </w:tcPr>
    </w:tblStylePr>
    <w:tblStylePr w:type="band1Horz">
      <w:tblPr/>
      <w:tcPr>
        <w:tcBorders>
          <w:top w:val="single" w:sz="8" w:space="0" w:color="3AAA35" w:themeColor="accent6"/>
          <w:left w:val="single" w:sz="8" w:space="0" w:color="3AAA35" w:themeColor="accent6"/>
          <w:bottom w:val="single" w:sz="8" w:space="0" w:color="3AAA35" w:themeColor="accent6"/>
          <w:right w:val="single" w:sz="8" w:space="0" w:color="3AAA35" w:themeColor="accent6"/>
          <w:insideV w:val="single" w:sz="8" w:space="0" w:color="3AAA35" w:themeColor="accent6"/>
        </w:tcBorders>
        <w:shd w:val="clear" w:color="auto" w:fill="CAEEC8" w:themeFill="accent6" w:themeFillTint="3F"/>
      </w:tcPr>
    </w:tblStylePr>
    <w:tblStylePr w:type="band2Horz">
      <w:tblPr/>
      <w:tcPr>
        <w:tcBorders>
          <w:top w:val="single" w:sz="8" w:space="0" w:color="3AAA35" w:themeColor="accent6"/>
          <w:left w:val="single" w:sz="8" w:space="0" w:color="3AAA35" w:themeColor="accent6"/>
          <w:bottom w:val="single" w:sz="8" w:space="0" w:color="3AAA35" w:themeColor="accent6"/>
          <w:right w:val="single" w:sz="8" w:space="0" w:color="3AAA35" w:themeColor="accent6"/>
          <w:insideV w:val="single" w:sz="8" w:space="0" w:color="3AAA35" w:themeColor="accent6"/>
        </w:tcBorders>
      </w:tcPr>
    </w:tblStylePr>
  </w:style>
  <w:style w:type="table" w:styleId="LightList">
    <w:name w:val="Light List"/>
    <w:basedOn w:val="TableNormal"/>
    <w:uiPriority w:val="61"/>
    <w:semiHidden/>
    <w:unhideWhenUsed/>
    <w:rsid w:val="00DF245D"/>
    <w:pPr>
      <w:spacing w:after="0" w:line="240" w:lineRule="auto"/>
    </w:pPr>
    <w:tblPr>
      <w:tblStyleRowBandSize w:val="1"/>
      <w:tblStyleColBandSize w:val="1"/>
      <w:tblBorders>
        <w:top w:val="single" w:sz="8" w:space="0" w:color="30353F" w:themeColor="text1"/>
        <w:left w:val="single" w:sz="8" w:space="0" w:color="30353F" w:themeColor="text1"/>
        <w:bottom w:val="single" w:sz="8" w:space="0" w:color="30353F" w:themeColor="text1"/>
        <w:right w:val="single" w:sz="8" w:space="0" w:color="30353F" w:themeColor="text1"/>
      </w:tblBorders>
    </w:tblPr>
    <w:tblStylePr w:type="firstRow">
      <w:pPr>
        <w:spacing w:before="0" w:after="0" w:line="240" w:lineRule="auto"/>
      </w:pPr>
      <w:rPr>
        <w:b/>
        <w:bCs/>
        <w:color w:val="FFFFFF" w:themeColor="background1"/>
      </w:rPr>
      <w:tblPr/>
      <w:tcPr>
        <w:shd w:val="clear" w:color="auto" w:fill="30353F" w:themeFill="text1"/>
      </w:tcPr>
    </w:tblStylePr>
    <w:tblStylePr w:type="lastRow">
      <w:pPr>
        <w:spacing w:before="0" w:after="0" w:line="240" w:lineRule="auto"/>
      </w:pPr>
      <w:rPr>
        <w:b/>
        <w:bCs/>
      </w:rPr>
      <w:tblPr/>
      <w:tcPr>
        <w:tcBorders>
          <w:top w:val="double" w:sz="6" w:space="0" w:color="30353F" w:themeColor="text1"/>
          <w:left w:val="single" w:sz="8" w:space="0" w:color="30353F" w:themeColor="text1"/>
          <w:bottom w:val="single" w:sz="8" w:space="0" w:color="30353F" w:themeColor="text1"/>
          <w:right w:val="single" w:sz="8" w:space="0" w:color="30353F" w:themeColor="text1"/>
        </w:tcBorders>
      </w:tcPr>
    </w:tblStylePr>
    <w:tblStylePr w:type="firstCol">
      <w:rPr>
        <w:b/>
        <w:bCs/>
      </w:rPr>
    </w:tblStylePr>
    <w:tblStylePr w:type="lastCol">
      <w:rPr>
        <w:b/>
        <w:bCs/>
      </w:rPr>
    </w:tblStylePr>
    <w:tblStylePr w:type="band1Vert">
      <w:tblPr/>
      <w:tcPr>
        <w:tcBorders>
          <w:top w:val="single" w:sz="8" w:space="0" w:color="30353F" w:themeColor="text1"/>
          <w:left w:val="single" w:sz="8" w:space="0" w:color="30353F" w:themeColor="text1"/>
          <w:bottom w:val="single" w:sz="8" w:space="0" w:color="30353F" w:themeColor="text1"/>
          <w:right w:val="single" w:sz="8" w:space="0" w:color="30353F" w:themeColor="text1"/>
        </w:tcBorders>
      </w:tcPr>
    </w:tblStylePr>
    <w:tblStylePr w:type="band1Horz">
      <w:tblPr/>
      <w:tcPr>
        <w:tcBorders>
          <w:top w:val="single" w:sz="8" w:space="0" w:color="30353F" w:themeColor="text1"/>
          <w:left w:val="single" w:sz="8" w:space="0" w:color="30353F" w:themeColor="text1"/>
          <w:bottom w:val="single" w:sz="8" w:space="0" w:color="30353F" w:themeColor="text1"/>
          <w:right w:val="single" w:sz="8" w:space="0" w:color="30353F" w:themeColor="text1"/>
        </w:tcBorders>
      </w:tcPr>
    </w:tblStylePr>
  </w:style>
  <w:style w:type="table" w:styleId="LightList-Accent1">
    <w:name w:val="Light List Accent 1"/>
    <w:basedOn w:val="TableNormal"/>
    <w:uiPriority w:val="61"/>
    <w:semiHidden/>
    <w:unhideWhenUsed/>
    <w:rsid w:val="00DF245D"/>
    <w:pPr>
      <w:spacing w:after="0" w:line="240" w:lineRule="auto"/>
    </w:pPr>
    <w:tblPr>
      <w:tblStyleRowBandSize w:val="1"/>
      <w:tblStyleColBandSize w:val="1"/>
      <w:tblBorders>
        <w:top w:val="single" w:sz="8" w:space="0" w:color="0094C5" w:themeColor="accent1"/>
        <w:left w:val="single" w:sz="8" w:space="0" w:color="0094C5" w:themeColor="accent1"/>
        <w:bottom w:val="single" w:sz="8" w:space="0" w:color="0094C5" w:themeColor="accent1"/>
        <w:right w:val="single" w:sz="8" w:space="0" w:color="0094C5" w:themeColor="accent1"/>
      </w:tblBorders>
    </w:tblPr>
    <w:tblStylePr w:type="firstRow">
      <w:pPr>
        <w:spacing w:before="0" w:after="0" w:line="240" w:lineRule="auto"/>
      </w:pPr>
      <w:rPr>
        <w:b/>
        <w:bCs/>
        <w:color w:val="FFFFFF" w:themeColor="background1"/>
      </w:rPr>
      <w:tblPr/>
      <w:tcPr>
        <w:shd w:val="clear" w:color="auto" w:fill="0094C5" w:themeFill="accent1"/>
      </w:tcPr>
    </w:tblStylePr>
    <w:tblStylePr w:type="lastRow">
      <w:pPr>
        <w:spacing w:before="0" w:after="0" w:line="240" w:lineRule="auto"/>
      </w:pPr>
      <w:rPr>
        <w:b/>
        <w:bCs/>
      </w:rPr>
      <w:tblPr/>
      <w:tcPr>
        <w:tcBorders>
          <w:top w:val="double" w:sz="6" w:space="0" w:color="0094C5" w:themeColor="accent1"/>
          <w:left w:val="single" w:sz="8" w:space="0" w:color="0094C5" w:themeColor="accent1"/>
          <w:bottom w:val="single" w:sz="8" w:space="0" w:color="0094C5" w:themeColor="accent1"/>
          <w:right w:val="single" w:sz="8" w:space="0" w:color="0094C5" w:themeColor="accent1"/>
        </w:tcBorders>
      </w:tcPr>
    </w:tblStylePr>
    <w:tblStylePr w:type="firstCol">
      <w:rPr>
        <w:b/>
        <w:bCs/>
      </w:rPr>
    </w:tblStylePr>
    <w:tblStylePr w:type="lastCol">
      <w:rPr>
        <w:b/>
        <w:bCs/>
      </w:rPr>
    </w:tblStylePr>
    <w:tblStylePr w:type="band1Vert">
      <w:tblPr/>
      <w:tcPr>
        <w:tcBorders>
          <w:top w:val="single" w:sz="8" w:space="0" w:color="0094C5" w:themeColor="accent1"/>
          <w:left w:val="single" w:sz="8" w:space="0" w:color="0094C5" w:themeColor="accent1"/>
          <w:bottom w:val="single" w:sz="8" w:space="0" w:color="0094C5" w:themeColor="accent1"/>
          <w:right w:val="single" w:sz="8" w:space="0" w:color="0094C5" w:themeColor="accent1"/>
        </w:tcBorders>
      </w:tcPr>
    </w:tblStylePr>
    <w:tblStylePr w:type="band1Horz">
      <w:tblPr/>
      <w:tcPr>
        <w:tcBorders>
          <w:top w:val="single" w:sz="8" w:space="0" w:color="0094C5" w:themeColor="accent1"/>
          <w:left w:val="single" w:sz="8" w:space="0" w:color="0094C5" w:themeColor="accent1"/>
          <w:bottom w:val="single" w:sz="8" w:space="0" w:color="0094C5" w:themeColor="accent1"/>
          <w:right w:val="single" w:sz="8" w:space="0" w:color="0094C5" w:themeColor="accent1"/>
        </w:tcBorders>
      </w:tcPr>
    </w:tblStylePr>
  </w:style>
  <w:style w:type="table" w:styleId="LightList-Accent2">
    <w:name w:val="Light List Accent 2"/>
    <w:basedOn w:val="TableNormal"/>
    <w:uiPriority w:val="61"/>
    <w:semiHidden/>
    <w:unhideWhenUsed/>
    <w:rsid w:val="00DF245D"/>
    <w:pPr>
      <w:spacing w:after="0" w:line="240" w:lineRule="auto"/>
    </w:pPr>
    <w:tblPr>
      <w:tblStyleRowBandSize w:val="1"/>
      <w:tblStyleColBandSize w:val="1"/>
      <w:tblBorders>
        <w:top w:val="single" w:sz="8" w:space="0" w:color="E5006D" w:themeColor="accent2"/>
        <w:left w:val="single" w:sz="8" w:space="0" w:color="E5006D" w:themeColor="accent2"/>
        <w:bottom w:val="single" w:sz="8" w:space="0" w:color="E5006D" w:themeColor="accent2"/>
        <w:right w:val="single" w:sz="8" w:space="0" w:color="E5006D" w:themeColor="accent2"/>
      </w:tblBorders>
    </w:tblPr>
    <w:tblStylePr w:type="firstRow">
      <w:pPr>
        <w:spacing w:before="0" w:after="0" w:line="240" w:lineRule="auto"/>
      </w:pPr>
      <w:rPr>
        <w:b/>
        <w:bCs/>
        <w:color w:val="FFFFFF" w:themeColor="background1"/>
      </w:rPr>
      <w:tblPr/>
      <w:tcPr>
        <w:shd w:val="clear" w:color="auto" w:fill="E5006D" w:themeFill="accent2"/>
      </w:tcPr>
    </w:tblStylePr>
    <w:tblStylePr w:type="lastRow">
      <w:pPr>
        <w:spacing w:before="0" w:after="0" w:line="240" w:lineRule="auto"/>
      </w:pPr>
      <w:rPr>
        <w:b/>
        <w:bCs/>
      </w:rPr>
      <w:tblPr/>
      <w:tcPr>
        <w:tcBorders>
          <w:top w:val="double" w:sz="6" w:space="0" w:color="E5006D" w:themeColor="accent2"/>
          <w:left w:val="single" w:sz="8" w:space="0" w:color="E5006D" w:themeColor="accent2"/>
          <w:bottom w:val="single" w:sz="8" w:space="0" w:color="E5006D" w:themeColor="accent2"/>
          <w:right w:val="single" w:sz="8" w:space="0" w:color="E5006D" w:themeColor="accent2"/>
        </w:tcBorders>
      </w:tcPr>
    </w:tblStylePr>
    <w:tblStylePr w:type="firstCol">
      <w:rPr>
        <w:b/>
        <w:bCs/>
      </w:rPr>
    </w:tblStylePr>
    <w:tblStylePr w:type="lastCol">
      <w:rPr>
        <w:b/>
        <w:bCs/>
      </w:rPr>
    </w:tblStylePr>
    <w:tblStylePr w:type="band1Vert">
      <w:tblPr/>
      <w:tcPr>
        <w:tcBorders>
          <w:top w:val="single" w:sz="8" w:space="0" w:color="E5006D" w:themeColor="accent2"/>
          <w:left w:val="single" w:sz="8" w:space="0" w:color="E5006D" w:themeColor="accent2"/>
          <w:bottom w:val="single" w:sz="8" w:space="0" w:color="E5006D" w:themeColor="accent2"/>
          <w:right w:val="single" w:sz="8" w:space="0" w:color="E5006D" w:themeColor="accent2"/>
        </w:tcBorders>
      </w:tcPr>
    </w:tblStylePr>
    <w:tblStylePr w:type="band1Horz">
      <w:tblPr/>
      <w:tcPr>
        <w:tcBorders>
          <w:top w:val="single" w:sz="8" w:space="0" w:color="E5006D" w:themeColor="accent2"/>
          <w:left w:val="single" w:sz="8" w:space="0" w:color="E5006D" w:themeColor="accent2"/>
          <w:bottom w:val="single" w:sz="8" w:space="0" w:color="E5006D" w:themeColor="accent2"/>
          <w:right w:val="single" w:sz="8" w:space="0" w:color="E5006D" w:themeColor="accent2"/>
        </w:tcBorders>
      </w:tcPr>
    </w:tblStylePr>
  </w:style>
  <w:style w:type="table" w:styleId="LightList-Accent3">
    <w:name w:val="Light List Accent 3"/>
    <w:basedOn w:val="TableNormal"/>
    <w:uiPriority w:val="61"/>
    <w:semiHidden/>
    <w:unhideWhenUsed/>
    <w:rsid w:val="00DF245D"/>
    <w:pPr>
      <w:spacing w:after="0" w:line="240" w:lineRule="auto"/>
    </w:pPr>
    <w:tblPr>
      <w:tblStyleRowBandSize w:val="1"/>
      <w:tblStyleColBandSize w:val="1"/>
      <w:tblBorders>
        <w:top w:val="single" w:sz="8" w:space="0" w:color="2C2276" w:themeColor="accent3"/>
        <w:left w:val="single" w:sz="8" w:space="0" w:color="2C2276" w:themeColor="accent3"/>
        <w:bottom w:val="single" w:sz="8" w:space="0" w:color="2C2276" w:themeColor="accent3"/>
        <w:right w:val="single" w:sz="8" w:space="0" w:color="2C2276" w:themeColor="accent3"/>
      </w:tblBorders>
    </w:tblPr>
    <w:tblStylePr w:type="firstRow">
      <w:pPr>
        <w:spacing w:before="0" w:after="0" w:line="240" w:lineRule="auto"/>
      </w:pPr>
      <w:rPr>
        <w:b/>
        <w:bCs/>
        <w:color w:val="FFFFFF" w:themeColor="background1"/>
      </w:rPr>
      <w:tblPr/>
      <w:tcPr>
        <w:shd w:val="clear" w:color="auto" w:fill="2C2276" w:themeFill="accent3"/>
      </w:tcPr>
    </w:tblStylePr>
    <w:tblStylePr w:type="lastRow">
      <w:pPr>
        <w:spacing w:before="0" w:after="0" w:line="240" w:lineRule="auto"/>
      </w:pPr>
      <w:rPr>
        <w:b/>
        <w:bCs/>
      </w:rPr>
      <w:tblPr/>
      <w:tcPr>
        <w:tcBorders>
          <w:top w:val="double" w:sz="6" w:space="0" w:color="2C2276" w:themeColor="accent3"/>
          <w:left w:val="single" w:sz="8" w:space="0" w:color="2C2276" w:themeColor="accent3"/>
          <w:bottom w:val="single" w:sz="8" w:space="0" w:color="2C2276" w:themeColor="accent3"/>
          <w:right w:val="single" w:sz="8" w:space="0" w:color="2C2276" w:themeColor="accent3"/>
        </w:tcBorders>
      </w:tcPr>
    </w:tblStylePr>
    <w:tblStylePr w:type="firstCol">
      <w:rPr>
        <w:b/>
        <w:bCs/>
      </w:rPr>
    </w:tblStylePr>
    <w:tblStylePr w:type="lastCol">
      <w:rPr>
        <w:b/>
        <w:bCs/>
      </w:rPr>
    </w:tblStylePr>
    <w:tblStylePr w:type="band1Vert">
      <w:tblPr/>
      <w:tcPr>
        <w:tcBorders>
          <w:top w:val="single" w:sz="8" w:space="0" w:color="2C2276" w:themeColor="accent3"/>
          <w:left w:val="single" w:sz="8" w:space="0" w:color="2C2276" w:themeColor="accent3"/>
          <w:bottom w:val="single" w:sz="8" w:space="0" w:color="2C2276" w:themeColor="accent3"/>
          <w:right w:val="single" w:sz="8" w:space="0" w:color="2C2276" w:themeColor="accent3"/>
        </w:tcBorders>
      </w:tcPr>
    </w:tblStylePr>
    <w:tblStylePr w:type="band1Horz">
      <w:tblPr/>
      <w:tcPr>
        <w:tcBorders>
          <w:top w:val="single" w:sz="8" w:space="0" w:color="2C2276" w:themeColor="accent3"/>
          <w:left w:val="single" w:sz="8" w:space="0" w:color="2C2276" w:themeColor="accent3"/>
          <w:bottom w:val="single" w:sz="8" w:space="0" w:color="2C2276" w:themeColor="accent3"/>
          <w:right w:val="single" w:sz="8" w:space="0" w:color="2C2276" w:themeColor="accent3"/>
        </w:tcBorders>
      </w:tcPr>
    </w:tblStylePr>
  </w:style>
  <w:style w:type="table" w:styleId="LightList-Accent4">
    <w:name w:val="Light List Accent 4"/>
    <w:basedOn w:val="TableNormal"/>
    <w:uiPriority w:val="61"/>
    <w:semiHidden/>
    <w:unhideWhenUsed/>
    <w:rsid w:val="00DF245D"/>
    <w:pPr>
      <w:spacing w:after="0" w:line="240" w:lineRule="auto"/>
    </w:pPr>
    <w:tblPr>
      <w:tblStyleRowBandSize w:val="1"/>
      <w:tblStyleColBandSize w:val="1"/>
      <w:tblBorders>
        <w:top w:val="single" w:sz="8" w:space="0" w:color="7B1244" w:themeColor="accent4"/>
        <w:left w:val="single" w:sz="8" w:space="0" w:color="7B1244" w:themeColor="accent4"/>
        <w:bottom w:val="single" w:sz="8" w:space="0" w:color="7B1244" w:themeColor="accent4"/>
        <w:right w:val="single" w:sz="8" w:space="0" w:color="7B1244" w:themeColor="accent4"/>
      </w:tblBorders>
    </w:tblPr>
    <w:tblStylePr w:type="firstRow">
      <w:pPr>
        <w:spacing w:before="0" w:after="0" w:line="240" w:lineRule="auto"/>
      </w:pPr>
      <w:rPr>
        <w:b/>
        <w:bCs/>
        <w:color w:val="FFFFFF" w:themeColor="background1"/>
      </w:rPr>
      <w:tblPr/>
      <w:tcPr>
        <w:shd w:val="clear" w:color="auto" w:fill="7B1244" w:themeFill="accent4"/>
      </w:tcPr>
    </w:tblStylePr>
    <w:tblStylePr w:type="lastRow">
      <w:pPr>
        <w:spacing w:before="0" w:after="0" w:line="240" w:lineRule="auto"/>
      </w:pPr>
      <w:rPr>
        <w:b/>
        <w:bCs/>
      </w:rPr>
      <w:tblPr/>
      <w:tcPr>
        <w:tcBorders>
          <w:top w:val="double" w:sz="6" w:space="0" w:color="7B1244" w:themeColor="accent4"/>
          <w:left w:val="single" w:sz="8" w:space="0" w:color="7B1244" w:themeColor="accent4"/>
          <w:bottom w:val="single" w:sz="8" w:space="0" w:color="7B1244" w:themeColor="accent4"/>
          <w:right w:val="single" w:sz="8" w:space="0" w:color="7B1244" w:themeColor="accent4"/>
        </w:tcBorders>
      </w:tcPr>
    </w:tblStylePr>
    <w:tblStylePr w:type="firstCol">
      <w:rPr>
        <w:b/>
        <w:bCs/>
      </w:rPr>
    </w:tblStylePr>
    <w:tblStylePr w:type="lastCol">
      <w:rPr>
        <w:b/>
        <w:bCs/>
      </w:rPr>
    </w:tblStylePr>
    <w:tblStylePr w:type="band1Vert">
      <w:tblPr/>
      <w:tcPr>
        <w:tcBorders>
          <w:top w:val="single" w:sz="8" w:space="0" w:color="7B1244" w:themeColor="accent4"/>
          <w:left w:val="single" w:sz="8" w:space="0" w:color="7B1244" w:themeColor="accent4"/>
          <w:bottom w:val="single" w:sz="8" w:space="0" w:color="7B1244" w:themeColor="accent4"/>
          <w:right w:val="single" w:sz="8" w:space="0" w:color="7B1244" w:themeColor="accent4"/>
        </w:tcBorders>
      </w:tcPr>
    </w:tblStylePr>
    <w:tblStylePr w:type="band1Horz">
      <w:tblPr/>
      <w:tcPr>
        <w:tcBorders>
          <w:top w:val="single" w:sz="8" w:space="0" w:color="7B1244" w:themeColor="accent4"/>
          <w:left w:val="single" w:sz="8" w:space="0" w:color="7B1244" w:themeColor="accent4"/>
          <w:bottom w:val="single" w:sz="8" w:space="0" w:color="7B1244" w:themeColor="accent4"/>
          <w:right w:val="single" w:sz="8" w:space="0" w:color="7B1244" w:themeColor="accent4"/>
        </w:tcBorders>
      </w:tcPr>
    </w:tblStylePr>
  </w:style>
  <w:style w:type="table" w:styleId="LightList-Accent5">
    <w:name w:val="Light List Accent 5"/>
    <w:basedOn w:val="TableNormal"/>
    <w:uiPriority w:val="61"/>
    <w:semiHidden/>
    <w:unhideWhenUsed/>
    <w:rsid w:val="00DF245D"/>
    <w:pPr>
      <w:spacing w:after="0" w:line="240" w:lineRule="auto"/>
    </w:pPr>
    <w:tblPr>
      <w:tblStyleRowBandSize w:val="1"/>
      <w:tblStyleColBandSize w:val="1"/>
      <w:tblBorders>
        <w:top w:val="single" w:sz="8" w:space="0" w:color="AFCA0B" w:themeColor="accent5"/>
        <w:left w:val="single" w:sz="8" w:space="0" w:color="AFCA0B" w:themeColor="accent5"/>
        <w:bottom w:val="single" w:sz="8" w:space="0" w:color="AFCA0B" w:themeColor="accent5"/>
        <w:right w:val="single" w:sz="8" w:space="0" w:color="AFCA0B" w:themeColor="accent5"/>
      </w:tblBorders>
    </w:tblPr>
    <w:tblStylePr w:type="firstRow">
      <w:pPr>
        <w:spacing w:before="0" w:after="0" w:line="240" w:lineRule="auto"/>
      </w:pPr>
      <w:rPr>
        <w:b/>
        <w:bCs/>
        <w:color w:val="FFFFFF" w:themeColor="background1"/>
      </w:rPr>
      <w:tblPr/>
      <w:tcPr>
        <w:shd w:val="clear" w:color="auto" w:fill="AFCA0B" w:themeFill="accent5"/>
      </w:tcPr>
    </w:tblStylePr>
    <w:tblStylePr w:type="lastRow">
      <w:pPr>
        <w:spacing w:before="0" w:after="0" w:line="240" w:lineRule="auto"/>
      </w:pPr>
      <w:rPr>
        <w:b/>
        <w:bCs/>
      </w:rPr>
      <w:tblPr/>
      <w:tcPr>
        <w:tcBorders>
          <w:top w:val="double" w:sz="6" w:space="0" w:color="AFCA0B" w:themeColor="accent5"/>
          <w:left w:val="single" w:sz="8" w:space="0" w:color="AFCA0B" w:themeColor="accent5"/>
          <w:bottom w:val="single" w:sz="8" w:space="0" w:color="AFCA0B" w:themeColor="accent5"/>
          <w:right w:val="single" w:sz="8" w:space="0" w:color="AFCA0B" w:themeColor="accent5"/>
        </w:tcBorders>
      </w:tcPr>
    </w:tblStylePr>
    <w:tblStylePr w:type="firstCol">
      <w:rPr>
        <w:b/>
        <w:bCs/>
      </w:rPr>
    </w:tblStylePr>
    <w:tblStylePr w:type="lastCol">
      <w:rPr>
        <w:b/>
        <w:bCs/>
      </w:rPr>
    </w:tblStylePr>
    <w:tblStylePr w:type="band1Vert">
      <w:tblPr/>
      <w:tcPr>
        <w:tcBorders>
          <w:top w:val="single" w:sz="8" w:space="0" w:color="AFCA0B" w:themeColor="accent5"/>
          <w:left w:val="single" w:sz="8" w:space="0" w:color="AFCA0B" w:themeColor="accent5"/>
          <w:bottom w:val="single" w:sz="8" w:space="0" w:color="AFCA0B" w:themeColor="accent5"/>
          <w:right w:val="single" w:sz="8" w:space="0" w:color="AFCA0B" w:themeColor="accent5"/>
        </w:tcBorders>
      </w:tcPr>
    </w:tblStylePr>
    <w:tblStylePr w:type="band1Horz">
      <w:tblPr/>
      <w:tcPr>
        <w:tcBorders>
          <w:top w:val="single" w:sz="8" w:space="0" w:color="AFCA0B" w:themeColor="accent5"/>
          <w:left w:val="single" w:sz="8" w:space="0" w:color="AFCA0B" w:themeColor="accent5"/>
          <w:bottom w:val="single" w:sz="8" w:space="0" w:color="AFCA0B" w:themeColor="accent5"/>
          <w:right w:val="single" w:sz="8" w:space="0" w:color="AFCA0B" w:themeColor="accent5"/>
        </w:tcBorders>
      </w:tcPr>
    </w:tblStylePr>
  </w:style>
  <w:style w:type="table" w:styleId="LightList-Accent6">
    <w:name w:val="Light List Accent 6"/>
    <w:basedOn w:val="TableNormal"/>
    <w:uiPriority w:val="61"/>
    <w:semiHidden/>
    <w:unhideWhenUsed/>
    <w:rsid w:val="00DF245D"/>
    <w:pPr>
      <w:spacing w:after="0" w:line="240" w:lineRule="auto"/>
    </w:pPr>
    <w:tblPr>
      <w:tblStyleRowBandSize w:val="1"/>
      <w:tblStyleColBandSize w:val="1"/>
      <w:tblBorders>
        <w:top w:val="single" w:sz="8" w:space="0" w:color="3AAA35" w:themeColor="accent6"/>
        <w:left w:val="single" w:sz="8" w:space="0" w:color="3AAA35" w:themeColor="accent6"/>
        <w:bottom w:val="single" w:sz="8" w:space="0" w:color="3AAA35" w:themeColor="accent6"/>
        <w:right w:val="single" w:sz="8" w:space="0" w:color="3AAA35" w:themeColor="accent6"/>
      </w:tblBorders>
    </w:tblPr>
    <w:tblStylePr w:type="firstRow">
      <w:pPr>
        <w:spacing w:before="0" w:after="0" w:line="240" w:lineRule="auto"/>
      </w:pPr>
      <w:rPr>
        <w:b/>
        <w:bCs/>
        <w:color w:val="FFFFFF" w:themeColor="background1"/>
      </w:rPr>
      <w:tblPr/>
      <w:tcPr>
        <w:shd w:val="clear" w:color="auto" w:fill="3AAA35" w:themeFill="accent6"/>
      </w:tcPr>
    </w:tblStylePr>
    <w:tblStylePr w:type="lastRow">
      <w:pPr>
        <w:spacing w:before="0" w:after="0" w:line="240" w:lineRule="auto"/>
      </w:pPr>
      <w:rPr>
        <w:b/>
        <w:bCs/>
      </w:rPr>
      <w:tblPr/>
      <w:tcPr>
        <w:tcBorders>
          <w:top w:val="double" w:sz="6" w:space="0" w:color="3AAA35" w:themeColor="accent6"/>
          <w:left w:val="single" w:sz="8" w:space="0" w:color="3AAA35" w:themeColor="accent6"/>
          <w:bottom w:val="single" w:sz="8" w:space="0" w:color="3AAA35" w:themeColor="accent6"/>
          <w:right w:val="single" w:sz="8" w:space="0" w:color="3AAA35" w:themeColor="accent6"/>
        </w:tcBorders>
      </w:tcPr>
    </w:tblStylePr>
    <w:tblStylePr w:type="firstCol">
      <w:rPr>
        <w:b/>
        <w:bCs/>
      </w:rPr>
    </w:tblStylePr>
    <w:tblStylePr w:type="lastCol">
      <w:rPr>
        <w:b/>
        <w:bCs/>
      </w:rPr>
    </w:tblStylePr>
    <w:tblStylePr w:type="band1Vert">
      <w:tblPr/>
      <w:tcPr>
        <w:tcBorders>
          <w:top w:val="single" w:sz="8" w:space="0" w:color="3AAA35" w:themeColor="accent6"/>
          <w:left w:val="single" w:sz="8" w:space="0" w:color="3AAA35" w:themeColor="accent6"/>
          <w:bottom w:val="single" w:sz="8" w:space="0" w:color="3AAA35" w:themeColor="accent6"/>
          <w:right w:val="single" w:sz="8" w:space="0" w:color="3AAA35" w:themeColor="accent6"/>
        </w:tcBorders>
      </w:tcPr>
    </w:tblStylePr>
    <w:tblStylePr w:type="band1Horz">
      <w:tblPr/>
      <w:tcPr>
        <w:tcBorders>
          <w:top w:val="single" w:sz="8" w:space="0" w:color="3AAA35" w:themeColor="accent6"/>
          <w:left w:val="single" w:sz="8" w:space="0" w:color="3AAA35" w:themeColor="accent6"/>
          <w:bottom w:val="single" w:sz="8" w:space="0" w:color="3AAA35" w:themeColor="accent6"/>
          <w:right w:val="single" w:sz="8" w:space="0" w:color="3AAA35" w:themeColor="accent6"/>
        </w:tcBorders>
      </w:tcPr>
    </w:tblStylePr>
  </w:style>
  <w:style w:type="table" w:styleId="LightShading">
    <w:name w:val="Light Shading"/>
    <w:basedOn w:val="TableNormal"/>
    <w:uiPriority w:val="60"/>
    <w:semiHidden/>
    <w:unhideWhenUsed/>
    <w:rsid w:val="00DF245D"/>
    <w:pPr>
      <w:spacing w:after="0" w:line="240" w:lineRule="auto"/>
    </w:pPr>
    <w:rPr>
      <w:color w:val="24272F" w:themeColor="text1" w:themeShade="BF"/>
    </w:rPr>
    <w:tblPr>
      <w:tblStyleRowBandSize w:val="1"/>
      <w:tblStyleColBandSize w:val="1"/>
      <w:tblBorders>
        <w:top w:val="single" w:sz="8" w:space="0" w:color="30353F" w:themeColor="text1"/>
        <w:bottom w:val="single" w:sz="8" w:space="0" w:color="30353F" w:themeColor="text1"/>
      </w:tblBorders>
    </w:tblPr>
    <w:tblStylePr w:type="firstRow">
      <w:pPr>
        <w:spacing w:before="0" w:after="0" w:line="240" w:lineRule="auto"/>
      </w:pPr>
      <w:rPr>
        <w:b/>
        <w:bCs/>
      </w:rPr>
      <w:tblPr/>
      <w:tcPr>
        <w:tcBorders>
          <w:top w:val="single" w:sz="8" w:space="0" w:color="30353F" w:themeColor="text1"/>
          <w:left w:val="nil"/>
          <w:bottom w:val="single" w:sz="8" w:space="0" w:color="30353F" w:themeColor="text1"/>
          <w:right w:val="nil"/>
          <w:insideH w:val="nil"/>
          <w:insideV w:val="nil"/>
        </w:tcBorders>
      </w:tcPr>
    </w:tblStylePr>
    <w:tblStylePr w:type="lastRow">
      <w:pPr>
        <w:spacing w:before="0" w:after="0" w:line="240" w:lineRule="auto"/>
      </w:pPr>
      <w:rPr>
        <w:b/>
        <w:bCs/>
      </w:rPr>
      <w:tblPr/>
      <w:tcPr>
        <w:tcBorders>
          <w:top w:val="single" w:sz="8" w:space="0" w:color="30353F" w:themeColor="text1"/>
          <w:left w:val="nil"/>
          <w:bottom w:val="single" w:sz="8" w:space="0" w:color="30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BD4" w:themeFill="text1" w:themeFillTint="3F"/>
      </w:tcPr>
    </w:tblStylePr>
    <w:tblStylePr w:type="band1Horz">
      <w:tblPr/>
      <w:tcPr>
        <w:tcBorders>
          <w:left w:val="nil"/>
          <w:right w:val="nil"/>
          <w:insideH w:val="nil"/>
          <w:insideV w:val="nil"/>
        </w:tcBorders>
        <w:shd w:val="clear" w:color="auto" w:fill="C7CBD4" w:themeFill="text1" w:themeFillTint="3F"/>
      </w:tcPr>
    </w:tblStylePr>
  </w:style>
  <w:style w:type="table" w:styleId="LightShading-Accent1">
    <w:name w:val="Light Shading Accent 1"/>
    <w:basedOn w:val="TableNormal"/>
    <w:uiPriority w:val="60"/>
    <w:semiHidden/>
    <w:unhideWhenUsed/>
    <w:rsid w:val="00DF245D"/>
    <w:pPr>
      <w:spacing w:after="0" w:line="240" w:lineRule="auto"/>
    </w:pPr>
    <w:rPr>
      <w:color w:val="006E93" w:themeColor="accent1" w:themeShade="BF"/>
    </w:rPr>
    <w:tblPr>
      <w:tblStyleRowBandSize w:val="1"/>
      <w:tblStyleColBandSize w:val="1"/>
      <w:tblBorders>
        <w:top w:val="single" w:sz="8" w:space="0" w:color="0094C5" w:themeColor="accent1"/>
        <w:bottom w:val="single" w:sz="8" w:space="0" w:color="0094C5" w:themeColor="accent1"/>
      </w:tblBorders>
    </w:tblPr>
    <w:tblStylePr w:type="firstRow">
      <w:pPr>
        <w:spacing w:before="0" w:after="0" w:line="240" w:lineRule="auto"/>
      </w:pPr>
      <w:rPr>
        <w:b/>
        <w:bCs/>
      </w:rPr>
      <w:tblPr/>
      <w:tcPr>
        <w:tcBorders>
          <w:top w:val="single" w:sz="8" w:space="0" w:color="0094C5" w:themeColor="accent1"/>
          <w:left w:val="nil"/>
          <w:bottom w:val="single" w:sz="8" w:space="0" w:color="0094C5" w:themeColor="accent1"/>
          <w:right w:val="nil"/>
          <w:insideH w:val="nil"/>
          <w:insideV w:val="nil"/>
        </w:tcBorders>
      </w:tcPr>
    </w:tblStylePr>
    <w:tblStylePr w:type="lastRow">
      <w:pPr>
        <w:spacing w:before="0" w:after="0" w:line="240" w:lineRule="auto"/>
      </w:pPr>
      <w:rPr>
        <w:b/>
        <w:bCs/>
      </w:rPr>
      <w:tblPr/>
      <w:tcPr>
        <w:tcBorders>
          <w:top w:val="single" w:sz="8" w:space="0" w:color="0094C5" w:themeColor="accent1"/>
          <w:left w:val="nil"/>
          <w:bottom w:val="single" w:sz="8" w:space="0" w:color="0094C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BFF" w:themeFill="accent1" w:themeFillTint="3F"/>
      </w:tcPr>
    </w:tblStylePr>
    <w:tblStylePr w:type="band1Horz">
      <w:tblPr/>
      <w:tcPr>
        <w:tcBorders>
          <w:left w:val="nil"/>
          <w:right w:val="nil"/>
          <w:insideH w:val="nil"/>
          <w:insideV w:val="nil"/>
        </w:tcBorders>
        <w:shd w:val="clear" w:color="auto" w:fill="B1EBFF" w:themeFill="accent1" w:themeFillTint="3F"/>
      </w:tcPr>
    </w:tblStylePr>
  </w:style>
  <w:style w:type="table" w:styleId="LightShading-Accent2">
    <w:name w:val="Light Shading Accent 2"/>
    <w:basedOn w:val="TableNormal"/>
    <w:uiPriority w:val="60"/>
    <w:semiHidden/>
    <w:unhideWhenUsed/>
    <w:rsid w:val="00DF245D"/>
    <w:pPr>
      <w:spacing w:after="0" w:line="240" w:lineRule="auto"/>
    </w:pPr>
    <w:rPr>
      <w:color w:val="AB0051" w:themeColor="accent2" w:themeShade="BF"/>
    </w:rPr>
    <w:tblPr>
      <w:tblStyleRowBandSize w:val="1"/>
      <w:tblStyleColBandSize w:val="1"/>
      <w:tblBorders>
        <w:top w:val="single" w:sz="8" w:space="0" w:color="E5006D" w:themeColor="accent2"/>
        <w:bottom w:val="single" w:sz="8" w:space="0" w:color="E5006D" w:themeColor="accent2"/>
      </w:tblBorders>
    </w:tblPr>
    <w:tblStylePr w:type="firstRow">
      <w:pPr>
        <w:spacing w:before="0" w:after="0" w:line="240" w:lineRule="auto"/>
      </w:pPr>
      <w:rPr>
        <w:b/>
        <w:bCs/>
      </w:rPr>
      <w:tblPr/>
      <w:tcPr>
        <w:tcBorders>
          <w:top w:val="single" w:sz="8" w:space="0" w:color="E5006D" w:themeColor="accent2"/>
          <w:left w:val="nil"/>
          <w:bottom w:val="single" w:sz="8" w:space="0" w:color="E5006D" w:themeColor="accent2"/>
          <w:right w:val="nil"/>
          <w:insideH w:val="nil"/>
          <w:insideV w:val="nil"/>
        </w:tcBorders>
      </w:tcPr>
    </w:tblStylePr>
    <w:tblStylePr w:type="lastRow">
      <w:pPr>
        <w:spacing w:before="0" w:after="0" w:line="240" w:lineRule="auto"/>
      </w:pPr>
      <w:rPr>
        <w:b/>
        <w:bCs/>
      </w:rPr>
      <w:tblPr/>
      <w:tcPr>
        <w:tcBorders>
          <w:top w:val="single" w:sz="8" w:space="0" w:color="E5006D" w:themeColor="accent2"/>
          <w:left w:val="nil"/>
          <w:bottom w:val="single" w:sz="8" w:space="0" w:color="E5006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9DA" w:themeFill="accent2" w:themeFillTint="3F"/>
      </w:tcPr>
    </w:tblStylePr>
    <w:tblStylePr w:type="band1Horz">
      <w:tblPr/>
      <w:tcPr>
        <w:tcBorders>
          <w:left w:val="nil"/>
          <w:right w:val="nil"/>
          <w:insideH w:val="nil"/>
          <w:insideV w:val="nil"/>
        </w:tcBorders>
        <w:shd w:val="clear" w:color="auto" w:fill="FFB9DA" w:themeFill="accent2" w:themeFillTint="3F"/>
      </w:tcPr>
    </w:tblStylePr>
  </w:style>
  <w:style w:type="table" w:styleId="LightShading-Accent3">
    <w:name w:val="Light Shading Accent 3"/>
    <w:basedOn w:val="TableNormal"/>
    <w:uiPriority w:val="60"/>
    <w:semiHidden/>
    <w:unhideWhenUsed/>
    <w:rsid w:val="00DF245D"/>
    <w:pPr>
      <w:spacing w:after="0" w:line="240" w:lineRule="auto"/>
    </w:pPr>
    <w:rPr>
      <w:color w:val="201958" w:themeColor="accent3" w:themeShade="BF"/>
    </w:rPr>
    <w:tblPr>
      <w:tblStyleRowBandSize w:val="1"/>
      <w:tblStyleColBandSize w:val="1"/>
      <w:tblBorders>
        <w:top w:val="single" w:sz="8" w:space="0" w:color="2C2276" w:themeColor="accent3"/>
        <w:bottom w:val="single" w:sz="8" w:space="0" w:color="2C2276" w:themeColor="accent3"/>
      </w:tblBorders>
    </w:tblPr>
    <w:tblStylePr w:type="firstRow">
      <w:pPr>
        <w:spacing w:before="0" w:after="0" w:line="240" w:lineRule="auto"/>
      </w:pPr>
      <w:rPr>
        <w:b/>
        <w:bCs/>
      </w:rPr>
      <w:tblPr/>
      <w:tcPr>
        <w:tcBorders>
          <w:top w:val="single" w:sz="8" w:space="0" w:color="2C2276" w:themeColor="accent3"/>
          <w:left w:val="nil"/>
          <w:bottom w:val="single" w:sz="8" w:space="0" w:color="2C2276" w:themeColor="accent3"/>
          <w:right w:val="nil"/>
          <w:insideH w:val="nil"/>
          <w:insideV w:val="nil"/>
        </w:tcBorders>
      </w:tcPr>
    </w:tblStylePr>
    <w:tblStylePr w:type="lastRow">
      <w:pPr>
        <w:spacing w:before="0" w:after="0" w:line="240" w:lineRule="auto"/>
      </w:pPr>
      <w:rPr>
        <w:b/>
        <w:bCs/>
      </w:rPr>
      <w:tblPr/>
      <w:tcPr>
        <w:tcBorders>
          <w:top w:val="single" w:sz="8" w:space="0" w:color="2C2276" w:themeColor="accent3"/>
          <w:left w:val="nil"/>
          <w:bottom w:val="single" w:sz="8" w:space="0" w:color="2C227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AEB" w:themeFill="accent3" w:themeFillTint="3F"/>
      </w:tcPr>
    </w:tblStylePr>
    <w:tblStylePr w:type="band1Horz">
      <w:tblPr/>
      <w:tcPr>
        <w:tcBorders>
          <w:left w:val="nil"/>
          <w:right w:val="nil"/>
          <w:insideH w:val="nil"/>
          <w:insideV w:val="nil"/>
        </w:tcBorders>
        <w:shd w:val="clear" w:color="auto" w:fill="BFBAEB" w:themeFill="accent3" w:themeFillTint="3F"/>
      </w:tcPr>
    </w:tblStylePr>
  </w:style>
  <w:style w:type="table" w:styleId="LightShading-Accent4">
    <w:name w:val="Light Shading Accent 4"/>
    <w:basedOn w:val="TableNormal"/>
    <w:uiPriority w:val="60"/>
    <w:semiHidden/>
    <w:unhideWhenUsed/>
    <w:rsid w:val="00DF245D"/>
    <w:pPr>
      <w:spacing w:after="0" w:line="240" w:lineRule="auto"/>
    </w:pPr>
    <w:rPr>
      <w:color w:val="5B0D32" w:themeColor="accent4" w:themeShade="BF"/>
    </w:rPr>
    <w:tblPr>
      <w:tblStyleRowBandSize w:val="1"/>
      <w:tblStyleColBandSize w:val="1"/>
      <w:tblBorders>
        <w:top w:val="single" w:sz="8" w:space="0" w:color="7B1244" w:themeColor="accent4"/>
        <w:bottom w:val="single" w:sz="8" w:space="0" w:color="7B1244" w:themeColor="accent4"/>
      </w:tblBorders>
    </w:tblPr>
    <w:tblStylePr w:type="firstRow">
      <w:pPr>
        <w:spacing w:before="0" w:after="0" w:line="240" w:lineRule="auto"/>
      </w:pPr>
      <w:rPr>
        <w:b/>
        <w:bCs/>
      </w:rPr>
      <w:tblPr/>
      <w:tcPr>
        <w:tcBorders>
          <w:top w:val="single" w:sz="8" w:space="0" w:color="7B1244" w:themeColor="accent4"/>
          <w:left w:val="nil"/>
          <w:bottom w:val="single" w:sz="8" w:space="0" w:color="7B1244" w:themeColor="accent4"/>
          <w:right w:val="nil"/>
          <w:insideH w:val="nil"/>
          <w:insideV w:val="nil"/>
        </w:tcBorders>
      </w:tcPr>
    </w:tblStylePr>
    <w:tblStylePr w:type="lastRow">
      <w:pPr>
        <w:spacing w:before="0" w:after="0" w:line="240" w:lineRule="auto"/>
      </w:pPr>
      <w:rPr>
        <w:b/>
        <w:bCs/>
      </w:rPr>
      <w:tblPr/>
      <w:tcPr>
        <w:tcBorders>
          <w:top w:val="single" w:sz="8" w:space="0" w:color="7B1244" w:themeColor="accent4"/>
          <w:left w:val="nil"/>
          <w:bottom w:val="single" w:sz="8" w:space="0" w:color="7B124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AFCF" w:themeFill="accent4" w:themeFillTint="3F"/>
      </w:tcPr>
    </w:tblStylePr>
    <w:tblStylePr w:type="band1Horz">
      <w:tblPr/>
      <w:tcPr>
        <w:tcBorders>
          <w:left w:val="nil"/>
          <w:right w:val="nil"/>
          <w:insideH w:val="nil"/>
          <w:insideV w:val="nil"/>
        </w:tcBorders>
        <w:shd w:val="clear" w:color="auto" w:fill="F3AFCF" w:themeFill="accent4" w:themeFillTint="3F"/>
      </w:tcPr>
    </w:tblStylePr>
  </w:style>
  <w:style w:type="table" w:styleId="LightShading-Accent5">
    <w:name w:val="Light Shading Accent 5"/>
    <w:basedOn w:val="TableNormal"/>
    <w:uiPriority w:val="60"/>
    <w:semiHidden/>
    <w:unhideWhenUsed/>
    <w:rsid w:val="00DF245D"/>
    <w:pPr>
      <w:spacing w:after="0" w:line="240" w:lineRule="auto"/>
    </w:pPr>
    <w:rPr>
      <w:color w:val="829708" w:themeColor="accent5" w:themeShade="BF"/>
    </w:rPr>
    <w:tblPr>
      <w:tblStyleRowBandSize w:val="1"/>
      <w:tblStyleColBandSize w:val="1"/>
      <w:tblBorders>
        <w:top w:val="single" w:sz="8" w:space="0" w:color="AFCA0B" w:themeColor="accent5"/>
        <w:bottom w:val="single" w:sz="8" w:space="0" w:color="AFCA0B" w:themeColor="accent5"/>
      </w:tblBorders>
    </w:tblPr>
    <w:tblStylePr w:type="firstRow">
      <w:pPr>
        <w:spacing w:before="0" w:after="0" w:line="240" w:lineRule="auto"/>
      </w:pPr>
      <w:rPr>
        <w:b/>
        <w:bCs/>
      </w:rPr>
      <w:tblPr/>
      <w:tcPr>
        <w:tcBorders>
          <w:top w:val="single" w:sz="8" w:space="0" w:color="AFCA0B" w:themeColor="accent5"/>
          <w:left w:val="nil"/>
          <w:bottom w:val="single" w:sz="8" w:space="0" w:color="AFCA0B" w:themeColor="accent5"/>
          <w:right w:val="nil"/>
          <w:insideH w:val="nil"/>
          <w:insideV w:val="nil"/>
        </w:tcBorders>
      </w:tcPr>
    </w:tblStylePr>
    <w:tblStylePr w:type="lastRow">
      <w:pPr>
        <w:spacing w:before="0" w:after="0" w:line="240" w:lineRule="auto"/>
      </w:pPr>
      <w:rPr>
        <w:b/>
        <w:bCs/>
      </w:rPr>
      <w:tblPr/>
      <w:tcPr>
        <w:tcBorders>
          <w:top w:val="single" w:sz="8" w:space="0" w:color="AFCA0B" w:themeColor="accent5"/>
          <w:left w:val="nil"/>
          <w:bottom w:val="single" w:sz="8" w:space="0" w:color="AFCA0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BB9" w:themeFill="accent5" w:themeFillTint="3F"/>
      </w:tcPr>
    </w:tblStylePr>
    <w:tblStylePr w:type="band1Horz">
      <w:tblPr/>
      <w:tcPr>
        <w:tcBorders>
          <w:left w:val="nil"/>
          <w:right w:val="nil"/>
          <w:insideH w:val="nil"/>
          <w:insideV w:val="nil"/>
        </w:tcBorders>
        <w:shd w:val="clear" w:color="auto" w:fill="F1FBB9" w:themeFill="accent5" w:themeFillTint="3F"/>
      </w:tcPr>
    </w:tblStylePr>
  </w:style>
  <w:style w:type="table" w:styleId="LightShading-Accent6">
    <w:name w:val="Light Shading Accent 6"/>
    <w:basedOn w:val="TableNormal"/>
    <w:uiPriority w:val="60"/>
    <w:semiHidden/>
    <w:unhideWhenUsed/>
    <w:rsid w:val="00DF245D"/>
    <w:pPr>
      <w:spacing w:after="0" w:line="240" w:lineRule="auto"/>
    </w:pPr>
    <w:rPr>
      <w:color w:val="2B7F27" w:themeColor="accent6" w:themeShade="BF"/>
    </w:rPr>
    <w:tblPr>
      <w:tblStyleRowBandSize w:val="1"/>
      <w:tblStyleColBandSize w:val="1"/>
      <w:tblBorders>
        <w:top w:val="single" w:sz="8" w:space="0" w:color="3AAA35" w:themeColor="accent6"/>
        <w:bottom w:val="single" w:sz="8" w:space="0" w:color="3AAA35" w:themeColor="accent6"/>
      </w:tblBorders>
    </w:tblPr>
    <w:tblStylePr w:type="firstRow">
      <w:pPr>
        <w:spacing w:before="0" w:after="0" w:line="240" w:lineRule="auto"/>
      </w:pPr>
      <w:rPr>
        <w:b/>
        <w:bCs/>
      </w:rPr>
      <w:tblPr/>
      <w:tcPr>
        <w:tcBorders>
          <w:top w:val="single" w:sz="8" w:space="0" w:color="3AAA35" w:themeColor="accent6"/>
          <w:left w:val="nil"/>
          <w:bottom w:val="single" w:sz="8" w:space="0" w:color="3AAA35" w:themeColor="accent6"/>
          <w:right w:val="nil"/>
          <w:insideH w:val="nil"/>
          <w:insideV w:val="nil"/>
        </w:tcBorders>
      </w:tcPr>
    </w:tblStylePr>
    <w:tblStylePr w:type="lastRow">
      <w:pPr>
        <w:spacing w:before="0" w:after="0" w:line="240" w:lineRule="auto"/>
      </w:pPr>
      <w:rPr>
        <w:b/>
        <w:bCs/>
      </w:rPr>
      <w:tblPr/>
      <w:tcPr>
        <w:tcBorders>
          <w:top w:val="single" w:sz="8" w:space="0" w:color="3AAA35" w:themeColor="accent6"/>
          <w:left w:val="nil"/>
          <w:bottom w:val="single" w:sz="8" w:space="0" w:color="3AAA3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EC8" w:themeFill="accent6" w:themeFillTint="3F"/>
      </w:tcPr>
    </w:tblStylePr>
    <w:tblStylePr w:type="band1Horz">
      <w:tblPr/>
      <w:tcPr>
        <w:tcBorders>
          <w:left w:val="nil"/>
          <w:right w:val="nil"/>
          <w:insideH w:val="nil"/>
          <w:insideV w:val="nil"/>
        </w:tcBorders>
        <w:shd w:val="clear" w:color="auto" w:fill="CAEEC8" w:themeFill="accent6" w:themeFillTint="3F"/>
      </w:tcPr>
    </w:tblStylePr>
  </w:style>
  <w:style w:type="character" w:styleId="LineNumber">
    <w:name w:val="line number"/>
    <w:basedOn w:val="DefaultParagraphFont"/>
    <w:uiPriority w:val="99"/>
    <w:semiHidden/>
    <w:unhideWhenUsed/>
    <w:rsid w:val="00DF245D"/>
  </w:style>
  <w:style w:type="paragraph" w:styleId="MacroText">
    <w:name w:val="macro"/>
    <w:link w:val="MacroTextChar"/>
    <w:uiPriority w:val="99"/>
    <w:semiHidden/>
    <w:unhideWhenUsed/>
    <w:rsid w:val="00DF245D"/>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DF245D"/>
    <w:rPr>
      <w:rFonts w:ascii="Consolas" w:hAnsi="Consolas"/>
      <w:sz w:val="20"/>
      <w:szCs w:val="20"/>
    </w:rPr>
  </w:style>
  <w:style w:type="table" w:styleId="MediumGrid1">
    <w:name w:val="Medium Grid 1"/>
    <w:basedOn w:val="TableNormal"/>
    <w:uiPriority w:val="67"/>
    <w:semiHidden/>
    <w:unhideWhenUsed/>
    <w:rsid w:val="00DF245D"/>
    <w:pPr>
      <w:spacing w:after="0" w:line="240" w:lineRule="auto"/>
    </w:pPr>
    <w:tblPr>
      <w:tblStyleRowBandSize w:val="1"/>
      <w:tblStyleColBandSize w:val="1"/>
      <w:tblBorders>
        <w:top w:val="single" w:sz="8" w:space="0" w:color="5B6477" w:themeColor="text1" w:themeTint="BF"/>
        <w:left w:val="single" w:sz="8" w:space="0" w:color="5B6477" w:themeColor="text1" w:themeTint="BF"/>
        <w:bottom w:val="single" w:sz="8" w:space="0" w:color="5B6477" w:themeColor="text1" w:themeTint="BF"/>
        <w:right w:val="single" w:sz="8" w:space="0" w:color="5B6477" w:themeColor="text1" w:themeTint="BF"/>
        <w:insideH w:val="single" w:sz="8" w:space="0" w:color="5B6477" w:themeColor="text1" w:themeTint="BF"/>
        <w:insideV w:val="single" w:sz="8" w:space="0" w:color="5B6477" w:themeColor="text1" w:themeTint="BF"/>
      </w:tblBorders>
    </w:tblPr>
    <w:tcPr>
      <w:shd w:val="clear" w:color="auto" w:fill="C7CBD4" w:themeFill="text1" w:themeFillTint="3F"/>
    </w:tcPr>
    <w:tblStylePr w:type="firstRow">
      <w:rPr>
        <w:b/>
        <w:bCs/>
      </w:rPr>
    </w:tblStylePr>
    <w:tblStylePr w:type="lastRow">
      <w:rPr>
        <w:b/>
        <w:bCs/>
      </w:rPr>
      <w:tblPr/>
      <w:tcPr>
        <w:tcBorders>
          <w:top w:val="single" w:sz="18" w:space="0" w:color="5B6477" w:themeColor="text1" w:themeTint="BF"/>
        </w:tcBorders>
      </w:tcPr>
    </w:tblStylePr>
    <w:tblStylePr w:type="firstCol">
      <w:rPr>
        <w:b/>
        <w:bCs/>
      </w:rPr>
    </w:tblStylePr>
    <w:tblStylePr w:type="lastCol">
      <w:rPr>
        <w:b/>
        <w:bCs/>
      </w:rPr>
    </w:tblStylePr>
    <w:tblStylePr w:type="band1Vert">
      <w:tblPr/>
      <w:tcPr>
        <w:shd w:val="clear" w:color="auto" w:fill="8E97A9" w:themeFill="text1" w:themeFillTint="7F"/>
      </w:tcPr>
    </w:tblStylePr>
    <w:tblStylePr w:type="band1Horz">
      <w:tblPr/>
      <w:tcPr>
        <w:shd w:val="clear" w:color="auto" w:fill="8E97A9" w:themeFill="text1" w:themeFillTint="7F"/>
      </w:tcPr>
    </w:tblStylePr>
  </w:style>
  <w:style w:type="table" w:styleId="MediumGrid1-Accent1">
    <w:name w:val="Medium Grid 1 Accent 1"/>
    <w:basedOn w:val="TableNormal"/>
    <w:uiPriority w:val="67"/>
    <w:semiHidden/>
    <w:unhideWhenUsed/>
    <w:rsid w:val="00DF245D"/>
    <w:pPr>
      <w:spacing w:after="0" w:line="240" w:lineRule="auto"/>
    </w:pPr>
    <w:tblPr>
      <w:tblStyleRowBandSize w:val="1"/>
      <w:tblStyleColBandSize w:val="1"/>
      <w:tblBorders>
        <w:top w:val="single" w:sz="8" w:space="0" w:color="14C4FF" w:themeColor="accent1" w:themeTint="BF"/>
        <w:left w:val="single" w:sz="8" w:space="0" w:color="14C4FF" w:themeColor="accent1" w:themeTint="BF"/>
        <w:bottom w:val="single" w:sz="8" w:space="0" w:color="14C4FF" w:themeColor="accent1" w:themeTint="BF"/>
        <w:right w:val="single" w:sz="8" w:space="0" w:color="14C4FF" w:themeColor="accent1" w:themeTint="BF"/>
        <w:insideH w:val="single" w:sz="8" w:space="0" w:color="14C4FF" w:themeColor="accent1" w:themeTint="BF"/>
        <w:insideV w:val="single" w:sz="8" w:space="0" w:color="14C4FF" w:themeColor="accent1" w:themeTint="BF"/>
      </w:tblBorders>
    </w:tblPr>
    <w:tcPr>
      <w:shd w:val="clear" w:color="auto" w:fill="B1EBFF" w:themeFill="accent1" w:themeFillTint="3F"/>
    </w:tcPr>
    <w:tblStylePr w:type="firstRow">
      <w:rPr>
        <w:b/>
        <w:bCs/>
      </w:rPr>
    </w:tblStylePr>
    <w:tblStylePr w:type="lastRow">
      <w:rPr>
        <w:b/>
        <w:bCs/>
      </w:rPr>
      <w:tblPr/>
      <w:tcPr>
        <w:tcBorders>
          <w:top w:val="single" w:sz="18" w:space="0" w:color="14C4FF" w:themeColor="accent1" w:themeTint="BF"/>
        </w:tcBorders>
      </w:tcPr>
    </w:tblStylePr>
    <w:tblStylePr w:type="firstCol">
      <w:rPr>
        <w:b/>
        <w:bCs/>
      </w:rPr>
    </w:tblStylePr>
    <w:tblStylePr w:type="lastCol">
      <w:rPr>
        <w:b/>
        <w:bCs/>
      </w:rPr>
    </w:tblStylePr>
    <w:tblStylePr w:type="band1Vert">
      <w:tblPr/>
      <w:tcPr>
        <w:shd w:val="clear" w:color="auto" w:fill="63D7FF" w:themeFill="accent1" w:themeFillTint="7F"/>
      </w:tcPr>
    </w:tblStylePr>
    <w:tblStylePr w:type="band1Horz">
      <w:tblPr/>
      <w:tcPr>
        <w:shd w:val="clear" w:color="auto" w:fill="63D7FF" w:themeFill="accent1" w:themeFillTint="7F"/>
      </w:tcPr>
    </w:tblStylePr>
  </w:style>
  <w:style w:type="table" w:styleId="MediumGrid1-Accent2">
    <w:name w:val="Medium Grid 1 Accent 2"/>
    <w:basedOn w:val="TableNormal"/>
    <w:uiPriority w:val="67"/>
    <w:semiHidden/>
    <w:unhideWhenUsed/>
    <w:rsid w:val="00DF245D"/>
    <w:pPr>
      <w:spacing w:after="0" w:line="240" w:lineRule="auto"/>
    </w:pPr>
    <w:tblPr>
      <w:tblStyleRowBandSize w:val="1"/>
      <w:tblStyleColBandSize w:val="1"/>
      <w:tblBorders>
        <w:top w:val="single" w:sz="8" w:space="0" w:color="FF2C90" w:themeColor="accent2" w:themeTint="BF"/>
        <w:left w:val="single" w:sz="8" w:space="0" w:color="FF2C90" w:themeColor="accent2" w:themeTint="BF"/>
        <w:bottom w:val="single" w:sz="8" w:space="0" w:color="FF2C90" w:themeColor="accent2" w:themeTint="BF"/>
        <w:right w:val="single" w:sz="8" w:space="0" w:color="FF2C90" w:themeColor="accent2" w:themeTint="BF"/>
        <w:insideH w:val="single" w:sz="8" w:space="0" w:color="FF2C90" w:themeColor="accent2" w:themeTint="BF"/>
        <w:insideV w:val="single" w:sz="8" w:space="0" w:color="FF2C90" w:themeColor="accent2" w:themeTint="BF"/>
      </w:tblBorders>
    </w:tblPr>
    <w:tcPr>
      <w:shd w:val="clear" w:color="auto" w:fill="FFB9DA" w:themeFill="accent2" w:themeFillTint="3F"/>
    </w:tcPr>
    <w:tblStylePr w:type="firstRow">
      <w:rPr>
        <w:b/>
        <w:bCs/>
      </w:rPr>
    </w:tblStylePr>
    <w:tblStylePr w:type="lastRow">
      <w:rPr>
        <w:b/>
        <w:bCs/>
      </w:rPr>
      <w:tblPr/>
      <w:tcPr>
        <w:tcBorders>
          <w:top w:val="single" w:sz="18" w:space="0" w:color="FF2C90" w:themeColor="accent2" w:themeTint="BF"/>
        </w:tcBorders>
      </w:tcPr>
    </w:tblStylePr>
    <w:tblStylePr w:type="firstCol">
      <w:rPr>
        <w:b/>
        <w:bCs/>
      </w:rPr>
    </w:tblStylePr>
    <w:tblStylePr w:type="lastCol">
      <w:rPr>
        <w:b/>
        <w:bCs/>
      </w:rPr>
    </w:tblStylePr>
    <w:tblStylePr w:type="band1Vert">
      <w:tblPr/>
      <w:tcPr>
        <w:shd w:val="clear" w:color="auto" w:fill="FF73B5" w:themeFill="accent2" w:themeFillTint="7F"/>
      </w:tcPr>
    </w:tblStylePr>
    <w:tblStylePr w:type="band1Horz">
      <w:tblPr/>
      <w:tcPr>
        <w:shd w:val="clear" w:color="auto" w:fill="FF73B5" w:themeFill="accent2" w:themeFillTint="7F"/>
      </w:tcPr>
    </w:tblStylePr>
  </w:style>
  <w:style w:type="table" w:styleId="MediumGrid1-Accent3">
    <w:name w:val="Medium Grid 1 Accent 3"/>
    <w:basedOn w:val="TableNormal"/>
    <w:uiPriority w:val="67"/>
    <w:semiHidden/>
    <w:unhideWhenUsed/>
    <w:rsid w:val="00DF245D"/>
    <w:pPr>
      <w:spacing w:after="0" w:line="240" w:lineRule="auto"/>
    </w:pPr>
    <w:tblPr>
      <w:tblStyleRowBandSize w:val="1"/>
      <w:tblStyleColBandSize w:val="1"/>
      <w:tblBorders>
        <w:top w:val="single" w:sz="8" w:space="0" w:color="4536BB" w:themeColor="accent3" w:themeTint="BF"/>
        <w:left w:val="single" w:sz="8" w:space="0" w:color="4536BB" w:themeColor="accent3" w:themeTint="BF"/>
        <w:bottom w:val="single" w:sz="8" w:space="0" w:color="4536BB" w:themeColor="accent3" w:themeTint="BF"/>
        <w:right w:val="single" w:sz="8" w:space="0" w:color="4536BB" w:themeColor="accent3" w:themeTint="BF"/>
        <w:insideH w:val="single" w:sz="8" w:space="0" w:color="4536BB" w:themeColor="accent3" w:themeTint="BF"/>
        <w:insideV w:val="single" w:sz="8" w:space="0" w:color="4536BB" w:themeColor="accent3" w:themeTint="BF"/>
      </w:tblBorders>
    </w:tblPr>
    <w:tcPr>
      <w:shd w:val="clear" w:color="auto" w:fill="BFBAEB" w:themeFill="accent3" w:themeFillTint="3F"/>
    </w:tcPr>
    <w:tblStylePr w:type="firstRow">
      <w:rPr>
        <w:b/>
        <w:bCs/>
      </w:rPr>
    </w:tblStylePr>
    <w:tblStylePr w:type="lastRow">
      <w:rPr>
        <w:b/>
        <w:bCs/>
      </w:rPr>
      <w:tblPr/>
      <w:tcPr>
        <w:tcBorders>
          <w:top w:val="single" w:sz="18" w:space="0" w:color="4536BB" w:themeColor="accent3" w:themeTint="BF"/>
        </w:tcBorders>
      </w:tcPr>
    </w:tblStylePr>
    <w:tblStylePr w:type="firstCol">
      <w:rPr>
        <w:b/>
        <w:bCs/>
      </w:rPr>
    </w:tblStylePr>
    <w:tblStylePr w:type="lastCol">
      <w:rPr>
        <w:b/>
        <w:bCs/>
      </w:rPr>
    </w:tblStylePr>
    <w:tblStylePr w:type="band1Vert">
      <w:tblPr/>
      <w:tcPr>
        <w:shd w:val="clear" w:color="auto" w:fill="8074D7" w:themeFill="accent3" w:themeFillTint="7F"/>
      </w:tcPr>
    </w:tblStylePr>
    <w:tblStylePr w:type="band1Horz">
      <w:tblPr/>
      <w:tcPr>
        <w:shd w:val="clear" w:color="auto" w:fill="8074D7" w:themeFill="accent3" w:themeFillTint="7F"/>
      </w:tcPr>
    </w:tblStylePr>
  </w:style>
  <w:style w:type="table" w:styleId="MediumGrid1-Accent4">
    <w:name w:val="Medium Grid 1 Accent 4"/>
    <w:basedOn w:val="TableNormal"/>
    <w:uiPriority w:val="67"/>
    <w:semiHidden/>
    <w:unhideWhenUsed/>
    <w:rsid w:val="00DF245D"/>
    <w:pPr>
      <w:spacing w:after="0" w:line="240" w:lineRule="auto"/>
    </w:pPr>
    <w:tblPr>
      <w:tblStyleRowBandSize w:val="1"/>
      <w:tblStyleColBandSize w:val="1"/>
      <w:tblBorders>
        <w:top w:val="single" w:sz="8" w:space="0" w:color="CB1D70" w:themeColor="accent4" w:themeTint="BF"/>
        <w:left w:val="single" w:sz="8" w:space="0" w:color="CB1D70" w:themeColor="accent4" w:themeTint="BF"/>
        <w:bottom w:val="single" w:sz="8" w:space="0" w:color="CB1D70" w:themeColor="accent4" w:themeTint="BF"/>
        <w:right w:val="single" w:sz="8" w:space="0" w:color="CB1D70" w:themeColor="accent4" w:themeTint="BF"/>
        <w:insideH w:val="single" w:sz="8" w:space="0" w:color="CB1D70" w:themeColor="accent4" w:themeTint="BF"/>
        <w:insideV w:val="single" w:sz="8" w:space="0" w:color="CB1D70" w:themeColor="accent4" w:themeTint="BF"/>
      </w:tblBorders>
    </w:tblPr>
    <w:tcPr>
      <w:shd w:val="clear" w:color="auto" w:fill="F3AFCF" w:themeFill="accent4" w:themeFillTint="3F"/>
    </w:tcPr>
    <w:tblStylePr w:type="firstRow">
      <w:rPr>
        <w:b/>
        <w:bCs/>
      </w:rPr>
    </w:tblStylePr>
    <w:tblStylePr w:type="lastRow">
      <w:rPr>
        <w:b/>
        <w:bCs/>
      </w:rPr>
      <w:tblPr/>
      <w:tcPr>
        <w:tcBorders>
          <w:top w:val="single" w:sz="18" w:space="0" w:color="CB1D70" w:themeColor="accent4" w:themeTint="BF"/>
        </w:tcBorders>
      </w:tcPr>
    </w:tblStylePr>
    <w:tblStylePr w:type="firstCol">
      <w:rPr>
        <w:b/>
        <w:bCs/>
      </w:rPr>
    </w:tblStylePr>
    <w:tblStylePr w:type="lastCol">
      <w:rPr>
        <w:b/>
        <w:bCs/>
      </w:rPr>
    </w:tblStylePr>
    <w:tblStylePr w:type="band1Vert">
      <w:tblPr/>
      <w:tcPr>
        <w:shd w:val="clear" w:color="auto" w:fill="E75E9F" w:themeFill="accent4" w:themeFillTint="7F"/>
      </w:tcPr>
    </w:tblStylePr>
    <w:tblStylePr w:type="band1Horz">
      <w:tblPr/>
      <w:tcPr>
        <w:shd w:val="clear" w:color="auto" w:fill="E75E9F" w:themeFill="accent4" w:themeFillTint="7F"/>
      </w:tcPr>
    </w:tblStylePr>
  </w:style>
  <w:style w:type="table" w:styleId="MediumGrid1-Accent5">
    <w:name w:val="Medium Grid 1 Accent 5"/>
    <w:basedOn w:val="TableNormal"/>
    <w:uiPriority w:val="67"/>
    <w:semiHidden/>
    <w:unhideWhenUsed/>
    <w:rsid w:val="00DF245D"/>
    <w:pPr>
      <w:spacing w:after="0" w:line="240" w:lineRule="auto"/>
    </w:pPr>
    <w:tblPr>
      <w:tblStyleRowBandSize w:val="1"/>
      <w:tblStyleColBandSize w:val="1"/>
      <w:tblBorders>
        <w:top w:val="single" w:sz="8" w:space="0" w:color="D6F32B" w:themeColor="accent5" w:themeTint="BF"/>
        <w:left w:val="single" w:sz="8" w:space="0" w:color="D6F32B" w:themeColor="accent5" w:themeTint="BF"/>
        <w:bottom w:val="single" w:sz="8" w:space="0" w:color="D6F32B" w:themeColor="accent5" w:themeTint="BF"/>
        <w:right w:val="single" w:sz="8" w:space="0" w:color="D6F32B" w:themeColor="accent5" w:themeTint="BF"/>
        <w:insideH w:val="single" w:sz="8" w:space="0" w:color="D6F32B" w:themeColor="accent5" w:themeTint="BF"/>
        <w:insideV w:val="single" w:sz="8" w:space="0" w:color="D6F32B" w:themeColor="accent5" w:themeTint="BF"/>
      </w:tblBorders>
    </w:tblPr>
    <w:tcPr>
      <w:shd w:val="clear" w:color="auto" w:fill="F1FBB9" w:themeFill="accent5" w:themeFillTint="3F"/>
    </w:tcPr>
    <w:tblStylePr w:type="firstRow">
      <w:rPr>
        <w:b/>
        <w:bCs/>
      </w:rPr>
    </w:tblStylePr>
    <w:tblStylePr w:type="lastRow">
      <w:rPr>
        <w:b/>
        <w:bCs/>
      </w:rPr>
      <w:tblPr/>
      <w:tcPr>
        <w:tcBorders>
          <w:top w:val="single" w:sz="18" w:space="0" w:color="D6F32B" w:themeColor="accent5" w:themeTint="BF"/>
        </w:tcBorders>
      </w:tcPr>
    </w:tblStylePr>
    <w:tblStylePr w:type="firstCol">
      <w:rPr>
        <w:b/>
        <w:bCs/>
      </w:rPr>
    </w:tblStylePr>
    <w:tblStylePr w:type="lastCol">
      <w:rPr>
        <w:b/>
        <w:bCs/>
      </w:rPr>
    </w:tblStylePr>
    <w:tblStylePr w:type="band1Vert">
      <w:tblPr/>
      <w:tcPr>
        <w:shd w:val="clear" w:color="auto" w:fill="E4F772" w:themeFill="accent5" w:themeFillTint="7F"/>
      </w:tcPr>
    </w:tblStylePr>
    <w:tblStylePr w:type="band1Horz">
      <w:tblPr/>
      <w:tcPr>
        <w:shd w:val="clear" w:color="auto" w:fill="E4F772" w:themeFill="accent5" w:themeFillTint="7F"/>
      </w:tcPr>
    </w:tblStylePr>
  </w:style>
  <w:style w:type="table" w:styleId="MediumGrid1-Accent6">
    <w:name w:val="Medium Grid 1 Accent 6"/>
    <w:basedOn w:val="TableNormal"/>
    <w:uiPriority w:val="67"/>
    <w:semiHidden/>
    <w:unhideWhenUsed/>
    <w:rsid w:val="00DF245D"/>
    <w:pPr>
      <w:spacing w:after="0" w:line="240" w:lineRule="auto"/>
    </w:pPr>
    <w:tblPr>
      <w:tblStyleRowBandSize w:val="1"/>
      <w:tblStyleColBandSize w:val="1"/>
      <w:tblBorders>
        <w:top w:val="single" w:sz="8" w:space="0" w:color="5FCC5B" w:themeColor="accent6" w:themeTint="BF"/>
        <w:left w:val="single" w:sz="8" w:space="0" w:color="5FCC5B" w:themeColor="accent6" w:themeTint="BF"/>
        <w:bottom w:val="single" w:sz="8" w:space="0" w:color="5FCC5B" w:themeColor="accent6" w:themeTint="BF"/>
        <w:right w:val="single" w:sz="8" w:space="0" w:color="5FCC5B" w:themeColor="accent6" w:themeTint="BF"/>
        <w:insideH w:val="single" w:sz="8" w:space="0" w:color="5FCC5B" w:themeColor="accent6" w:themeTint="BF"/>
        <w:insideV w:val="single" w:sz="8" w:space="0" w:color="5FCC5B" w:themeColor="accent6" w:themeTint="BF"/>
      </w:tblBorders>
    </w:tblPr>
    <w:tcPr>
      <w:shd w:val="clear" w:color="auto" w:fill="CAEEC8" w:themeFill="accent6" w:themeFillTint="3F"/>
    </w:tcPr>
    <w:tblStylePr w:type="firstRow">
      <w:rPr>
        <w:b/>
        <w:bCs/>
      </w:rPr>
    </w:tblStylePr>
    <w:tblStylePr w:type="lastRow">
      <w:rPr>
        <w:b/>
        <w:bCs/>
      </w:rPr>
      <w:tblPr/>
      <w:tcPr>
        <w:tcBorders>
          <w:top w:val="single" w:sz="18" w:space="0" w:color="5FCC5B" w:themeColor="accent6" w:themeTint="BF"/>
        </w:tcBorders>
      </w:tcPr>
    </w:tblStylePr>
    <w:tblStylePr w:type="firstCol">
      <w:rPr>
        <w:b/>
        <w:bCs/>
      </w:rPr>
    </w:tblStylePr>
    <w:tblStylePr w:type="lastCol">
      <w:rPr>
        <w:b/>
        <w:bCs/>
      </w:rPr>
    </w:tblStylePr>
    <w:tblStylePr w:type="band1Vert">
      <w:tblPr/>
      <w:tcPr>
        <w:shd w:val="clear" w:color="auto" w:fill="94DD92" w:themeFill="accent6" w:themeFillTint="7F"/>
      </w:tcPr>
    </w:tblStylePr>
    <w:tblStylePr w:type="band1Horz">
      <w:tblPr/>
      <w:tcPr>
        <w:shd w:val="clear" w:color="auto" w:fill="94DD92" w:themeFill="accent6" w:themeFillTint="7F"/>
      </w:tcPr>
    </w:tblStylePr>
  </w:style>
  <w:style w:type="table" w:styleId="MediumGrid2">
    <w:name w:val="Medium Grid 2"/>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30353F" w:themeColor="text1"/>
        <w:left w:val="single" w:sz="8" w:space="0" w:color="30353F" w:themeColor="text1"/>
        <w:bottom w:val="single" w:sz="8" w:space="0" w:color="30353F" w:themeColor="text1"/>
        <w:right w:val="single" w:sz="8" w:space="0" w:color="30353F" w:themeColor="text1"/>
        <w:insideH w:val="single" w:sz="8" w:space="0" w:color="30353F" w:themeColor="text1"/>
        <w:insideV w:val="single" w:sz="8" w:space="0" w:color="30353F" w:themeColor="text1"/>
      </w:tblBorders>
    </w:tblPr>
    <w:tcPr>
      <w:shd w:val="clear" w:color="auto" w:fill="C7CBD4" w:themeFill="text1" w:themeFillTint="3F"/>
    </w:tcPr>
    <w:tblStylePr w:type="firstRow">
      <w:rPr>
        <w:b/>
        <w:bCs/>
        <w:color w:val="30353F" w:themeColor="text1"/>
      </w:rPr>
      <w:tblPr/>
      <w:tcPr>
        <w:shd w:val="clear" w:color="auto" w:fill="E8EAEE" w:themeFill="text1"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D1D5DC" w:themeFill="text1" w:themeFillTint="33"/>
      </w:tcPr>
    </w:tblStylePr>
    <w:tblStylePr w:type="band1Vert">
      <w:tblPr/>
      <w:tcPr>
        <w:shd w:val="clear" w:color="auto" w:fill="8E97A9" w:themeFill="text1" w:themeFillTint="7F"/>
      </w:tcPr>
    </w:tblStylePr>
    <w:tblStylePr w:type="band1Horz">
      <w:tblPr/>
      <w:tcPr>
        <w:tcBorders>
          <w:insideH w:val="single" w:sz="6" w:space="0" w:color="30353F" w:themeColor="text1"/>
          <w:insideV w:val="single" w:sz="6" w:space="0" w:color="30353F" w:themeColor="text1"/>
        </w:tcBorders>
        <w:shd w:val="clear" w:color="auto" w:fill="8E97A9"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0094C5" w:themeColor="accent1"/>
        <w:left w:val="single" w:sz="8" w:space="0" w:color="0094C5" w:themeColor="accent1"/>
        <w:bottom w:val="single" w:sz="8" w:space="0" w:color="0094C5" w:themeColor="accent1"/>
        <w:right w:val="single" w:sz="8" w:space="0" w:color="0094C5" w:themeColor="accent1"/>
        <w:insideH w:val="single" w:sz="8" w:space="0" w:color="0094C5" w:themeColor="accent1"/>
        <w:insideV w:val="single" w:sz="8" w:space="0" w:color="0094C5" w:themeColor="accent1"/>
      </w:tblBorders>
    </w:tblPr>
    <w:tcPr>
      <w:shd w:val="clear" w:color="auto" w:fill="B1EBFF" w:themeFill="accent1" w:themeFillTint="3F"/>
    </w:tcPr>
    <w:tblStylePr w:type="firstRow">
      <w:rPr>
        <w:b/>
        <w:bCs/>
        <w:color w:val="30353F" w:themeColor="text1"/>
      </w:rPr>
      <w:tblPr/>
      <w:tcPr>
        <w:shd w:val="clear" w:color="auto" w:fill="E0F7FF" w:themeFill="accent1"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C0EFFF" w:themeFill="accent1" w:themeFillTint="33"/>
      </w:tcPr>
    </w:tblStylePr>
    <w:tblStylePr w:type="band1Vert">
      <w:tblPr/>
      <w:tcPr>
        <w:shd w:val="clear" w:color="auto" w:fill="63D7FF" w:themeFill="accent1" w:themeFillTint="7F"/>
      </w:tcPr>
    </w:tblStylePr>
    <w:tblStylePr w:type="band1Horz">
      <w:tblPr/>
      <w:tcPr>
        <w:tcBorders>
          <w:insideH w:val="single" w:sz="6" w:space="0" w:color="0094C5" w:themeColor="accent1"/>
          <w:insideV w:val="single" w:sz="6" w:space="0" w:color="0094C5" w:themeColor="accent1"/>
        </w:tcBorders>
        <w:shd w:val="clear" w:color="auto" w:fill="63D7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E5006D" w:themeColor="accent2"/>
        <w:left w:val="single" w:sz="8" w:space="0" w:color="E5006D" w:themeColor="accent2"/>
        <w:bottom w:val="single" w:sz="8" w:space="0" w:color="E5006D" w:themeColor="accent2"/>
        <w:right w:val="single" w:sz="8" w:space="0" w:color="E5006D" w:themeColor="accent2"/>
        <w:insideH w:val="single" w:sz="8" w:space="0" w:color="E5006D" w:themeColor="accent2"/>
        <w:insideV w:val="single" w:sz="8" w:space="0" w:color="E5006D" w:themeColor="accent2"/>
      </w:tblBorders>
    </w:tblPr>
    <w:tcPr>
      <w:shd w:val="clear" w:color="auto" w:fill="FFB9DA" w:themeFill="accent2" w:themeFillTint="3F"/>
    </w:tcPr>
    <w:tblStylePr w:type="firstRow">
      <w:rPr>
        <w:b/>
        <w:bCs/>
        <w:color w:val="30353F" w:themeColor="text1"/>
      </w:rPr>
      <w:tblPr/>
      <w:tcPr>
        <w:shd w:val="clear" w:color="auto" w:fill="FFE3F0" w:themeFill="accent2"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FFC6E1" w:themeFill="accent2" w:themeFillTint="33"/>
      </w:tcPr>
    </w:tblStylePr>
    <w:tblStylePr w:type="band1Vert">
      <w:tblPr/>
      <w:tcPr>
        <w:shd w:val="clear" w:color="auto" w:fill="FF73B5" w:themeFill="accent2" w:themeFillTint="7F"/>
      </w:tcPr>
    </w:tblStylePr>
    <w:tblStylePr w:type="band1Horz">
      <w:tblPr/>
      <w:tcPr>
        <w:tcBorders>
          <w:insideH w:val="single" w:sz="6" w:space="0" w:color="E5006D" w:themeColor="accent2"/>
          <w:insideV w:val="single" w:sz="6" w:space="0" w:color="E5006D" w:themeColor="accent2"/>
        </w:tcBorders>
        <w:shd w:val="clear" w:color="auto" w:fill="FF73B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2C2276" w:themeColor="accent3"/>
        <w:left w:val="single" w:sz="8" w:space="0" w:color="2C2276" w:themeColor="accent3"/>
        <w:bottom w:val="single" w:sz="8" w:space="0" w:color="2C2276" w:themeColor="accent3"/>
        <w:right w:val="single" w:sz="8" w:space="0" w:color="2C2276" w:themeColor="accent3"/>
        <w:insideH w:val="single" w:sz="8" w:space="0" w:color="2C2276" w:themeColor="accent3"/>
        <w:insideV w:val="single" w:sz="8" w:space="0" w:color="2C2276" w:themeColor="accent3"/>
      </w:tblBorders>
    </w:tblPr>
    <w:tcPr>
      <w:shd w:val="clear" w:color="auto" w:fill="BFBAEB" w:themeFill="accent3" w:themeFillTint="3F"/>
    </w:tcPr>
    <w:tblStylePr w:type="firstRow">
      <w:rPr>
        <w:b/>
        <w:bCs/>
        <w:color w:val="30353F" w:themeColor="text1"/>
      </w:rPr>
      <w:tblPr/>
      <w:tcPr>
        <w:shd w:val="clear" w:color="auto" w:fill="E5E3F7" w:themeFill="accent3"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CCC7EF" w:themeFill="accent3" w:themeFillTint="33"/>
      </w:tcPr>
    </w:tblStylePr>
    <w:tblStylePr w:type="band1Vert">
      <w:tblPr/>
      <w:tcPr>
        <w:shd w:val="clear" w:color="auto" w:fill="8074D7" w:themeFill="accent3" w:themeFillTint="7F"/>
      </w:tcPr>
    </w:tblStylePr>
    <w:tblStylePr w:type="band1Horz">
      <w:tblPr/>
      <w:tcPr>
        <w:tcBorders>
          <w:insideH w:val="single" w:sz="6" w:space="0" w:color="2C2276" w:themeColor="accent3"/>
          <w:insideV w:val="single" w:sz="6" w:space="0" w:color="2C2276" w:themeColor="accent3"/>
        </w:tcBorders>
        <w:shd w:val="clear" w:color="auto" w:fill="8074D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7B1244" w:themeColor="accent4"/>
        <w:left w:val="single" w:sz="8" w:space="0" w:color="7B1244" w:themeColor="accent4"/>
        <w:bottom w:val="single" w:sz="8" w:space="0" w:color="7B1244" w:themeColor="accent4"/>
        <w:right w:val="single" w:sz="8" w:space="0" w:color="7B1244" w:themeColor="accent4"/>
        <w:insideH w:val="single" w:sz="8" w:space="0" w:color="7B1244" w:themeColor="accent4"/>
        <w:insideV w:val="single" w:sz="8" w:space="0" w:color="7B1244" w:themeColor="accent4"/>
      </w:tblBorders>
    </w:tblPr>
    <w:tcPr>
      <w:shd w:val="clear" w:color="auto" w:fill="F3AFCF" w:themeFill="accent4" w:themeFillTint="3F"/>
    </w:tcPr>
    <w:tblStylePr w:type="firstRow">
      <w:rPr>
        <w:b/>
        <w:bCs/>
        <w:color w:val="30353F" w:themeColor="text1"/>
      </w:rPr>
      <w:tblPr/>
      <w:tcPr>
        <w:shd w:val="clear" w:color="auto" w:fill="FADFEC" w:themeFill="accent4"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F5BED8" w:themeFill="accent4" w:themeFillTint="33"/>
      </w:tcPr>
    </w:tblStylePr>
    <w:tblStylePr w:type="band1Vert">
      <w:tblPr/>
      <w:tcPr>
        <w:shd w:val="clear" w:color="auto" w:fill="E75E9F" w:themeFill="accent4" w:themeFillTint="7F"/>
      </w:tcPr>
    </w:tblStylePr>
    <w:tblStylePr w:type="band1Horz">
      <w:tblPr/>
      <w:tcPr>
        <w:tcBorders>
          <w:insideH w:val="single" w:sz="6" w:space="0" w:color="7B1244" w:themeColor="accent4"/>
          <w:insideV w:val="single" w:sz="6" w:space="0" w:color="7B1244" w:themeColor="accent4"/>
        </w:tcBorders>
        <w:shd w:val="clear" w:color="auto" w:fill="E75E9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AFCA0B" w:themeColor="accent5"/>
        <w:left w:val="single" w:sz="8" w:space="0" w:color="AFCA0B" w:themeColor="accent5"/>
        <w:bottom w:val="single" w:sz="8" w:space="0" w:color="AFCA0B" w:themeColor="accent5"/>
        <w:right w:val="single" w:sz="8" w:space="0" w:color="AFCA0B" w:themeColor="accent5"/>
        <w:insideH w:val="single" w:sz="8" w:space="0" w:color="AFCA0B" w:themeColor="accent5"/>
        <w:insideV w:val="single" w:sz="8" w:space="0" w:color="AFCA0B" w:themeColor="accent5"/>
      </w:tblBorders>
    </w:tblPr>
    <w:tcPr>
      <w:shd w:val="clear" w:color="auto" w:fill="F1FBB9" w:themeFill="accent5" w:themeFillTint="3F"/>
    </w:tcPr>
    <w:tblStylePr w:type="firstRow">
      <w:rPr>
        <w:b/>
        <w:bCs/>
        <w:color w:val="30353F" w:themeColor="text1"/>
      </w:rPr>
      <w:tblPr/>
      <w:tcPr>
        <w:shd w:val="clear" w:color="auto" w:fill="F9FDE3" w:themeFill="accent5"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F4FCC6" w:themeFill="accent5" w:themeFillTint="33"/>
      </w:tcPr>
    </w:tblStylePr>
    <w:tblStylePr w:type="band1Vert">
      <w:tblPr/>
      <w:tcPr>
        <w:shd w:val="clear" w:color="auto" w:fill="E4F772" w:themeFill="accent5" w:themeFillTint="7F"/>
      </w:tcPr>
    </w:tblStylePr>
    <w:tblStylePr w:type="band1Horz">
      <w:tblPr/>
      <w:tcPr>
        <w:tcBorders>
          <w:insideH w:val="single" w:sz="6" w:space="0" w:color="AFCA0B" w:themeColor="accent5"/>
          <w:insideV w:val="single" w:sz="6" w:space="0" w:color="AFCA0B" w:themeColor="accent5"/>
        </w:tcBorders>
        <w:shd w:val="clear" w:color="auto" w:fill="E4F77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3AAA35" w:themeColor="accent6"/>
        <w:left w:val="single" w:sz="8" w:space="0" w:color="3AAA35" w:themeColor="accent6"/>
        <w:bottom w:val="single" w:sz="8" w:space="0" w:color="3AAA35" w:themeColor="accent6"/>
        <w:right w:val="single" w:sz="8" w:space="0" w:color="3AAA35" w:themeColor="accent6"/>
        <w:insideH w:val="single" w:sz="8" w:space="0" w:color="3AAA35" w:themeColor="accent6"/>
        <w:insideV w:val="single" w:sz="8" w:space="0" w:color="3AAA35" w:themeColor="accent6"/>
      </w:tblBorders>
    </w:tblPr>
    <w:tcPr>
      <w:shd w:val="clear" w:color="auto" w:fill="CAEEC8" w:themeFill="accent6" w:themeFillTint="3F"/>
    </w:tcPr>
    <w:tblStylePr w:type="firstRow">
      <w:rPr>
        <w:b/>
        <w:bCs/>
        <w:color w:val="30353F" w:themeColor="text1"/>
      </w:rPr>
      <w:tblPr/>
      <w:tcPr>
        <w:shd w:val="clear" w:color="auto" w:fill="E9F8E9" w:themeFill="accent6" w:themeFillTint="19"/>
      </w:tcPr>
    </w:tblStylePr>
    <w:tblStylePr w:type="lastRow">
      <w:rPr>
        <w:b/>
        <w:bCs/>
        <w:color w:val="30353F" w:themeColor="text1"/>
      </w:rPr>
      <w:tblPr/>
      <w:tcPr>
        <w:tcBorders>
          <w:top w:val="single" w:sz="12" w:space="0" w:color="30353F" w:themeColor="text1"/>
          <w:left w:val="nil"/>
          <w:bottom w:val="nil"/>
          <w:right w:val="nil"/>
          <w:insideH w:val="nil"/>
          <w:insideV w:val="nil"/>
        </w:tcBorders>
        <w:shd w:val="clear" w:color="auto" w:fill="FFFFFF" w:themeFill="background1"/>
      </w:tcPr>
    </w:tblStylePr>
    <w:tblStylePr w:type="firstCol">
      <w:rPr>
        <w:b/>
        <w:bCs/>
        <w:color w:val="3035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53F" w:themeColor="text1"/>
      </w:rPr>
      <w:tblPr/>
      <w:tcPr>
        <w:tcBorders>
          <w:top w:val="nil"/>
          <w:left w:val="nil"/>
          <w:bottom w:val="nil"/>
          <w:right w:val="nil"/>
          <w:insideH w:val="nil"/>
          <w:insideV w:val="nil"/>
        </w:tcBorders>
        <w:shd w:val="clear" w:color="auto" w:fill="D4F1D3" w:themeFill="accent6" w:themeFillTint="33"/>
      </w:tcPr>
    </w:tblStylePr>
    <w:tblStylePr w:type="band1Vert">
      <w:tblPr/>
      <w:tcPr>
        <w:shd w:val="clear" w:color="auto" w:fill="94DD92" w:themeFill="accent6" w:themeFillTint="7F"/>
      </w:tcPr>
    </w:tblStylePr>
    <w:tblStylePr w:type="band1Horz">
      <w:tblPr/>
      <w:tcPr>
        <w:tcBorders>
          <w:insideH w:val="single" w:sz="6" w:space="0" w:color="3AAA35" w:themeColor="accent6"/>
          <w:insideV w:val="single" w:sz="6" w:space="0" w:color="3AAA35" w:themeColor="accent6"/>
        </w:tcBorders>
        <w:shd w:val="clear" w:color="auto" w:fill="94DD9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BD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0353F"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0353F"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0353F"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0353F"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97A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97A9" w:themeFill="text1" w:themeFillTint="7F"/>
      </w:tcPr>
    </w:tblStylePr>
  </w:style>
  <w:style w:type="table" w:styleId="MediumGrid3-Accent1">
    <w:name w:val="Medium Grid 3 Accent 1"/>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EB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4C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4C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4C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4C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D7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D7FF" w:themeFill="accent1" w:themeFillTint="7F"/>
      </w:tcPr>
    </w:tblStylePr>
  </w:style>
  <w:style w:type="table" w:styleId="MediumGrid3-Accent2">
    <w:name w:val="Medium Grid 3 Accent 2"/>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9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006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006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006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006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73B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73B5" w:themeFill="accent2" w:themeFillTint="7F"/>
      </w:tcPr>
    </w:tblStylePr>
  </w:style>
  <w:style w:type="table" w:styleId="MediumGrid3-Accent3">
    <w:name w:val="Medium Grid 3 Accent 3"/>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BA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227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227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227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227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74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74D7" w:themeFill="accent3" w:themeFillTint="7F"/>
      </w:tcPr>
    </w:tblStylePr>
  </w:style>
  <w:style w:type="table" w:styleId="MediumGrid3-Accent4">
    <w:name w:val="Medium Grid 3 Accent 4"/>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AF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124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124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124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124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5E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5E9F" w:themeFill="accent4" w:themeFillTint="7F"/>
      </w:tcPr>
    </w:tblStylePr>
  </w:style>
  <w:style w:type="table" w:styleId="MediumGrid3-Accent5">
    <w:name w:val="Medium Grid 3 Accent 5"/>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BB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CA0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CA0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CA0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CA0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F77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F772" w:themeFill="accent5" w:themeFillTint="7F"/>
      </w:tcPr>
    </w:tblStylePr>
  </w:style>
  <w:style w:type="table" w:styleId="MediumGrid3-Accent6">
    <w:name w:val="Medium Grid 3 Accent 6"/>
    <w:basedOn w:val="TableNormal"/>
    <w:uiPriority w:val="69"/>
    <w:semiHidden/>
    <w:unhideWhenUsed/>
    <w:rsid w:val="00DF245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E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AAA3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AAA3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AAA3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AAA3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DD9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DD92" w:themeFill="accent6" w:themeFillTint="7F"/>
      </w:tcPr>
    </w:tblStylePr>
  </w:style>
  <w:style w:type="table" w:styleId="MediumList1">
    <w:name w:val="Medium List 1"/>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30353F" w:themeColor="text1"/>
        <w:bottom w:val="single" w:sz="8" w:space="0" w:color="30353F" w:themeColor="text1"/>
      </w:tblBorders>
    </w:tblPr>
    <w:tblStylePr w:type="firstRow">
      <w:rPr>
        <w:rFonts w:asciiTheme="majorHAnsi" w:eastAsiaTheme="majorEastAsia" w:hAnsiTheme="majorHAnsi" w:cstheme="majorBidi"/>
      </w:rPr>
      <w:tblPr/>
      <w:tcPr>
        <w:tcBorders>
          <w:top w:val="nil"/>
          <w:bottom w:val="single" w:sz="8" w:space="0" w:color="30353F" w:themeColor="text1"/>
        </w:tcBorders>
      </w:tcPr>
    </w:tblStylePr>
    <w:tblStylePr w:type="lastRow">
      <w:rPr>
        <w:b/>
        <w:bCs/>
        <w:color w:val="000000" w:themeColor="text2"/>
      </w:rPr>
      <w:tblPr/>
      <w:tcPr>
        <w:tcBorders>
          <w:top w:val="single" w:sz="8" w:space="0" w:color="30353F" w:themeColor="text1"/>
          <w:bottom w:val="single" w:sz="8" w:space="0" w:color="30353F" w:themeColor="text1"/>
        </w:tcBorders>
      </w:tcPr>
    </w:tblStylePr>
    <w:tblStylePr w:type="firstCol">
      <w:rPr>
        <w:b/>
        <w:bCs/>
      </w:rPr>
    </w:tblStylePr>
    <w:tblStylePr w:type="lastCol">
      <w:rPr>
        <w:b/>
        <w:bCs/>
      </w:rPr>
      <w:tblPr/>
      <w:tcPr>
        <w:tcBorders>
          <w:top w:val="single" w:sz="8" w:space="0" w:color="30353F" w:themeColor="text1"/>
          <w:bottom w:val="single" w:sz="8" w:space="0" w:color="30353F" w:themeColor="text1"/>
        </w:tcBorders>
      </w:tcPr>
    </w:tblStylePr>
    <w:tblStylePr w:type="band1Vert">
      <w:tblPr/>
      <w:tcPr>
        <w:shd w:val="clear" w:color="auto" w:fill="C7CBD4" w:themeFill="text1" w:themeFillTint="3F"/>
      </w:tcPr>
    </w:tblStylePr>
    <w:tblStylePr w:type="band1Horz">
      <w:tblPr/>
      <w:tcPr>
        <w:shd w:val="clear" w:color="auto" w:fill="C7CBD4" w:themeFill="text1" w:themeFillTint="3F"/>
      </w:tcPr>
    </w:tblStylePr>
  </w:style>
  <w:style w:type="table" w:styleId="MediumList1-Accent1">
    <w:name w:val="Medium List 1 Accent 1"/>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0094C5" w:themeColor="accent1"/>
        <w:bottom w:val="single" w:sz="8" w:space="0" w:color="0094C5" w:themeColor="accent1"/>
      </w:tblBorders>
    </w:tblPr>
    <w:tblStylePr w:type="firstRow">
      <w:rPr>
        <w:rFonts w:asciiTheme="majorHAnsi" w:eastAsiaTheme="majorEastAsia" w:hAnsiTheme="majorHAnsi" w:cstheme="majorBidi"/>
      </w:rPr>
      <w:tblPr/>
      <w:tcPr>
        <w:tcBorders>
          <w:top w:val="nil"/>
          <w:bottom w:val="single" w:sz="8" w:space="0" w:color="0094C5" w:themeColor="accent1"/>
        </w:tcBorders>
      </w:tcPr>
    </w:tblStylePr>
    <w:tblStylePr w:type="lastRow">
      <w:rPr>
        <w:b/>
        <w:bCs/>
        <w:color w:val="000000" w:themeColor="text2"/>
      </w:rPr>
      <w:tblPr/>
      <w:tcPr>
        <w:tcBorders>
          <w:top w:val="single" w:sz="8" w:space="0" w:color="0094C5" w:themeColor="accent1"/>
          <w:bottom w:val="single" w:sz="8" w:space="0" w:color="0094C5" w:themeColor="accent1"/>
        </w:tcBorders>
      </w:tcPr>
    </w:tblStylePr>
    <w:tblStylePr w:type="firstCol">
      <w:rPr>
        <w:b/>
        <w:bCs/>
      </w:rPr>
    </w:tblStylePr>
    <w:tblStylePr w:type="lastCol">
      <w:rPr>
        <w:b/>
        <w:bCs/>
      </w:rPr>
      <w:tblPr/>
      <w:tcPr>
        <w:tcBorders>
          <w:top w:val="single" w:sz="8" w:space="0" w:color="0094C5" w:themeColor="accent1"/>
          <w:bottom w:val="single" w:sz="8" w:space="0" w:color="0094C5" w:themeColor="accent1"/>
        </w:tcBorders>
      </w:tcPr>
    </w:tblStylePr>
    <w:tblStylePr w:type="band1Vert">
      <w:tblPr/>
      <w:tcPr>
        <w:shd w:val="clear" w:color="auto" w:fill="B1EBFF" w:themeFill="accent1" w:themeFillTint="3F"/>
      </w:tcPr>
    </w:tblStylePr>
    <w:tblStylePr w:type="band1Horz">
      <w:tblPr/>
      <w:tcPr>
        <w:shd w:val="clear" w:color="auto" w:fill="B1EBFF" w:themeFill="accent1" w:themeFillTint="3F"/>
      </w:tcPr>
    </w:tblStylePr>
  </w:style>
  <w:style w:type="table" w:styleId="MediumList1-Accent2">
    <w:name w:val="Medium List 1 Accent 2"/>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E5006D" w:themeColor="accent2"/>
        <w:bottom w:val="single" w:sz="8" w:space="0" w:color="E5006D" w:themeColor="accent2"/>
      </w:tblBorders>
    </w:tblPr>
    <w:tblStylePr w:type="firstRow">
      <w:rPr>
        <w:rFonts w:asciiTheme="majorHAnsi" w:eastAsiaTheme="majorEastAsia" w:hAnsiTheme="majorHAnsi" w:cstheme="majorBidi"/>
      </w:rPr>
      <w:tblPr/>
      <w:tcPr>
        <w:tcBorders>
          <w:top w:val="nil"/>
          <w:bottom w:val="single" w:sz="8" w:space="0" w:color="E5006D" w:themeColor="accent2"/>
        </w:tcBorders>
      </w:tcPr>
    </w:tblStylePr>
    <w:tblStylePr w:type="lastRow">
      <w:rPr>
        <w:b/>
        <w:bCs/>
        <w:color w:val="000000" w:themeColor="text2"/>
      </w:rPr>
      <w:tblPr/>
      <w:tcPr>
        <w:tcBorders>
          <w:top w:val="single" w:sz="8" w:space="0" w:color="E5006D" w:themeColor="accent2"/>
          <w:bottom w:val="single" w:sz="8" w:space="0" w:color="E5006D" w:themeColor="accent2"/>
        </w:tcBorders>
      </w:tcPr>
    </w:tblStylePr>
    <w:tblStylePr w:type="firstCol">
      <w:rPr>
        <w:b/>
        <w:bCs/>
      </w:rPr>
    </w:tblStylePr>
    <w:tblStylePr w:type="lastCol">
      <w:rPr>
        <w:b/>
        <w:bCs/>
      </w:rPr>
      <w:tblPr/>
      <w:tcPr>
        <w:tcBorders>
          <w:top w:val="single" w:sz="8" w:space="0" w:color="E5006D" w:themeColor="accent2"/>
          <w:bottom w:val="single" w:sz="8" w:space="0" w:color="E5006D" w:themeColor="accent2"/>
        </w:tcBorders>
      </w:tcPr>
    </w:tblStylePr>
    <w:tblStylePr w:type="band1Vert">
      <w:tblPr/>
      <w:tcPr>
        <w:shd w:val="clear" w:color="auto" w:fill="FFB9DA" w:themeFill="accent2" w:themeFillTint="3F"/>
      </w:tcPr>
    </w:tblStylePr>
    <w:tblStylePr w:type="band1Horz">
      <w:tblPr/>
      <w:tcPr>
        <w:shd w:val="clear" w:color="auto" w:fill="FFB9DA" w:themeFill="accent2" w:themeFillTint="3F"/>
      </w:tcPr>
    </w:tblStylePr>
  </w:style>
  <w:style w:type="table" w:styleId="MediumList1-Accent3">
    <w:name w:val="Medium List 1 Accent 3"/>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2C2276" w:themeColor="accent3"/>
        <w:bottom w:val="single" w:sz="8" w:space="0" w:color="2C2276" w:themeColor="accent3"/>
      </w:tblBorders>
    </w:tblPr>
    <w:tblStylePr w:type="firstRow">
      <w:rPr>
        <w:rFonts w:asciiTheme="majorHAnsi" w:eastAsiaTheme="majorEastAsia" w:hAnsiTheme="majorHAnsi" w:cstheme="majorBidi"/>
      </w:rPr>
      <w:tblPr/>
      <w:tcPr>
        <w:tcBorders>
          <w:top w:val="nil"/>
          <w:bottom w:val="single" w:sz="8" w:space="0" w:color="2C2276" w:themeColor="accent3"/>
        </w:tcBorders>
      </w:tcPr>
    </w:tblStylePr>
    <w:tblStylePr w:type="lastRow">
      <w:rPr>
        <w:b/>
        <w:bCs/>
        <w:color w:val="000000" w:themeColor="text2"/>
      </w:rPr>
      <w:tblPr/>
      <w:tcPr>
        <w:tcBorders>
          <w:top w:val="single" w:sz="8" w:space="0" w:color="2C2276" w:themeColor="accent3"/>
          <w:bottom w:val="single" w:sz="8" w:space="0" w:color="2C2276" w:themeColor="accent3"/>
        </w:tcBorders>
      </w:tcPr>
    </w:tblStylePr>
    <w:tblStylePr w:type="firstCol">
      <w:rPr>
        <w:b/>
        <w:bCs/>
      </w:rPr>
    </w:tblStylePr>
    <w:tblStylePr w:type="lastCol">
      <w:rPr>
        <w:b/>
        <w:bCs/>
      </w:rPr>
      <w:tblPr/>
      <w:tcPr>
        <w:tcBorders>
          <w:top w:val="single" w:sz="8" w:space="0" w:color="2C2276" w:themeColor="accent3"/>
          <w:bottom w:val="single" w:sz="8" w:space="0" w:color="2C2276" w:themeColor="accent3"/>
        </w:tcBorders>
      </w:tcPr>
    </w:tblStylePr>
    <w:tblStylePr w:type="band1Vert">
      <w:tblPr/>
      <w:tcPr>
        <w:shd w:val="clear" w:color="auto" w:fill="BFBAEB" w:themeFill="accent3" w:themeFillTint="3F"/>
      </w:tcPr>
    </w:tblStylePr>
    <w:tblStylePr w:type="band1Horz">
      <w:tblPr/>
      <w:tcPr>
        <w:shd w:val="clear" w:color="auto" w:fill="BFBAEB" w:themeFill="accent3" w:themeFillTint="3F"/>
      </w:tcPr>
    </w:tblStylePr>
  </w:style>
  <w:style w:type="table" w:styleId="MediumList1-Accent4">
    <w:name w:val="Medium List 1 Accent 4"/>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7B1244" w:themeColor="accent4"/>
        <w:bottom w:val="single" w:sz="8" w:space="0" w:color="7B1244" w:themeColor="accent4"/>
      </w:tblBorders>
    </w:tblPr>
    <w:tblStylePr w:type="firstRow">
      <w:rPr>
        <w:rFonts w:asciiTheme="majorHAnsi" w:eastAsiaTheme="majorEastAsia" w:hAnsiTheme="majorHAnsi" w:cstheme="majorBidi"/>
      </w:rPr>
      <w:tblPr/>
      <w:tcPr>
        <w:tcBorders>
          <w:top w:val="nil"/>
          <w:bottom w:val="single" w:sz="8" w:space="0" w:color="7B1244" w:themeColor="accent4"/>
        </w:tcBorders>
      </w:tcPr>
    </w:tblStylePr>
    <w:tblStylePr w:type="lastRow">
      <w:rPr>
        <w:b/>
        <w:bCs/>
        <w:color w:val="000000" w:themeColor="text2"/>
      </w:rPr>
      <w:tblPr/>
      <w:tcPr>
        <w:tcBorders>
          <w:top w:val="single" w:sz="8" w:space="0" w:color="7B1244" w:themeColor="accent4"/>
          <w:bottom w:val="single" w:sz="8" w:space="0" w:color="7B1244" w:themeColor="accent4"/>
        </w:tcBorders>
      </w:tcPr>
    </w:tblStylePr>
    <w:tblStylePr w:type="firstCol">
      <w:rPr>
        <w:b/>
        <w:bCs/>
      </w:rPr>
    </w:tblStylePr>
    <w:tblStylePr w:type="lastCol">
      <w:rPr>
        <w:b/>
        <w:bCs/>
      </w:rPr>
      <w:tblPr/>
      <w:tcPr>
        <w:tcBorders>
          <w:top w:val="single" w:sz="8" w:space="0" w:color="7B1244" w:themeColor="accent4"/>
          <w:bottom w:val="single" w:sz="8" w:space="0" w:color="7B1244" w:themeColor="accent4"/>
        </w:tcBorders>
      </w:tcPr>
    </w:tblStylePr>
    <w:tblStylePr w:type="band1Vert">
      <w:tblPr/>
      <w:tcPr>
        <w:shd w:val="clear" w:color="auto" w:fill="F3AFCF" w:themeFill="accent4" w:themeFillTint="3F"/>
      </w:tcPr>
    </w:tblStylePr>
    <w:tblStylePr w:type="band1Horz">
      <w:tblPr/>
      <w:tcPr>
        <w:shd w:val="clear" w:color="auto" w:fill="F3AFCF" w:themeFill="accent4" w:themeFillTint="3F"/>
      </w:tcPr>
    </w:tblStylePr>
  </w:style>
  <w:style w:type="table" w:styleId="MediumList1-Accent5">
    <w:name w:val="Medium List 1 Accent 5"/>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AFCA0B" w:themeColor="accent5"/>
        <w:bottom w:val="single" w:sz="8" w:space="0" w:color="AFCA0B" w:themeColor="accent5"/>
      </w:tblBorders>
    </w:tblPr>
    <w:tblStylePr w:type="firstRow">
      <w:rPr>
        <w:rFonts w:asciiTheme="majorHAnsi" w:eastAsiaTheme="majorEastAsia" w:hAnsiTheme="majorHAnsi" w:cstheme="majorBidi"/>
      </w:rPr>
      <w:tblPr/>
      <w:tcPr>
        <w:tcBorders>
          <w:top w:val="nil"/>
          <w:bottom w:val="single" w:sz="8" w:space="0" w:color="AFCA0B" w:themeColor="accent5"/>
        </w:tcBorders>
      </w:tcPr>
    </w:tblStylePr>
    <w:tblStylePr w:type="lastRow">
      <w:rPr>
        <w:b/>
        <w:bCs/>
        <w:color w:val="000000" w:themeColor="text2"/>
      </w:rPr>
      <w:tblPr/>
      <w:tcPr>
        <w:tcBorders>
          <w:top w:val="single" w:sz="8" w:space="0" w:color="AFCA0B" w:themeColor="accent5"/>
          <w:bottom w:val="single" w:sz="8" w:space="0" w:color="AFCA0B" w:themeColor="accent5"/>
        </w:tcBorders>
      </w:tcPr>
    </w:tblStylePr>
    <w:tblStylePr w:type="firstCol">
      <w:rPr>
        <w:b/>
        <w:bCs/>
      </w:rPr>
    </w:tblStylePr>
    <w:tblStylePr w:type="lastCol">
      <w:rPr>
        <w:b/>
        <w:bCs/>
      </w:rPr>
      <w:tblPr/>
      <w:tcPr>
        <w:tcBorders>
          <w:top w:val="single" w:sz="8" w:space="0" w:color="AFCA0B" w:themeColor="accent5"/>
          <w:bottom w:val="single" w:sz="8" w:space="0" w:color="AFCA0B" w:themeColor="accent5"/>
        </w:tcBorders>
      </w:tcPr>
    </w:tblStylePr>
    <w:tblStylePr w:type="band1Vert">
      <w:tblPr/>
      <w:tcPr>
        <w:shd w:val="clear" w:color="auto" w:fill="F1FBB9" w:themeFill="accent5" w:themeFillTint="3F"/>
      </w:tcPr>
    </w:tblStylePr>
    <w:tblStylePr w:type="band1Horz">
      <w:tblPr/>
      <w:tcPr>
        <w:shd w:val="clear" w:color="auto" w:fill="F1FBB9" w:themeFill="accent5" w:themeFillTint="3F"/>
      </w:tcPr>
    </w:tblStylePr>
  </w:style>
  <w:style w:type="table" w:styleId="MediumList1-Accent6">
    <w:name w:val="Medium List 1 Accent 6"/>
    <w:basedOn w:val="TableNormal"/>
    <w:uiPriority w:val="65"/>
    <w:semiHidden/>
    <w:unhideWhenUsed/>
    <w:rsid w:val="00DF245D"/>
    <w:pPr>
      <w:spacing w:after="0" w:line="240" w:lineRule="auto"/>
    </w:pPr>
    <w:rPr>
      <w:color w:val="30353F" w:themeColor="text1"/>
    </w:rPr>
    <w:tblPr>
      <w:tblStyleRowBandSize w:val="1"/>
      <w:tblStyleColBandSize w:val="1"/>
      <w:tblBorders>
        <w:top w:val="single" w:sz="8" w:space="0" w:color="3AAA35" w:themeColor="accent6"/>
        <w:bottom w:val="single" w:sz="8" w:space="0" w:color="3AAA35" w:themeColor="accent6"/>
      </w:tblBorders>
    </w:tblPr>
    <w:tblStylePr w:type="firstRow">
      <w:rPr>
        <w:rFonts w:asciiTheme="majorHAnsi" w:eastAsiaTheme="majorEastAsia" w:hAnsiTheme="majorHAnsi" w:cstheme="majorBidi"/>
      </w:rPr>
      <w:tblPr/>
      <w:tcPr>
        <w:tcBorders>
          <w:top w:val="nil"/>
          <w:bottom w:val="single" w:sz="8" w:space="0" w:color="3AAA35" w:themeColor="accent6"/>
        </w:tcBorders>
      </w:tcPr>
    </w:tblStylePr>
    <w:tblStylePr w:type="lastRow">
      <w:rPr>
        <w:b/>
        <w:bCs/>
        <w:color w:val="000000" w:themeColor="text2"/>
      </w:rPr>
      <w:tblPr/>
      <w:tcPr>
        <w:tcBorders>
          <w:top w:val="single" w:sz="8" w:space="0" w:color="3AAA35" w:themeColor="accent6"/>
          <w:bottom w:val="single" w:sz="8" w:space="0" w:color="3AAA35" w:themeColor="accent6"/>
        </w:tcBorders>
      </w:tcPr>
    </w:tblStylePr>
    <w:tblStylePr w:type="firstCol">
      <w:rPr>
        <w:b/>
        <w:bCs/>
      </w:rPr>
    </w:tblStylePr>
    <w:tblStylePr w:type="lastCol">
      <w:rPr>
        <w:b/>
        <w:bCs/>
      </w:rPr>
      <w:tblPr/>
      <w:tcPr>
        <w:tcBorders>
          <w:top w:val="single" w:sz="8" w:space="0" w:color="3AAA35" w:themeColor="accent6"/>
          <w:bottom w:val="single" w:sz="8" w:space="0" w:color="3AAA35" w:themeColor="accent6"/>
        </w:tcBorders>
      </w:tcPr>
    </w:tblStylePr>
    <w:tblStylePr w:type="band1Vert">
      <w:tblPr/>
      <w:tcPr>
        <w:shd w:val="clear" w:color="auto" w:fill="CAEEC8" w:themeFill="accent6" w:themeFillTint="3F"/>
      </w:tcPr>
    </w:tblStylePr>
    <w:tblStylePr w:type="band1Horz">
      <w:tblPr/>
      <w:tcPr>
        <w:shd w:val="clear" w:color="auto" w:fill="CAEEC8" w:themeFill="accent6" w:themeFillTint="3F"/>
      </w:tcPr>
    </w:tblStylePr>
  </w:style>
  <w:style w:type="table" w:styleId="MediumList2">
    <w:name w:val="Medium List 2"/>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30353F" w:themeColor="text1"/>
        <w:left w:val="single" w:sz="8" w:space="0" w:color="30353F" w:themeColor="text1"/>
        <w:bottom w:val="single" w:sz="8" w:space="0" w:color="30353F" w:themeColor="text1"/>
        <w:right w:val="single" w:sz="8" w:space="0" w:color="30353F" w:themeColor="text1"/>
      </w:tblBorders>
    </w:tblPr>
    <w:tblStylePr w:type="firstRow">
      <w:rPr>
        <w:sz w:val="24"/>
        <w:szCs w:val="24"/>
      </w:rPr>
      <w:tblPr/>
      <w:tcPr>
        <w:tcBorders>
          <w:top w:val="nil"/>
          <w:left w:val="nil"/>
          <w:bottom w:val="single" w:sz="24" w:space="0" w:color="30353F" w:themeColor="text1"/>
          <w:right w:val="nil"/>
          <w:insideH w:val="nil"/>
          <w:insideV w:val="nil"/>
        </w:tcBorders>
        <w:shd w:val="clear" w:color="auto" w:fill="FFFFFF" w:themeFill="background1"/>
      </w:tcPr>
    </w:tblStylePr>
    <w:tblStylePr w:type="lastRow">
      <w:tblPr/>
      <w:tcPr>
        <w:tcBorders>
          <w:top w:val="single" w:sz="8" w:space="0" w:color="30353F"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0353F" w:themeColor="text1"/>
          <w:insideH w:val="nil"/>
          <w:insideV w:val="nil"/>
        </w:tcBorders>
        <w:shd w:val="clear" w:color="auto" w:fill="FFFFFF" w:themeFill="background1"/>
      </w:tcPr>
    </w:tblStylePr>
    <w:tblStylePr w:type="lastCol">
      <w:tblPr/>
      <w:tcPr>
        <w:tcBorders>
          <w:top w:val="nil"/>
          <w:left w:val="single" w:sz="8" w:space="0" w:color="30353F"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BD4" w:themeFill="text1" w:themeFillTint="3F"/>
      </w:tcPr>
    </w:tblStylePr>
    <w:tblStylePr w:type="band1Horz">
      <w:tblPr/>
      <w:tcPr>
        <w:tcBorders>
          <w:top w:val="nil"/>
          <w:bottom w:val="nil"/>
          <w:insideH w:val="nil"/>
          <w:insideV w:val="nil"/>
        </w:tcBorders>
        <w:shd w:val="clear" w:color="auto" w:fill="C7CBD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0094C5" w:themeColor="accent1"/>
        <w:left w:val="single" w:sz="8" w:space="0" w:color="0094C5" w:themeColor="accent1"/>
        <w:bottom w:val="single" w:sz="8" w:space="0" w:color="0094C5" w:themeColor="accent1"/>
        <w:right w:val="single" w:sz="8" w:space="0" w:color="0094C5" w:themeColor="accent1"/>
      </w:tblBorders>
    </w:tblPr>
    <w:tblStylePr w:type="firstRow">
      <w:rPr>
        <w:sz w:val="24"/>
        <w:szCs w:val="24"/>
      </w:rPr>
      <w:tblPr/>
      <w:tcPr>
        <w:tcBorders>
          <w:top w:val="nil"/>
          <w:left w:val="nil"/>
          <w:bottom w:val="single" w:sz="24" w:space="0" w:color="0094C5" w:themeColor="accent1"/>
          <w:right w:val="nil"/>
          <w:insideH w:val="nil"/>
          <w:insideV w:val="nil"/>
        </w:tcBorders>
        <w:shd w:val="clear" w:color="auto" w:fill="FFFFFF" w:themeFill="background1"/>
      </w:tcPr>
    </w:tblStylePr>
    <w:tblStylePr w:type="lastRow">
      <w:tblPr/>
      <w:tcPr>
        <w:tcBorders>
          <w:top w:val="single" w:sz="8" w:space="0" w:color="0094C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4C5" w:themeColor="accent1"/>
          <w:insideH w:val="nil"/>
          <w:insideV w:val="nil"/>
        </w:tcBorders>
        <w:shd w:val="clear" w:color="auto" w:fill="FFFFFF" w:themeFill="background1"/>
      </w:tcPr>
    </w:tblStylePr>
    <w:tblStylePr w:type="lastCol">
      <w:tblPr/>
      <w:tcPr>
        <w:tcBorders>
          <w:top w:val="nil"/>
          <w:left w:val="single" w:sz="8" w:space="0" w:color="0094C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EBFF" w:themeFill="accent1" w:themeFillTint="3F"/>
      </w:tcPr>
    </w:tblStylePr>
    <w:tblStylePr w:type="band1Horz">
      <w:tblPr/>
      <w:tcPr>
        <w:tcBorders>
          <w:top w:val="nil"/>
          <w:bottom w:val="nil"/>
          <w:insideH w:val="nil"/>
          <w:insideV w:val="nil"/>
        </w:tcBorders>
        <w:shd w:val="clear" w:color="auto" w:fill="B1EB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E5006D" w:themeColor="accent2"/>
        <w:left w:val="single" w:sz="8" w:space="0" w:color="E5006D" w:themeColor="accent2"/>
        <w:bottom w:val="single" w:sz="8" w:space="0" w:color="E5006D" w:themeColor="accent2"/>
        <w:right w:val="single" w:sz="8" w:space="0" w:color="E5006D" w:themeColor="accent2"/>
      </w:tblBorders>
    </w:tblPr>
    <w:tblStylePr w:type="firstRow">
      <w:rPr>
        <w:sz w:val="24"/>
        <w:szCs w:val="24"/>
      </w:rPr>
      <w:tblPr/>
      <w:tcPr>
        <w:tcBorders>
          <w:top w:val="nil"/>
          <w:left w:val="nil"/>
          <w:bottom w:val="single" w:sz="24" w:space="0" w:color="E5006D" w:themeColor="accent2"/>
          <w:right w:val="nil"/>
          <w:insideH w:val="nil"/>
          <w:insideV w:val="nil"/>
        </w:tcBorders>
        <w:shd w:val="clear" w:color="auto" w:fill="FFFFFF" w:themeFill="background1"/>
      </w:tcPr>
    </w:tblStylePr>
    <w:tblStylePr w:type="lastRow">
      <w:tblPr/>
      <w:tcPr>
        <w:tcBorders>
          <w:top w:val="single" w:sz="8" w:space="0" w:color="E5006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006D" w:themeColor="accent2"/>
          <w:insideH w:val="nil"/>
          <w:insideV w:val="nil"/>
        </w:tcBorders>
        <w:shd w:val="clear" w:color="auto" w:fill="FFFFFF" w:themeFill="background1"/>
      </w:tcPr>
    </w:tblStylePr>
    <w:tblStylePr w:type="lastCol">
      <w:tblPr/>
      <w:tcPr>
        <w:tcBorders>
          <w:top w:val="nil"/>
          <w:left w:val="single" w:sz="8" w:space="0" w:color="E5006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9DA" w:themeFill="accent2" w:themeFillTint="3F"/>
      </w:tcPr>
    </w:tblStylePr>
    <w:tblStylePr w:type="band1Horz">
      <w:tblPr/>
      <w:tcPr>
        <w:tcBorders>
          <w:top w:val="nil"/>
          <w:bottom w:val="nil"/>
          <w:insideH w:val="nil"/>
          <w:insideV w:val="nil"/>
        </w:tcBorders>
        <w:shd w:val="clear" w:color="auto" w:fill="FFB9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2C2276" w:themeColor="accent3"/>
        <w:left w:val="single" w:sz="8" w:space="0" w:color="2C2276" w:themeColor="accent3"/>
        <w:bottom w:val="single" w:sz="8" w:space="0" w:color="2C2276" w:themeColor="accent3"/>
        <w:right w:val="single" w:sz="8" w:space="0" w:color="2C2276" w:themeColor="accent3"/>
      </w:tblBorders>
    </w:tblPr>
    <w:tblStylePr w:type="firstRow">
      <w:rPr>
        <w:sz w:val="24"/>
        <w:szCs w:val="24"/>
      </w:rPr>
      <w:tblPr/>
      <w:tcPr>
        <w:tcBorders>
          <w:top w:val="nil"/>
          <w:left w:val="nil"/>
          <w:bottom w:val="single" w:sz="24" w:space="0" w:color="2C2276" w:themeColor="accent3"/>
          <w:right w:val="nil"/>
          <w:insideH w:val="nil"/>
          <w:insideV w:val="nil"/>
        </w:tcBorders>
        <w:shd w:val="clear" w:color="auto" w:fill="FFFFFF" w:themeFill="background1"/>
      </w:tcPr>
    </w:tblStylePr>
    <w:tblStylePr w:type="lastRow">
      <w:tblPr/>
      <w:tcPr>
        <w:tcBorders>
          <w:top w:val="single" w:sz="8" w:space="0" w:color="2C227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2276" w:themeColor="accent3"/>
          <w:insideH w:val="nil"/>
          <w:insideV w:val="nil"/>
        </w:tcBorders>
        <w:shd w:val="clear" w:color="auto" w:fill="FFFFFF" w:themeFill="background1"/>
      </w:tcPr>
    </w:tblStylePr>
    <w:tblStylePr w:type="lastCol">
      <w:tblPr/>
      <w:tcPr>
        <w:tcBorders>
          <w:top w:val="nil"/>
          <w:left w:val="single" w:sz="8" w:space="0" w:color="2C227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AEB" w:themeFill="accent3" w:themeFillTint="3F"/>
      </w:tcPr>
    </w:tblStylePr>
    <w:tblStylePr w:type="band1Horz">
      <w:tblPr/>
      <w:tcPr>
        <w:tcBorders>
          <w:top w:val="nil"/>
          <w:bottom w:val="nil"/>
          <w:insideH w:val="nil"/>
          <w:insideV w:val="nil"/>
        </w:tcBorders>
        <w:shd w:val="clear" w:color="auto" w:fill="BFBA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7B1244" w:themeColor="accent4"/>
        <w:left w:val="single" w:sz="8" w:space="0" w:color="7B1244" w:themeColor="accent4"/>
        <w:bottom w:val="single" w:sz="8" w:space="0" w:color="7B1244" w:themeColor="accent4"/>
        <w:right w:val="single" w:sz="8" w:space="0" w:color="7B1244" w:themeColor="accent4"/>
      </w:tblBorders>
    </w:tblPr>
    <w:tblStylePr w:type="firstRow">
      <w:rPr>
        <w:sz w:val="24"/>
        <w:szCs w:val="24"/>
      </w:rPr>
      <w:tblPr/>
      <w:tcPr>
        <w:tcBorders>
          <w:top w:val="nil"/>
          <w:left w:val="nil"/>
          <w:bottom w:val="single" w:sz="24" w:space="0" w:color="7B1244" w:themeColor="accent4"/>
          <w:right w:val="nil"/>
          <w:insideH w:val="nil"/>
          <w:insideV w:val="nil"/>
        </w:tcBorders>
        <w:shd w:val="clear" w:color="auto" w:fill="FFFFFF" w:themeFill="background1"/>
      </w:tcPr>
    </w:tblStylePr>
    <w:tblStylePr w:type="lastRow">
      <w:tblPr/>
      <w:tcPr>
        <w:tcBorders>
          <w:top w:val="single" w:sz="8" w:space="0" w:color="7B124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1244" w:themeColor="accent4"/>
          <w:insideH w:val="nil"/>
          <w:insideV w:val="nil"/>
        </w:tcBorders>
        <w:shd w:val="clear" w:color="auto" w:fill="FFFFFF" w:themeFill="background1"/>
      </w:tcPr>
    </w:tblStylePr>
    <w:tblStylePr w:type="lastCol">
      <w:tblPr/>
      <w:tcPr>
        <w:tcBorders>
          <w:top w:val="nil"/>
          <w:left w:val="single" w:sz="8" w:space="0" w:color="7B124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AFCF" w:themeFill="accent4" w:themeFillTint="3F"/>
      </w:tcPr>
    </w:tblStylePr>
    <w:tblStylePr w:type="band1Horz">
      <w:tblPr/>
      <w:tcPr>
        <w:tcBorders>
          <w:top w:val="nil"/>
          <w:bottom w:val="nil"/>
          <w:insideH w:val="nil"/>
          <w:insideV w:val="nil"/>
        </w:tcBorders>
        <w:shd w:val="clear" w:color="auto" w:fill="F3AF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AFCA0B" w:themeColor="accent5"/>
        <w:left w:val="single" w:sz="8" w:space="0" w:color="AFCA0B" w:themeColor="accent5"/>
        <w:bottom w:val="single" w:sz="8" w:space="0" w:color="AFCA0B" w:themeColor="accent5"/>
        <w:right w:val="single" w:sz="8" w:space="0" w:color="AFCA0B" w:themeColor="accent5"/>
      </w:tblBorders>
    </w:tblPr>
    <w:tblStylePr w:type="firstRow">
      <w:rPr>
        <w:sz w:val="24"/>
        <w:szCs w:val="24"/>
      </w:rPr>
      <w:tblPr/>
      <w:tcPr>
        <w:tcBorders>
          <w:top w:val="nil"/>
          <w:left w:val="nil"/>
          <w:bottom w:val="single" w:sz="24" w:space="0" w:color="AFCA0B" w:themeColor="accent5"/>
          <w:right w:val="nil"/>
          <w:insideH w:val="nil"/>
          <w:insideV w:val="nil"/>
        </w:tcBorders>
        <w:shd w:val="clear" w:color="auto" w:fill="FFFFFF" w:themeFill="background1"/>
      </w:tcPr>
    </w:tblStylePr>
    <w:tblStylePr w:type="lastRow">
      <w:tblPr/>
      <w:tcPr>
        <w:tcBorders>
          <w:top w:val="single" w:sz="8" w:space="0" w:color="AFCA0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CA0B" w:themeColor="accent5"/>
          <w:insideH w:val="nil"/>
          <w:insideV w:val="nil"/>
        </w:tcBorders>
        <w:shd w:val="clear" w:color="auto" w:fill="FFFFFF" w:themeFill="background1"/>
      </w:tcPr>
    </w:tblStylePr>
    <w:tblStylePr w:type="lastCol">
      <w:tblPr/>
      <w:tcPr>
        <w:tcBorders>
          <w:top w:val="nil"/>
          <w:left w:val="single" w:sz="8" w:space="0" w:color="AFCA0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BB9" w:themeFill="accent5" w:themeFillTint="3F"/>
      </w:tcPr>
    </w:tblStylePr>
    <w:tblStylePr w:type="band1Horz">
      <w:tblPr/>
      <w:tcPr>
        <w:tcBorders>
          <w:top w:val="nil"/>
          <w:bottom w:val="nil"/>
          <w:insideH w:val="nil"/>
          <w:insideV w:val="nil"/>
        </w:tcBorders>
        <w:shd w:val="clear" w:color="auto" w:fill="F1FBB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F245D"/>
    <w:pPr>
      <w:spacing w:after="0" w:line="240" w:lineRule="auto"/>
    </w:pPr>
    <w:rPr>
      <w:rFonts w:asciiTheme="majorHAnsi" w:eastAsiaTheme="majorEastAsia" w:hAnsiTheme="majorHAnsi" w:cstheme="majorBidi"/>
      <w:color w:val="30353F" w:themeColor="text1"/>
    </w:rPr>
    <w:tblPr>
      <w:tblStyleRowBandSize w:val="1"/>
      <w:tblStyleColBandSize w:val="1"/>
      <w:tblBorders>
        <w:top w:val="single" w:sz="8" w:space="0" w:color="3AAA35" w:themeColor="accent6"/>
        <w:left w:val="single" w:sz="8" w:space="0" w:color="3AAA35" w:themeColor="accent6"/>
        <w:bottom w:val="single" w:sz="8" w:space="0" w:color="3AAA35" w:themeColor="accent6"/>
        <w:right w:val="single" w:sz="8" w:space="0" w:color="3AAA35" w:themeColor="accent6"/>
      </w:tblBorders>
    </w:tblPr>
    <w:tblStylePr w:type="firstRow">
      <w:rPr>
        <w:sz w:val="24"/>
        <w:szCs w:val="24"/>
      </w:rPr>
      <w:tblPr/>
      <w:tcPr>
        <w:tcBorders>
          <w:top w:val="nil"/>
          <w:left w:val="nil"/>
          <w:bottom w:val="single" w:sz="24" w:space="0" w:color="3AAA35" w:themeColor="accent6"/>
          <w:right w:val="nil"/>
          <w:insideH w:val="nil"/>
          <w:insideV w:val="nil"/>
        </w:tcBorders>
        <w:shd w:val="clear" w:color="auto" w:fill="FFFFFF" w:themeFill="background1"/>
      </w:tcPr>
    </w:tblStylePr>
    <w:tblStylePr w:type="lastRow">
      <w:tblPr/>
      <w:tcPr>
        <w:tcBorders>
          <w:top w:val="single" w:sz="8" w:space="0" w:color="3AAA3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AAA35" w:themeColor="accent6"/>
          <w:insideH w:val="nil"/>
          <w:insideV w:val="nil"/>
        </w:tcBorders>
        <w:shd w:val="clear" w:color="auto" w:fill="FFFFFF" w:themeFill="background1"/>
      </w:tcPr>
    </w:tblStylePr>
    <w:tblStylePr w:type="lastCol">
      <w:tblPr/>
      <w:tcPr>
        <w:tcBorders>
          <w:top w:val="nil"/>
          <w:left w:val="single" w:sz="8" w:space="0" w:color="3AAA3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EC8" w:themeFill="accent6" w:themeFillTint="3F"/>
      </w:tcPr>
    </w:tblStylePr>
    <w:tblStylePr w:type="band1Horz">
      <w:tblPr/>
      <w:tcPr>
        <w:tcBorders>
          <w:top w:val="nil"/>
          <w:bottom w:val="nil"/>
          <w:insideH w:val="nil"/>
          <w:insideV w:val="nil"/>
        </w:tcBorders>
        <w:shd w:val="clear" w:color="auto" w:fill="CAEE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F245D"/>
    <w:pPr>
      <w:spacing w:after="0" w:line="240" w:lineRule="auto"/>
    </w:pPr>
    <w:tblPr>
      <w:tblStyleRowBandSize w:val="1"/>
      <w:tblStyleColBandSize w:val="1"/>
      <w:tblBorders>
        <w:top w:val="single" w:sz="8" w:space="0" w:color="5B6477" w:themeColor="text1" w:themeTint="BF"/>
        <w:left w:val="single" w:sz="8" w:space="0" w:color="5B6477" w:themeColor="text1" w:themeTint="BF"/>
        <w:bottom w:val="single" w:sz="8" w:space="0" w:color="5B6477" w:themeColor="text1" w:themeTint="BF"/>
        <w:right w:val="single" w:sz="8" w:space="0" w:color="5B6477" w:themeColor="text1" w:themeTint="BF"/>
        <w:insideH w:val="single" w:sz="8" w:space="0" w:color="5B6477" w:themeColor="text1" w:themeTint="BF"/>
      </w:tblBorders>
    </w:tblPr>
    <w:tblStylePr w:type="firstRow">
      <w:pPr>
        <w:spacing w:before="0" w:after="0" w:line="240" w:lineRule="auto"/>
      </w:pPr>
      <w:rPr>
        <w:b/>
        <w:bCs/>
        <w:color w:val="FFFFFF" w:themeColor="background1"/>
      </w:rPr>
      <w:tblPr/>
      <w:tcPr>
        <w:tcBorders>
          <w:top w:val="single" w:sz="8" w:space="0" w:color="5B6477" w:themeColor="text1" w:themeTint="BF"/>
          <w:left w:val="single" w:sz="8" w:space="0" w:color="5B6477" w:themeColor="text1" w:themeTint="BF"/>
          <w:bottom w:val="single" w:sz="8" w:space="0" w:color="5B6477" w:themeColor="text1" w:themeTint="BF"/>
          <w:right w:val="single" w:sz="8" w:space="0" w:color="5B6477" w:themeColor="text1" w:themeTint="BF"/>
          <w:insideH w:val="nil"/>
          <w:insideV w:val="nil"/>
        </w:tcBorders>
        <w:shd w:val="clear" w:color="auto" w:fill="30353F" w:themeFill="text1"/>
      </w:tcPr>
    </w:tblStylePr>
    <w:tblStylePr w:type="lastRow">
      <w:pPr>
        <w:spacing w:before="0" w:after="0" w:line="240" w:lineRule="auto"/>
      </w:pPr>
      <w:rPr>
        <w:b/>
        <w:bCs/>
      </w:rPr>
      <w:tblPr/>
      <w:tcPr>
        <w:tcBorders>
          <w:top w:val="double" w:sz="6" w:space="0" w:color="5B6477" w:themeColor="text1" w:themeTint="BF"/>
          <w:left w:val="single" w:sz="8" w:space="0" w:color="5B6477" w:themeColor="text1" w:themeTint="BF"/>
          <w:bottom w:val="single" w:sz="8" w:space="0" w:color="5B6477" w:themeColor="text1" w:themeTint="BF"/>
          <w:right w:val="single" w:sz="8" w:space="0" w:color="5B6477" w:themeColor="text1" w:themeTint="BF"/>
          <w:insideH w:val="nil"/>
          <w:insideV w:val="nil"/>
        </w:tcBorders>
      </w:tcPr>
    </w:tblStylePr>
    <w:tblStylePr w:type="firstCol">
      <w:rPr>
        <w:b/>
        <w:bCs/>
      </w:rPr>
    </w:tblStylePr>
    <w:tblStylePr w:type="lastCol">
      <w:rPr>
        <w:b/>
        <w:bCs/>
      </w:rPr>
    </w:tblStylePr>
    <w:tblStylePr w:type="band1Vert">
      <w:tblPr/>
      <w:tcPr>
        <w:shd w:val="clear" w:color="auto" w:fill="C7CBD4" w:themeFill="text1" w:themeFillTint="3F"/>
      </w:tcPr>
    </w:tblStylePr>
    <w:tblStylePr w:type="band1Horz">
      <w:tblPr/>
      <w:tcPr>
        <w:tcBorders>
          <w:insideH w:val="nil"/>
          <w:insideV w:val="nil"/>
        </w:tcBorders>
        <w:shd w:val="clear" w:color="auto" w:fill="C7CBD4"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F245D"/>
    <w:pPr>
      <w:spacing w:after="0" w:line="240" w:lineRule="auto"/>
    </w:pPr>
    <w:tblPr>
      <w:tblStyleRowBandSize w:val="1"/>
      <w:tblStyleColBandSize w:val="1"/>
      <w:tblBorders>
        <w:top w:val="single" w:sz="8" w:space="0" w:color="14C4FF" w:themeColor="accent1" w:themeTint="BF"/>
        <w:left w:val="single" w:sz="8" w:space="0" w:color="14C4FF" w:themeColor="accent1" w:themeTint="BF"/>
        <w:bottom w:val="single" w:sz="8" w:space="0" w:color="14C4FF" w:themeColor="accent1" w:themeTint="BF"/>
        <w:right w:val="single" w:sz="8" w:space="0" w:color="14C4FF" w:themeColor="accent1" w:themeTint="BF"/>
        <w:insideH w:val="single" w:sz="8" w:space="0" w:color="14C4FF" w:themeColor="accent1" w:themeTint="BF"/>
      </w:tblBorders>
    </w:tblPr>
    <w:tblStylePr w:type="firstRow">
      <w:pPr>
        <w:spacing w:before="0" w:after="0" w:line="240" w:lineRule="auto"/>
      </w:pPr>
      <w:rPr>
        <w:b/>
        <w:bCs/>
        <w:color w:val="FFFFFF" w:themeColor="background1"/>
      </w:rPr>
      <w:tblPr/>
      <w:tcPr>
        <w:tcBorders>
          <w:top w:val="single" w:sz="8" w:space="0" w:color="14C4FF" w:themeColor="accent1" w:themeTint="BF"/>
          <w:left w:val="single" w:sz="8" w:space="0" w:color="14C4FF" w:themeColor="accent1" w:themeTint="BF"/>
          <w:bottom w:val="single" w:sz="8" w:space="0" w:color="14C4FF" w:themeColor="accent1" w:themeTint="BF"/>
          <w:right w:val="single" w:sz="8" w:space="0" w:color="14C4FF" w:themeColor="accent1" w:themeTint="BF"/>
          <w:insideH w:val="nil"/>
          <w:insideV w:val="nil"/>
        </w:tcBorders>
        <w:shd w:val="clear" w:color="auto" w:fill="0094C5" w:themeFill="accent1"/>
      </w:tcPr>
    </w:tblStylePr>
    <w:tblStylePr w:type="lastRow">
      <w:pPr>
        <w:spacing w:before="0" w:after="0" w:line="240" w:lineRule="auto"/>
      </w:pPr>
      <w:rPr>
        <w:b/>
        <w:bCs/>
      </w:rPr>
      <w:tblPr/>
      <w:tcPr>
        <w:tcBorders>
          <w:top w:val="double" w:sz="6" w:space="0" w:color="14C4FF" w:themeColor="accent1" w:themeTint="BF"/>
          <w:left w:val="single" w:sz="8" w:space="0" w:color="14C4FF" w:themeColor="accent1" w:themeTint="BF"/>
          <w:bottom w:val="single" w:sz="8" w:space="0" w:color="14C4FF" w:themeColor="accent1" w:themeTint="BF"/>
          <w:right w:val="single" w:sz="8" w:space="0" w:color="14C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EBFF" w:themeFill="accent1" w:themeFillTint="3F"/>
      </w:tcPr>
    </w:tblStylePr>
    <w:tblStylePr w:type="band1Horz">
      <w:tblPr/>
      <w:tcPr>
        <w:tcBorders>
          <w:insideH w:val="nil"/>
          <w:insideV w:val="nil"/>
        </w:tcBorders>
        <w:shd w:val="clear" w:color="auto" w:fill="B1EB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F245D"/>
    <w:pPr>
      <w:spacing w:after="0" w:line="240" w:lineRule="auto"/>
    </w:pPr>
    <w:tblPr>
      <w:tblStyleRowBandSize w:val="1"/>
      <w:tblStyleColBandSize w:val="1"/>
      <w:tblBorders>
        <w:top w:val="single" w:sz="8" w:space="0" w:color="FF2C90" w:themeColor="accent2" w:themeTint="BF"/>
        <w:left w:val="single" w:sz="8" w:space="0" w:color="FF2C90" w:themeColor="accent2" w:themeTint="BF"/>
        <w:bottom w:val="single" w:sz="8" w:space="0" w:color="FF2C90" w:themeColor="accent2" w:themeTint="BF"/>
        <w:right w:val="single" w:sz="8" w:space="0" w:color="FF2C90" w:themeColor="accent2" w:themeTint="BF"/>
        <w:insideH w:val="single" w:sz="8" w:space="0" w:color="FF2C90" w:themeColor="accent2" w:themeTint="BF"/>
      </w:tblBorders>
    </w:tblPr>
    <w:tblStylePr w:type="firstRow">
      <w:pPr>
        <w:spacing w:before="0" w:after="0" w:line="240" w:lineRule="auto"/>
      </w:pPr>
      <w:rPr>
        <w:b/>
        <w:bCs/>
        <w:color w:val="FFFFFF" w:themeColor="background1"/>
      </w:rPr>
      <w:tblPr/>
      <w:tcPr>
        <w:tcBorders>
          <w:top w:val="single" w:sz="8" w:space="0" w:color="FF2C90" w:themeColor="accent2" w:themeTint="BF"/>
          <w:left w:val="single" w:sz="8" w:space="0" w:color="FF2C90" w:themeColor="accent2" w:themeTint="BF"/>
          <w:bottom w:val="single" w:sz="8" w:space="0" w:color="FF2C90" w:themeColor="accent2" w:themeTint="BF"/>
          <w:right w:val="single" w:sz="8" w:space="0" w:color="FF2C90" w:themeColor="accent2" w:themeTint="BF"/>
          <w:insideH w:val="nil"/>
          <w:insideV w:val="nil"/>
        </w:tcBorders>
        <w:shd w:val="clear" w:color="auto" w:fill="E5006D" w:themeFill="accent2"/>
      </w:tcPr>
    </w:tblStylePr>
    <w:tblStylePr w:type="lastRow">
      <w:pPr>
        <w:spacing w:before="0" w:after="0" w:line="240" w:lineRule="auto"/>
      </w:pPr>
      <w:rPr>
        <w:b/>
        <w:bCs/>
      </w:rPr>
      <w:tblPr/>
      <w:tcPr>
        <w:tcBorders>
          <w:top w:val="double" w:sz="6" w:space="0" w:color="FF2C90" w:themeColor="accent2" w:themeTint="BF"/>
          <w:left w:val="single" w:sz="8" w:space="0" w:color="FF2C90" w:themeColor="accent2" w:themeTint="BF"/>
          <w:bottom w:val="single" w:sz="8" w:space="0" w:color="FF2C90" w:themeColor="accent2" w:themeTint="BF"/>
          <w:right w:val="single" w:sz="8" w:space="0" w:color="FF2C9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B9DA" w:themeFill="accent2" w:themeFillTint="3F"/>
      </w:tcPr>
    </w:tblStylePr>
    <w:tblStylePr w:type="band1Horz">
      <w:tblPr/>
      <w:tcPr>
        <w:tcBorders>
          <w:insideH w:val="nil"/>
          <w:insideV w:val="nil"/>
        </w:tcBorders>
        <w:shd w:val="clear" w:color="auto" w:fill="FFB9D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F245D"/>
    <w:pPr>
      <w:spacing w:after="0" w:line="240" w:lineRule="auto"/>
    </w:pPr>
    <w:tblPr>
      <w:tblStyleRowBandSize w:val="1"/>
      <w:tblStyleColBandSize w:val="1"/>
      <w:tblBorders>
        <w:top w:val="single" w:sz="8" w:space="0" w:color="4536BB" w:themeColor="accent3" w:themeTint="BF"/>
        <w:left w:val="single" w:sz="8" w:space="0" w:color="4536BB" w:themeColor="accent3" w:themeTint="BF"/>
        <w:bottom w:val="single" w:sz="8" w:space="0" w:color="4536BB" w:themeColor="accent3" w:themeTint="BF"/>
        <w:right w:val="single" w:sz="8" w:space="0" w:color="4536BB" w:themeColor="accent3" w:themeTint="BF"/>
        <w:insideH w:val="single" w:sz="8" w:space="0" w:color="4536BB" w:themeColor="accent3" w:themeTint="BF"/>
      </w:tblBorders>
    </w:tblPr>
    <w:tblStylePr w:type="firstRow">
      <w:pPr>
        <w:spacing w:before="0" w:after="0" w:line="240" w:lineRule="auto"/>
      </w:pPr>
      <w:rPr>
        <w:b/>
        <w:bCs/>
        <w:color w:val="FFFFFF" w:themeColor="background1"/>
      </w:rPr>
      <w:tblPr/>
      <w:tcPr>
        <w:tcBorders>
          <w:top w:val="single" w:sz="8" w:space="0" w:color="4536BB" w:themeColor="accent3" w:themeTint="BF"/>
          <w:left w:val="single" w:sz="8" w:space="0" w:color="4536BB" w:themeColor="accent3" w:themeTint="BF"/>
          <w:bottom w:val="single" w:sz="8" w:space="0" w:color="4536BB" w:themeColor="accent3" w:themeTint="BF"/>
          <w:right w:val="single" w:sz="8" w:space="0" w:color="4536BB" w:themeColor="accent3" w:themeTint="BF"/>
          <w:insideH w:val="nil"/>
          <w:insideV w:val="nil"/>
        </w:tcBorders>
        <w:shd w:val="clear" w:color="auto" w:fill="2C2276" w:themeFill="accent3"/>
      </w:tcPr>
    </w:tblStylePr>
    <w:tblStylePr w:type="lastRow">
      <w:pPr>
        <w:spacing w:before="0" w:after="0" w:line="240" w:lineRule="auto"/>
      </w:pPr>
      <w:rPr>
        <w:b/>
        <w:bCs/>
      </w:rPr>
      <w:tblPr/>
      <w:tcPr>
        <w:tcBorders>
          <w:top w:val="double" w:sz="6" w:space="0" w:color="4536BB" w:themeColor="accent3" w:themeTint="BF"/>
          <w:left w:val="single" w:sz="8" w:space="0" w:color="4536BB" w:themeColor="accent3" w:themeTint="BF"/>
          <w:bottom w:val="single" w:sz="8" w:space="0" w:color="4536BB" w:themeColor="accent3" w:themeTint="BF"/>
          <w:right w:val="single" w:sz="8" w:space="0" w:color="4536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BFBAEB" w:themeFill="accent3" w:themeFillTint="3F"/>
      </w:tcPr>
    </w:tblStylePr>
    <w:tblStylePr w:type="band1Horz">
      <w:tblPr/>
      <w:tcPr>
        <w:tcBorders>
          <w:insideH w:val="nil"/>
          <w:insideV w:val="nil"/>
        </w:tcBorders>
        <w:shd w:val="clear" w:color="auto" w:fill="BFBAE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F245D"/>
    <w:pPr>
      <w:spacing w:after="0" w:line="240" w:lineRule="auto"/>
    </w:pPr>
    <w:tblPr>
      <w:tblStyleRowBandSize w:val="1"/>
      <w:tblStyleColBandSize w:val="1"/>
      <w:tblBorders>
        <w:top w:val="single" w:sz="8" w:space="0" w:color="CB1D70" w:themeColor="accent4" w:themeTint="BF"/>
        <w:left w:val="single" w:sz="8" w:space="0" w:color="CB1D70" w:themeColor="accent4" w:themeTint="BF"/>
        <w:bottom w:val="single" w:sz="8" w:space="0" w:color="CB1D70" w:themeColor="accent4" w:themeTint="BF"/>
        <w:right w:val="single" w:sz="8" w:space="0" w:color="CB1D70" w:themeColor="accent4" w:themeTint="BF"/>
        <w:insideH w:val="single" w:sz="8" w:space="0" w:color="CB1D70" w:themeColor="accent4" w:themeTint="BF"/>
      </w:tblBorders>
    </w:tblPr>
    <w:tblStylePr w:type="firstRow">
      <w:pPr>
        <w:spacing w:before="0" w:after="0" w:line="240" w:lineRule="auto"/>
      </w:pPr>
      <w:rPr>
        <w:b/>
        <w:bCs/>
        <w:color w:val="FFFFFF" w:themeColor="background1"/>
      </w:rPr>
      <w:tblPr/>
      <w:tcPr>
        <w:tcBorders>
          <w:top w:val="single" w:sz="8" w:space="0" w:color="CB1D70" w:themeColor="accent4" w:themeTint="BF"/>
          <w:left w:val="single" w:sz="8" w:space="0" w:color="CB1D70" w:themeColor="accent4" w:themeTint="BF"/>
          <w:bottom w:val="single" w:sz="8" w:space="0" w:color="CB1D70" w:themeColor="accent4" w:themeTint="BF"/>
          <w:right w:val="single" w:sz="8" w:space="0" w:color="CB1D70" w:themeColor="accent4" w:themeTint="BF"/>
          <w:insideH w:val="nil"/>
          <w:insideV w:val="nil"/>
        </w:tcBorders>
        <w:shd w:val="clear" w:color="auto" w:fill="7B1244" w:themeFill="accent4"/>
      </w:tcPr>
    </w:tblStylePr>
    <w:tblStylePr w:type="lastRow">
      <w:pPr>
        <w:spacing w:before="0" w:after="0" w:line="240" w:lineRule="auto"/>
      </w:pPr>
      <w:rPr>
        <w:b/>
        <w:bCs/>
      </w:rPr>
      <w:tblPr/>
      <w:tcPr>
        <w:tcBorders>
          <w:top w:val="double" w:sz="6" w:space="0" w:color="CB1D70" w:themeColor="accent4" w:themeTint="BF"/>
          <w:left w:val="single" w:sz="8" w:space="0" w:color="CB1D70" w:themeColor="accent4" w:themeTint="BF"/>
          <w:bottom w:val="single" w:sz="8" w:space="0" w:color="CB1D70" w:themeColor="accent4" w:themeTint="BF"/>
          <w:right w:val="single" w:sz="8" w:space="0" w:color="CB1D7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AFCF" w:themeFill="accent4" w:themeFillTint="3F"/>
      </w:tcPr>
    </w:tblStylePr>
    <w:tblStylePr w:type="band1Horz">
      <w:tblPr/>
      <w:tcPr>
        <w:tcBorders>
          <w:insideH w:val="nil"/>
          <w:insideV w:val="nil"/>
        </w:tcBorders>
        <w:shd w:val="clear" w:color="auto" w:fill="F3AFC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F245D"/>
    <w:pPr>
      <w:spacing w:after="0" w:line="240" w:lineRule="auto"/>
    </w:pPr>
    <w:tblPr>
      <w:tblStyleRowBandSize w:val="1"/>
      <w:tblStyleColBandSize w:val="1"/>
      <w:tblBorders>
        <w:top w:val="single" w:sz="8" w:space="0" w:color="D6F32B" w:themeColor="accent5" w:themeTint="BF"/>
        <w:left w:val="single" w:sz="8" w:space="0" w:color="D6F32B" w:themeColor="accent5" w:themeTint="BF"/>
        <w:bottom w:val="single" w:sz="8" w:space="0" w:color="D6F32B" w:themeColor="accent5" w:themeTint="BF"/>
        <w:right w:val="single" w:sz="8" w:space="0" w:color="D6F32B" w:themeColor="accent5" w:themeTint="BF"/>
        <w:insideH w:val="single" w:sz="8" w:space="0" w:color="D6F32B" w:themeColor="accent5" w:themeTint="BF"/>
      </w:tblBorders>
    </w:tblPr>
    <w:tblStylePr w:type="firstRow">
      <w:pPr>
        <w:spacing w:before="0" w:after="0" w:line="240" w:lineRule="auto"/>
      </w:pPr>
      <w:rPr>
        <w:b/>
        <w:bCs/>
        <w:color w:val="FFFFFF" w:themeColor="background1"/>
      </w:rPr>
      <w:tblPr/>
      <w:tcPr>
        <w:tcBorders>
          <w:top w:val="single" w:sz="8" w:space="0" w:color="D6F32B" w:themeColor="accent5" w:themeTint="BF"/>
          <w:left w:val="single" w:sz="8" w:space="0" w:color="D6F32B" w:themeColor="accent5" w:themeTint="BF"/>
          <w:bottom w:val="single" w:sz="8" w:space="0" w:color="D6F32B" w:themeColor="accent5" w:themeTint="BF"/>
          <w:right w:val="single" w:sz="8" w:space="0" w:color="D6F32B" w:themeColor="accent5" w:themeTint="BF"/>
          <w:insideH w:val="nil"/>
          <w:insideV w:val="nil"/>
        </w:tcBorders>
        <w:shd w:val="clear" w:color="auto" w:fill="AFCA0B" w:themeFill="accent5"/>
      </w:tcPr>
    </w:tblStylePr>
    <w:tblStylePr w:type="lastRow">
      <w:pPr>
        <w:spacing w:before="0" w:after="0" w:line="240" w:lineRule="auto"/>
      </w:pPr>
      <w:rPr>
        <w:b/>
        <w:bCs/>
      </w:rPr>
      <w:tblPr/>
      <w:tcPr>
        <w:tcBorders>
          <w:top w:val="double" w:sz="6" w:space="0" w:color="D6F32B" w:themeColor="accent5" w:themeTint="BF"/>
          <w:left w:val="single" w:sz="8" w:space="0" w:color="D6F32B" w:themeColor="accent5" w:themeTint="BF"/>
          <w:bottom w:val="single" w:sz="8" w:space="0" w:color="D6F32B" w:themeColor="accent5" w:themeTint="BF"/>
          <w:right w:val="single" w:sz="8" w:space="0" w:color="D6F32B" w:themeColor="accent5" w:themeTint="BF"/>
          <w:insideH w:val="nil"/>
          <w:insideV w:val="nil"/>
        </w:tcBorders>
      </w:tcPr>
    </w:tblStylePr>
    <w:tblStylePr w:type="firstCol">
      <w:rPr>
        <w:b/>
        <w:bCs/>
      </w:rPr>
    </w:tblStylePr>
    <w:tblStylePr w:type="lastCol">
      <w:rPr>
        <w:b/>
        <w:bCs/>
      </w:rPr>
    </w:tblStylePr>
    <w:tblStylePr w:type="band1Vert">
      <w:tblPr/>
      <w:tcPr>
        <w:shd w:val="clear" w:color="auto" w:fill="F1FBB9" w:themeFill="accent5" w:themeFillTint="3F"/>
      </w:tcPr>
    </w:tblStylePr>
    <w:tblStylePr w:type="band1Horz">
      <w:tblPr/>
      <w:tcPr>
        <w:tcBorders>
          <w:insideH w:val="nil"/>
          <w:insideV w:val="nil"/>
        </w:tcBorders>
        <w:shd w:val="clear" w:color="auto" w:fill="F1FBB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F245D"/>
    <w:pPr>
      <w:spacing w:after="0" w:line="240" w:lineRule="auto"/>
    </w:pPr>
    <w:tblPr>
      <w:tblStyleRowBandSize w:val="1"/>
      <w:tblStyleColBandSize w:val="1"/>
      <w:tblBorders>
        <w:top w:val="single" w:sz="8" w:space="0" w:color="5FCC5B" w:themeColor="accent6" w:themeTint="BF"/>
        <w:left w:val="single" w:sz="8" w:space="0" w:color="5FCC5B" w:themeColor="accent6" w:themeTint="BF"/>
        <w:bottom w:val="single" w:sz="8" w:space="0" w:color="5FCC5B" w:themeColor="accent6" w:themeTint="BF"/>
        <w:right w:val="single" w:sz="8" w:space="0" w:color="5FCC5B" w:themeColor="accent6" w:themeTint="BF"/>
        <w:insideH w:val="single" w:sz="8" w:space="0" w:color="5FCC5B" w:themeColor="accent6" w:themeTint="BF"/>
      </w:tblBorders>
    </w:tblPr>
    <w:tblStylePr w:type="firstRow">
      <w:pPr>
        <w:spacing w:before="0" w:after="0" w:line="240" w:lineRule="auto"/>
      </w:pPr>
      <w:rPr>
        <w:b/>
        <w:bCs/>
        <w:color w:val="FFFFFF" w:themeColor="background1"/>
      </w:rPr>
      <w:tblPr/>
      <w:tcPr>
        <w:tcBorders>
          <w:top w:val="single" w:sz="8" w:space="0" w:color="5FCC5B" w:themeColor="accent6" w:themeTint="BF"/>
          <w:left w:val="single" w:sz="8" w:space="0" w:color="5FCC5B" w:themeColor="accent6" w:themeTint="BF"/>
          <w:bottom w:val="single" w:sz="8" w:space="0" w:color="5FCC5B" w:themeColor="accent6" w:themeTint="BF"/>
          <w:right w:val="single" w:sz="8" w:space="0" w:color="5FCC5B" w:themeColor="accent6" w:themeTint="BF"/>
          <w:insideH w:val="nil"/>
          <w:insideV w:val="nil"/>
        </w:tcBorders>
        <w:shd w:val="clear" w:color="auto" w:fill="3AAA35" w:themeFill="accent6"/>
      </w:tcPr>
    </w:tblStylePr>
    <w:tblStylePr w:type="lastRow">
      <w:pPr>
        <w:spacing w:before="0" w:after="0" w:line="240" w:lineRule="auto"/>
      </w:pPr>
      <w:rPr>
        <w:b/>
        <w:bCs/>
      </w:rPr>
      <w:tblPr/>
      <w:tcPr>
        <w:tcBorders>
          <w:top w:val="double" w:sz="6" w:space="0" w:color="5FCC5B" w:themeColor="accent6" w:themeTint="BF"/>
          <w:left w:val="single" w:sz="8" w:space="0" w:color="5FCC5B" w:themeColor="accent6" w:themeTint="BF"/>
          <w:bottom w:val="single" w:sz="8" w:space="0" w:color="5FCC5B" w:themeColor="accent6" w:themeTint="BF"/>
          <w:right w:val="single" w:sz="8" w:space="0" w:color="5FCC5B" w:themeColor="accent6" w:themeTint="BF"/>
          <w:insideH w:val="nil"/>
          <w:insideV w:val="nil"/>
        </w:tcBorders>
      </w:tcPr>
    </w:tblStylePr>
    <w:tblStylePr w:type="firstCol">
      <w:rPr>
        <w:b/>
        <w:bCs/>
      </w:rPr>
    </w:tblStylePr>
    <w:tblStylePr w:type="lastCol">
      <w:rPr>
        <w:b/>
        <w:bCs/>
      </w:rPr>
    </w:tblStylePr>
    <w:tblStylePr w:type="band1Vert">
      <w:tblPr/>
      <w:tcPr>
        <w:shd w:val="clear" w:color="auto" w:fill="CAEEC8" w:themeFill="accent6" w:themeFillTint="3F"/>
      </w:tcPr>
    </w:tblStylePr>
    <w:tblStylePr w:type="band1Horz">
      <w:tblPr/>
      <w:tcPr>
        <w:tcBorders>
          <w:insideH w:val="nil"/>
          <w:insideV w:val="nil"/>
        </w:tcBorders>
        <w:shd w:val="clear" w:color="auto" w:fill="CAEEC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353F"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0353F" w:themeFill="text1"/>
      </w:tcPr>
    </w:tblStylePr>
    <w:tblStylePr w:type="lastCol">
      <w:rPr>
        <w:b/>
        <w:bCs/>
        <w:color w:val="FFFFFF" w:themeColor="background1"/>
      </w:rPr>
      <w:tblPr/>
      <w:tcPr>
        <w:tcBorders>
          <w:left w:val="nil"/>
          <w:right w:val="nil"/>
          <w:insideH w:val="nil"/>
          <w:insideV w:val="nil"/>
        </w:tcBorders>
        <w:shd w:val="clear" w:color="auto" w:fill="30353F"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4C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4C5" w:themeFill="accent1"/>
      </w:tcPr>
    </w:tblStylePr>
    <w:tblStylePr w:type="lastCol">
      <w:rPr>
        <w:b/>
        <w:bCs/>
        <w:color w:val="FFFFFF" w:themeColor="background1"/>
      </w:rPr>
      <w:tblPr/>
      <w:tcPr>
        <w:tcBorders>
          <w:left w:val="nil"/>
          <w:right w:val="nil"/>
          <w:insideH w:val="nil"/>
          <w:insideV w:val="nil"/>
        </w:tcBorders>
        <w:shd w:val="clear" w:color="auto" w:fill="0094C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006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006D" w:themeFill="accent2"/>
      </w:tcPr>
    </w:tblStylePr>
    <w:tblStylePr w:type="lastCol">
      <w:rPr>
        <w:b/>
        <w:bCs/>
        <w:color w:val="FFFFFF" w:themeColor="background1"/>
      </w:rPr>
      <w:tblPr/>
      <w:tcPr>
        <w:tcBorders>
          <w:left w:val="nil"/>
          <w:right w:val="nil"/>
          <w:insideH w:val="nil"/>
          <w:insideV w:val="nil"/>
        </w:tcBorders>
        <w:shd w:val="clear" w:color="auto" w:fill="E5006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227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C2276" w:themeFill="accent3"/>
      </w:tcPr>
    </w:tblStylePr>
    <w:tblStylePr w:type="lastCol">
      <w:rPr>
        <w:b/>
        <w:bCs/>
        <w:color w:val="FFFFFF" w:themeColor="background1"/>
      </w:rPr>
      <w:tblPr/>
      <w:tcPr>
        <w:tcBorders>
          <w:left w:val="nil"/>
          <w:right w:val="nil"/>
          <w:insideH w:val="nil"/>
          <w:insideV w:val="nil"/>
        </w:tcBorders>
        <w:shd w:val="clear" w:color="auto" w:fill="2C227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124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1244" w:themeFill="accent4"/>
      </w:tcPr>
    </w:tblStylePr>
    <w:tblStylePr w:type="lastCol">
      <w:rPr>
        <w:b/>
        <w:bCs/>
        <w:color w:val="FFFFFF" w:themeColor="background1"/>
      </w:rPr>
      <w:tblPr/>
      <w:tcPr>
        <w:tcBorders>
          <w:left w:val="nil"/>
          <w:right w:val="nil"/>
          <w:insideH w:val="nil"/>
          <w:insideV w:val="nil"/>
        </w:tcBorders>
        <w:shd w:val="clear" w:color="auto" w:fill="7B124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FCA0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FCA0B" w:themeFill="accent5"/>
      </w:tcPr>
    </w:tblStylePr>
    <w:tblStylePr w:type="lastCol">
      <w:rPr>
        <w:b/>
        <w:bCs/>
        <w:color w:val="FFFFFF" w:themeColor="background1"/>
      </w:rPr>
      <w:tblPr/>
      <w:tcPr>
        <w:tcBorders>
          <w:left w:val="nil"/>
          <w:right w:val="nil"/>
          <w:insideH w:val="nil"/>
          <w:insideV w:val="nil"/>
        </w:tcBorders>
        <w:shd w:val="clear" w:color="auto" w:fill="AFCA0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DF24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AAA3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AAA35" w:themeFill="accent6"/>
      </w:tcPr>
    </w:tblStylePr>
    <w:tblStylePr w:type="lastCol">
      <w:rPr>
        <w:b/>
        <w:bCs/>
        <w:color w:val="FFFFFF" w:themeColor="background1"/>
      </w:rPr>
      <w:tblPr/>
      <w:tcPr>
        <w:tcBorders>
          <w:left w:val="nil"/>
          <w:right w:val="nil"/>
          <w:insideH w:val="nil"/>
          <w:insideV w:val="nil"/>
        </w:tcBorders>
        <w:shd w:val="clear" w:color="auto" w:fill="3AAA3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DF245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F245D"/>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DF245D"/>
    <w:pPr>
      <w:spacing w:after="0" w:line="240" w:lineRule="auto"/>
    </w:pPr>
    <w:rPr>
      <w:rFonts w:ascii="Calibri" w:hAnsi="Calibri"/>
    </w:rPr>
  </w:style>
  <w:style w:type="paragraph" w:styleId="NormalWeb">
    <w:name w:val="Normal (Web)"/>
    <w:basedOn w:val="Normal"/>
    <w:uiPriority w:val="99"/>
    <w:semiHidden/>
    <w:unhideWhenUsed/>
    <w:rsid w:val="00DF245D"/>
    <w:rPr>
      <w:rFonts w:ascii="Times New Roman" w:hAnsi="Times New Roman" w:cs="Times New Roman"/>
      <w:sz w:val="24"/>
      <w:szCs w:val="24"/>
    </w:rPr>
  </w:style>
  <w:style w:type="paragraph" w:styleId="NormalIndent">
    <w:name w:val="Normal Indent"/>
    <w:basedOn w:val="Normal"/>
    <w:uiPriority w:val="99"/>
    <w:semiHidden/>
    <w:unhideWhenUsed/>
    <w:rsid w:val="00DF245D"/>
    <w:pPr>
      <w:ind w:left="720"/>
    </w:pPr>
  </w:style>
  <w:style w:type="paragraph" w:styleId="NoteHeading">
    <w:name w:val="Note Heading"/>
    <w:basedOn w:val="Normal"/>
    <w:next w:val="Normal"/>
    <w:link w:val="NoteHeadingChar"/>
    <w:uiPriority w:val="99"/>
    <w:semiHidden/>
    <w:unhideWhenUsed/>
    <w:rsid w:val="00DF245D"/>
    <w:pPr>
      <w:spacing w:after="0" w:line="240" w:lineRule="auto"/>
    </w:pPr>
  </w:style>
  <w:style w:type="character" w:customStyle="1" w:styleId="NoteHeadingChar">
    <w:name w:val="Note Heading Char"/>
    <w:basedOn w:val="DefaultParagraphFont"/>
    <w:link w:val="NoteHeading"/>
    <w:uiPriority w:val="99"/>
    <w:semiHidden/>
    <w:rsid w:val="00DF245D"/>
    <w:rPr>
      <w:rFonts w:ascii="Calibri" w:hAnsi="Calibri"/>
    </w:rPr>
  </w:style>
  <w:style w:type="character" w:styleId="PageNumber">
    <w:name w:val="page number"/>
    <w:basedOn w:val="DefaultParagraphFont"/>
    <w:uiPriority w:val="48"/>
    <w:rsid w:val="00DF245D"/>
  </w:style>
  <w:style w:type="table" w:styleId="PlainTable1">
    <w:name w:val="Plain Table 1"/>
    <w:basedOn w:val="TableNormal"/>
    <w:uiPriority w:val="41"/>
    <w:rsid w:val="00916CFA"/>
    <w:pPr>
      <w:spacing w:after="0" w:line="240" w:lineRule="auto"/>
    </w:pPr>
    <w:tblPr>
      <w:tblStyleRowBandSize w:val="1"/>
      <w:tblStyleColBandSize w:val="1"/>
      <w:tblInd w:w="8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16CFA"/>
    <w:pPr>
      <w:spacing w:after="0" w:line="240" w:lineRule="auto"/>
    </w:pPr>
    <w:tblPr>
      <w:tblStyleRowBandSize w:val="1"/>
      <w:tblStyleColBandSize w:val="1"/>
      <w:tblInd w:w="851" w:type="dxa"/>
      <w:tblBorders>
        <w:top w:val="single" w:sz="4" w:space="0" w:color="8D96A8" w:themeColor="text1" w:themeTint="80"/>
        <w:bottom w:val="single" w:sz="4" w:space="0" w:color="8D96A8" w:themeColor="text1" w:themeTint="80"/>
      </w:tblBorders>
    </w:tblPr>
    <w:tblStylePr w:type="firstRow">
      <w:rPr>
        <w:b/>
        <w:bCs/>
      </w:rPr>
      <w:tblPr/>
      <w:tcPr>
        <w:tcBorders>
          <w:bottom w:val="single" w:sz="4" w:space="0" w:color="8D96A8" w:themeColor="text1" w:themeTint="80"/>
        </w:tcBorders>
      </w:tcPr>
    </w:tblStylePr>
    <w:tblStylePr w:type="lastRow">
      <w:rPr>
        <w:b/>
        <w:bCs/>
      </w:rPr>
      <w:tblPr/>
      <w:tcPr>
        <w:tcBorders>
          <w:top w:val="single" w:sz="4" w:space="0" w:color="8D96A8" w:themeColor="text1" w:themeTint="80"/>
        </w:tcBorders>
      </w:tcPr>
    </w:tblStylePr>
    <w:tblStylePr w:type="firstCol">
      <w:rPr>
        <w:b/>
        <w:bCs/>
      </w:rPr>
    </w:tblStylePr>
    <w:tblStylePr w:type="lastCol">
      <w:rPr>
        <w:b/>
        <w:bCs/>
      </w:rPr>
    </w:tblStylePr>
    <w:tblStylePr w:type="band1Vert">
      <w:tblPr/>
      <w:tcPr>
        <w:tcBorders>
          <w:left w:val="single" w:sz="4" w:space="0" w:color="8D96A8" w:themeColor="text1" w:themeTint="80"/>
          <w:right w:val="single" w:sz="4" w:space="0" w:color="8D96A8" w:themeColor="text1" w:themeTint="80"/>
        </w:tcBorders>
      </w:tcPr>
    </w:tblStylePr>
    <w:tblStylePr w:type="band2Vert">
      <w:tblPr/>
      <w:tcPr>
        <w:tcBorders>
          <w:left w:val="single" w:sz="4" w:space="0" w:color="8D96A8" w:themeColor="text1" w:themeTint="80"/>
          <w:right w:val="single" w:sz="4" w:space="0" w:color="8D96A8" w:themeColor="text1" w:themeTint="80"/>
        </w:tcBorders>
      </w:tcPr>
    </w:tblStylePr>
    <w:tblStylePr w:type="band1Horz">
      <w:tblPr/>
      <w:tcPr>
        <w:tcBorders>
          <w:top w:val="single" w:sz="4" w:space="0" w:color="8D96A8" w:themeColor="text1" w:themeTint="80"/>
          <w:bottom w:val="single" w:sz="4" w:space="0" w:color="8D96A8" w:themeColor="text1" w:themeTint="80"/>
        </w:tcBorders>
      </w:tcPr>
    </w:tblStylePr>
  </w:style>
  <w:style w:type="table" w:styleId="PlainTable4">
    <w:name w:val="Plain Table 4"/>
    <w:basedOn w:val="TableNormal"/>
    <w:uiPriority w:val="44"/>
    <w:rsid w:val="00916CFA"/>
    <w:pPr>
      <w:spacing w:after="0" w:line="240" w:lineRule="auto"/>
    </w:pPr>
    <w:tblPr>
      <w:tblStyleRowBandSize w:val="1"/>
      <w:tblStyleColBandSize w:val="1"/>
      <w:tblInd w:w="851"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16CFA"/>
    <w:pPr>
      <w:spacing w:after="0" w:line="240" w:lineRule="auto"/>
    </w:pPr>
    <w:tblPr>
      <w:tblStyleRowBandSize w:val="1"/>
      <w:tblStyleColBandSize w:val="1"/>
      <w:tblInd w:w="851" w:type="dxa"/>
    </w:tblPr>
    <w:tblStylePr w:type="firstRow">
      <w:rPr>
        <w:rFonts w:asciiTheme="majorHAnsi" w:eastAsiaTheme="majorEastAsia" w:hAnsiTheme="majorHAnsi" w:cstheme="majorBidi"/>
        <w:i/>
        <w:iCs/>
        <w:sz w:val="26"/>
      </w:rPr>
      <w:tblPr/>
      <w:tcPr>
        <w:tcBorders>
          <w:bottom w:val="single" w:sz="4" w:space="0" w:color="8D96A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96A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96A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96A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DF245D"/>
    <w:rPr>
      <w:u w:val="dotted"/>
    </w:rPr>
  </w:style>
  <w:style w:type="character" w:customStyle="1" w:styleId="SmartLink1">
    <w:name w:val="SmartLink1"/>
    <w:basedOn w:val="DefaultParagraphFont"/>
    <w:uiPriority w:val="99"/>
    <w:semiHidden/>
    <w:unhideWhenUsed/>
    <w:rsid w:val="00DF245D"/>
    <w:rPr>
      <w:color w:val="2B579A"/>
      <w:shd w:val="clear" w:color="auto" w:fill="E1DFDD"/>
    </w:rPr>
  </w:style>
  <w:style w:type="table" w:styleId="Table3Deffects1">
    <w:name w:val="Table 3D effects 1"/>
    <w:basedOn w:val="TableNormal"/>
    <w:uiPriority w:val="99"/>
    <w:semiHidden/>
    <w:unhideWhenUsed/>
    <w:rsid w:val="00DF245D"/>
    <w:pPr>
      <w:spacing w:after="120"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F245D"/>
    <w:pPr>
      <w:spacing w:after="120"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F245D"/>
    <w:pPr>
      <w:spacing w:after="120"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F245D"/>
    <w:pPr>
      <w:spacing w:after="120"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F245D"/>
    <w:pPr>
      <w:spacing w:after="120"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F245D"/>
    <w:pPr>
      <w:spacing w:after="120"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F245D"/>
    <w:pPr>
      <w:spacing w:after="120"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F245D"/>
    <w:pPr>
      <w:spacing w:after="120"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F245D"/>
    <w:pPr>
      <w:spacing w:after="120"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F245D"/>
    <w:pPr>
      <w:spacing w:after="120"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F245D"/>
    <w:pPr>
      <w:spacing w:after="120"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F245D"/>
    <w:pPr>
      <w:spacing w:after="120"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F245D"/>
    <w:pPr>
      <w:spacing w:after="120"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F245D"/>
    <w:pPr>
      <w:spacing w:after="120"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F245D"/>
    <w:pPr>
      <w:spacing w:after="120"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F245D"/>
    <w:pPr>
      <w:spacing w:after="120"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F245D"/>
    <w:pPr>
      <w:spacing w:after="120"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F245D"/>
    <w:pPr>
      <w:spacing w:after="120"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F245D"/>
    <w:pPr>
      <w:spacing w:after="120"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F245D"/>
    <w:pPr>
      <w:spacing w:after="120"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F245D"/>
    <w:pPr>
      <w:spacing w:after="120"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F245D"/>
    <w:pPr>
      <w:spacing w:after="120"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F245D"/>
    <w:pPr>
      <w:spacing w:after="120"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F245D"/>
    <w:pPr>
      <w:spacing w:after="120"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F245D"/>
    <w:pPr>
      <w:spacing w:after="120"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DF245D"/>
    <w:pPr>
      <w:spacing w:after="120"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F245D"/>
    <w:pPr>
      <w:spacing w:after="120"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F245D"/>
    <w:pPr>
      <w:spacing w:after="120"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F245D"/>
    <w:pPr>
      <w:spacing w:after="120"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F245D"/>
    <w:pPr>
      <w:spacing w:after="120"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F245D"/>
    <w:pPr>
      <w:spacing w:after="120"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F245D"/>
    <w:pPr>
      <w:spacing w:after="120"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F245D"/>
    <w:pPr>
      <w:spacing w:after="120"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F245D"/>
    <w:pPr>
      <w:spacing w:after="0"/>
      <w:ind w:left="220" w:hanging="220"/>
    </w:pPr>
  </w:style>
  <w:style w:type="table" w:styleId="TableProfessional">
    <w:name w:val="Table Professional"/>
    <w:basedOn w:val="TableNormal"/>
    <w:uiPriority w:val="99"/>
    <w:semiHidden/>
    <w:unhideWhenUsed/>
    <w:rsid w:val="00DF245D"/>
    <w:pPr>
      <w:spacing w:after="120"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F245D"/>
    <w:pPr>
      <w:spacing w:after="120"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F245D"/>
    <w:pPr>
      <w:spacing w:after="120"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F245D"/>
    <w:pPr>
      <w:spacing w:after="120"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F245D"/>
    <w:pPr>
      <w:spacing w:after="120"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F245D"/>
    <w:pPr>
      <w:spacing w:after="120"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F245D"/>
    <w:pPr>
      <w:spacing w:after="12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F245D"/>
    <w:pPr>
      <w:spacing w:after="120"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F245D"/>
    <w:pPr>
      <w:spacing w:after="120"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F245D"/>
    <w:pPr>
      <w:spacing w:after="120"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F245D"/>
    <w:pPr>
      <w:spacing w:before="120"/>
    </w:pPr>
    <w:rPr>
      <w:rFonts w:asciiTheme="majorHAnsi" w:eastAsiaTheme="majorEastAsia" w:hAnsiTheme="majorHAnsi" w:cstheme="majorBidi"/>
      <w:b/>
      <w:bCs/>
      <w:sz w:val="24"/>
      <w:szCs w:val="24"/>
    </w:rPr>
  </w:style>
  <w:style w:type="paragraph" w:customStyle="1" w:styleId="CaptionSubheading">
    <w:name w:val="Caption Subheading"/>
    <w:basedOn w:val="USBodyText"/>
    <w:uiPriority w:val="39"/>
    <w:rsid w:val="004E29DF"/>
    <w:pPr>
      <w:keepNext/>
      <w:spacing w:line="220" w:lineRule="atLeast"/>
    </w:pPr>
    <w:rPr>
      <w:sz w:val="18"/>
      <w:szCs w:val="18"/>
    </w:rPr>
  </w:style>
  <w:style w:type="paragraph" w:customStyle="1" w:styleId="TableCaption">
    <w:name w:val="Table Caption"/>
    <w:basedOn w:val="Caption"/>
    <w:next w:val="CaptionSubheading"/>
    <w:uiPriority w:val="38"/>
    <w:rsid w:val="00EC22B7"/>
    <w:pPr>
      <w:ind w:left="851" w:firstLine="0"/>
    </w:pPr>
  </w:style>
  <w:style w:type="paragraph" w:customStyle="1" w:styleId="FigureCaption">
    <w:name w:val="Figure Caption"/>
    <w:basedOn w:val="Caption"/>
    <w:uiPriority w:val="38"/>
    <w:rsid w:val="00EC22B7"/>
    <w:pPr>
      <w:spacing w:after="120"/>
      <w:ind w:left="851" w:firstLine="0"/>
    </w:pPr>
  </w:style>
  <w:style w:type="paragraph" w:customStyle="1" w:styleId="ESHeading1">
    <w:name w:val="ES Heading 1"/>
    <w:basedOn w:val="Heading1"/>
    <w:next w:val="USBodyText"/>
    <w:uiPriority w:val="8"/>
    <w:rsid w:val="00C141D4"/>
    <w:pPr>
      <w:numPr>
        <w:numId w:val="0"/>
      </w:numPr>
      <w:outlineLvl w:val="9"/>
    </w:pPr>
  </w:style>
  <w:style w:type="paragraph" w:customStyle="1" w:styleId="ESHeading2">
    <w:name w:val="ES Heading 2"/>
    <w:basedOn w:val="Heading2"/>
    <w:next w:val="USBodyText"/>
    <w:uiPriority w:val="8"/>
    <w:qFormat/>
    <w:rsid w:val="00C141D4"/>
    <w:pPr>
      <w:numPr>
        <w:ilvl w:val="0"/>
        <w:numId w:val="0"/>
      </w:numPr>
      <w:outlineLvl w:val="9"/>
    </w:pPr>
  </w:style>
  <w:style w:type="paragraph" w:customStyle="1" w:styleId="HeadingContents-TablesFigures">
    <w:name w:val="Heading Contents - Tables/Figures"/>
    <w:basedOn w:val="Heading2"/>
    <w:uiPriority w:val="55"/>
    <w:rsid w:val="009C506D"/>
    <w:pPr>
      <w:numPr>
        <w:ilvl w:val="0"/>
        <w:numId w:val="0"/>
      </w:numPr>
      <w:spacing w:before="120" w:after="40"/>
      <w:outlineLvl w:val="9"/>
    </w:pPr>
  </w:style>
  <w:style w:type="paragraph" w:styleId="ListParagraph">
    <w:name w:val="List Paragraph"/>
    <w:basedOn w:val="Normal"/>
    <w:uiPriority w:val="34"/>
    <w:qFormat/>
    <w:rsid w:val="00C7750E"/>
    <w:pPr>
      <w:ind w:left="720"/>
      <w:contextualSpacing/>
    </w:pPr>
  </w:style>
  <w:style w:type="character" w:customStyle="1" w:styleId="QuotationwithinSentence">
    <w:name w:val="Quotation (within Sentence)"/>
    <w:basedOn w:val="DefaultParagraphFont"/>
    <w:uiPriority w:val="18"/>
    <w:rsid w:val="0039336F"/>
    <w:rPr>
      <w:i/>
    </w:rPr>
  </w:style>
  <w:style w:type="paragraph" w:customStyle="1" w:styleId="CoverPicturePlaceholder">
    <w:name w:val="Cover Picture Placeholder"/>
    <w:basedOn w:val="USBodyText"/>
    <w:next w:val="CoverTitle"/>
    <w:uiPriority w:val="54"/>
    <w:rsid w:val="004D53BA"/>
    <w:pPr>
      <w:spacing w:after="0"/>
      <w:ind w:left="0"/>
    </w:pPr>
  </w:style>
  <w:style w:type="paragraph" w:customStyle="1" w:styleId="FooterInsidecover">
    <w:name w:val="Footer (Inside cover)"/>
    <w:basedOn w:val="Footer"/>
    <w:uiPriority w:val="47"/>
    <w:rsid w:val="00881555"/>
    <w:pPr>
      <w:ind w:left="851"/>
      <w:jc w:val="left"/>
    </w:pPr>
    <w:rPr>
      <w:sz w:val="17"/>
    </w:rPr>
  </w:style>
  <w:style w:type="character" w:styleId="UnresolvedMention">
    <w:name w:val="Unresolved Mention"/>
    <w:basedOn w:val="DefaultParagraphFont"/>
    <w:uiPriority w:val="99"/>
    <w:semiHidden/>
    <w:unhideWhenUsed/>
    <w:rsid w:val="00881555"/>
    <w:rPr>
      <w:color w:val="605E5C"/>
      <w:shd w:val="clear" w:color="auto" w:fill="E1DFDD"/>
    </w:rPr>
  </w:style>
  <w:style w:type="paragraph" w:styleId="Revision">
    <w:name w:val="Revision"/>
    <w:hidden/>
    <w:uiPriority w:val="99"/>
    <w:semiHidden/>
    <w:rsid w:val="004A67D4"/>
    <w:pPr>
      <w:spacing w:after="0" w:line="240" w:lineRule="auto"/>
    </w:pPr>
    <w:rPr>
      <w:rFonts w:ascii="Calibri" w:hAnsi="Calibri"/>
    </w:rPr>
  </w:style>
  <w:style w:type="paragraph" w:styleId="BodyText">
    <w:name w:val="Body Text"/>
    <w:basedOn w:val="Normal"/>
    <w:link w:val="BodyTextChar"/>
    <w:uiPriority w:val="1"/>
    <w:qFormat/>
    <w:rsid w:val="004A67D4"/>
    <w:pPr>
      <w:widowControl w:val="0"/>
      <w:autoSpaceDE w:val="0"/>
      <w:autoSpaceDN w:val="0"/>
      <w:spacing w:after="0" w:line="240" w:lineRule="auto"/>
      <w:ind w:left="1843" w:right="1588" w:hanging="425"/>
    </w:pPr>
    <w:rPr>
      <w:rFonts w:eastAsia="Calibri" w:cs="Calibri"/>
      <w:lang w:val="en-US"/>
    </w:rPr>
  </w:style>
  <w:style w:type="character" w:customStyle="1" w:styleId="BodyTextChar">
    <w:name w:val="Body Text Char"/>
    <w:basedOn w:val="DefaultParagraphFont"/>
    <w:link w:val="BodyText"/>
    <w:uiPriority w:val="1"/>
    <w:rsid w:val="004A67D4"/>
    <w:rPr>
      <w:rFonts w:ascii="Calibri" w:eastAsia="Calibri" w:hAnsi="Calibri" w:cs="Calibri"/>
      <w:lang w:val="en-US"/>
    </w:rPr>
  </w:style>
  <w:style w:type="character" w:customStyle="1" w:styleId="cf01">
    <w:name w:val="cf01"/>
    <w:basedOn w:val="DefaultParagraphFont"/>
    <w:rsid w:val="004A67D4"/>
    <w:rPr>
      <w:rFonts w:ascii="Segoe UI" w:hAnsi="Segoe UI" w:cs="Segoe UI" w:hint="default"/>
      <w:sz w:val="18"/>
      <w:szCs w:val="18"/>
    </w:rPr>
  </w:style>
  <w:style w:type="paragraph" w:customStyle="1" w:styleId="Pa3">
    <w:name w:val="Pa3"/>
    <w:basedOn w:val="Normal"/>
    <w:next w:val="Normal"/>
    <w:uiPriority w:val="99"/>
    <w:rsid w:val="004A67D4"/>
    <w:pPr>
      <w:autoSpaceDE w:val="0"/>
      <w:autoSpaceDN w:val="0"/>
      <w:adjustRightInd w:val="0"/>
      <w:spacing w:after="0" w:line="481" w:lineRule="atLeast"/>
    </w:pPr>
    <w:rPr>
      <w:rFonts w:ascii="Arial" w:hAnsi="Arial" w:cs="Arial"/>
      <w:sz w:val="24"/>
      <w:szCs w:val="24"/>
    </w:rPr>
  </w:style>
  <w:style w:type="paragraph" w:customStyle="1" w:styleId="pf0">
    <w:name w:val="pf0"/>
    <w:basedOn w:val="Normal"/>
    <w:rsid w:val="004A67D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21">
    <w:name w:val="cf21"/>
    <w:basedOn w:val="DefaultParagraphFont"/>
    <w:rsid w:val="004A67D4"/>
    <w:rPr>
      <w:rFonts w:ascii="Segoe UI" w:hAnsi="Segoe UI" w:cs="Segoe UI" w:hint="default"/>
      <w:sz w:val="18"/>
      <w:szCs w:val="18"/>
    </w:rPr>
  </w:style>
  <w:style w:type="character" w:customStyle="1" w:styleId="cf31">
    <w:name w:val="cf31"/>
    <w:basedOn w:val="DefaultParagraphFont"/>
    <w:rsid w:val="004A67D4"/>
    <w:rPr>
      <w:rFonts w:ascii="Segoe UI" w:hAnsi="Segoe UI" w:cs="Segoe UI" w:hint="default"/>
      <w:sz w:val="18"/>
      <w:szCs w:val="18"/>
    </w:rPr>
  </w:style>
  <w:style w:type="paragraph" w:customStyle="1" w:styleId="Default">
    <w:name w:val="Default"/>
    <w:rsid w:val="00C01565"/>
    <w:pPr>
      <w:autoSpaceDE w:val="0"/>
      <w:autoSpaceDN w:val="0"/>
      <w:adjustRightInd w:val="0"/>
      <w:spacing w:after="0" w:line="240" w:lineRule="auto"/>
    </w:pPr>
    <w:rPr>
      <w:rFonts w:ascii="Segoe UI" w:hAnsi="Segoe UI" w:cs="Segoe UI"/>
      <w:color w:val="000000"/>
      <w:sz w:val="24"/>
      <w:szCs w:val="24"/>
    </w:rPr>
  </w:style>
  <w:style w:type="paragraph" w:styleId="Title">
    <w:name w:val="Title"/>
    <w:basedOn w:val="Normal"/>
    <w:link w:val="TitleChar"/>
    <w:uiPriority w:val="10"/>
    <w:qFormat/>
    <w:rsid w:val="00C01565"/>
    <w:pPr>
      <w:widowControl w:val="0"/>
      <w:autoSpaceDE w:val="0"/>
      <w:autoSpaceDN w:val="0"/>
      <w:spacing w:after="0" w:line="240" w:lineRule="auto"/>
      <w:ind w:left="1416" w:right="1588" w:hanging="425"/>
    </w:pPr>
    <w:rPr>
      <w:rFonts w:eastAsia="Calibri" w:cs="Calibri"/>
      <w:b/>
      <w:bCs/>
      <w:sz w:val="56"/>
      <w:szCs w:val="56"/>
      <w:lang w:val="en-US"/>
    </w:rPr>
  </w:style>
  <w:style w:type="character" w:customStyle="1" w:styleId="TitleChar">
    <w:name w:val="Title Char"/>
    <w:basedOn w:val="DefaultParagraphFont"/>
    <w:link w:val="Title"/>
    <w:uiPriority w:val="10"/>
    <w:rsid w:val="00C01565"/>
    <w:rPr>
      <w:rFonts w:ascii="Calibri" w:eastAsia="Calibri" w:hAnsi="Calibri" w:cs="Calibri"/>
      <w:b/>
      <w:bCs/>
      <w:sz w:val="56"/>
      <w:szCs w:val="56"/>
      <w:lang w:val="en-US"/>
    </w:rPr>
  </w:style>
  <w:style w:type="paragraph" w:customStyle="1" w:styleId="TableParagraph">
    <w:name w:val="Table Paragraph"/>
    <w:basedOn w:val="Normal"/>
    <w:uiPriority w:val="1"/>
    <w:qFormat/>
    <w:rsid w:val="00C01565"/>
    <w:pPr>
      <w:widowControl w:val="0"/>
      <w:autoSpaceDE w:val="0"/>
      <w:autoSpaceDN w:val="0"/>
      <w:spacing w:after="0" w:line="240" w:lineRule="auto"/>
    </w:pPr>
    <w:rPr>
      <w:rFonts w:eastAsia="Calibri" w:cs="Calibri"/>
      <w:lang w:val="en-US"/>
    </w:rPr>
  </w:style>
  <w:style w:type="paragraph" w:styleId="TOCHeading">
    <w:name w:val="TOC Heading"/>
    <w:basedOn w:val="Heading1"/>
    <w:next w:val="Normal"/>
    <w:uiPriority w:val="39"/>
    <w:unhideWhenUsed/>
    <w:qFormat/>
    <w:rsid w:val="00C01565"/>
    <w:pPr>
      <w:numPr>
        <w:numId w:val="0"/>
      </w:numPr>
      <w:pBdr>
        <w:bottom w:val="none" w:sz="0" w:space="0" w:color="auto"/>
      </w:pBdr>
      <w:spacing w:before="240" w:after="0" w:line="259" w:lineRule="auto"/>
      <w:outlineLvl w:val="9"/>
    </w:pPr>
    <w:rPr>
      <w:rFonts w:asciiTheme="majorHAnsi" w:hAnsiTheme="majorHAnsi"/>
      <w:b w:val="0"/>
      <w:color w:val="006E93" w:themeColor="accent1" w:themeShade="BF"/>
      <w:lang w:val="en-US"/>
    </w:rPr>
  </w:style>
  <w:style w:type="table" w:customStyle="1" w:styleId="TableDefault1">
    <w:name w:val="Table Default1"/>
    <w:basedOn w:val="TableNormal"/>
    <w:uiPriority w:val="99"/>
    <w:rsid w:val="00C01565"/>
    <w:pPr>
      <w:spacing w:after="0" w:line="240" w:lineRule="auto"/>
    </w:pPr>
    <w:tblPr>
      <w:tblStyleRowBandSize w:val="1"/>
      <w:tblStyleColBandSize w:val="1"/>
      <w:tblInd w:w="851" w:type="dxa"/>
      <w:tblBorders>
        <w:top w:val="single" w:sz="6" w:space="0" w:color="0094C5" w:themeColor="accent1"/>
        <w:bottom w:val="single" w:sz="6" w:space="0" w:color="0094C5" w:themeColor="accent1"/>
        <w:insideH w:val="single" w:sz="6" w:space="0" w:color="0094C5" w:themeColor="accent1"/>
      </w:tblBorders>
    </w:tblPr>
    <w:tblStylePr w:type="firstRow">
      <w:tblPr/>
      <w:trPr>
        <w:tblHeader/>
      </w:trPr>
      <w:tcPr>
        <w:shd w:val="clear" w:color="auto" w:fill="0094C5" w:themeFill="accent1"/>
      </w:tcPr>
    </w:tblStylePr>
    <w:tblStylePr w:type="lastRow">
      <w:tblPr/>
      <w:tcPr>
        <w:tcBorders>
          <w:top w:val="nil"/>
          <w:left w:val="nil"/>
          <w:bottom w:val="single" w:sz="12" w:space="0" w:color="0094C5"/>
          <w:right w:val="nil"/>
          <w:insideH w:val="nil"/>
          <w:insideV w:val="nil"/>
          <w:tl2br w:val="nil"/>
          <w:tr2bl w:val="nil"/>
        </w:tcBorders>
      </w:tcPr>
    </w:tblStylePr>
    <w:tblStylePr w:type="band2Horz">
      <w:tblPr/>
      <w:tcPr>
        <w:shd w:val="clear" w:color="auto" w:fill="EEECF0"/>
      </w:tcPr>
    </w:tblStylePr>
  </w:style>
  <w:style w:type="paragraph" w:customStyle="1" w:styleId="m-5312397444679921854msolistparagraph">
    <w:name w:val="m_-5312397444679921854msolistparagraph"/>
    <w:basedOn w:val="Normal"/>
    <w:rsid w:val="00D8190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cheads">
    <w:name w:val="Rec heads"/>
    <w:basedOn w:val="Heading4"/>
    <w:link w:val="RecheadsChar"/>
    <w:uiPriority w:val="49"/>
    <w:qFormat/>
    <w:rsid w:val="00291E9F"/>
  </w:style>
  <w:style w:type="character" w:customStyle="1" w:styleId="RecheadsChar">
    <w:name w:val="Rec heads Char"/>
    <w:basedOn w:val="Heading4Char"/>
    <w:link w:val="Recheads"/>
    <w:uiPriority w:val="49"/>
    <w:rsid w:val="00291E9F"/>
    <w:rPr>
      <w:rFonts w:ascii="Calibri" w:eastAsiaTheme="majorEastAsia" w:hAnsi="Calibri" w:cstheme="majorBidi"/>
      <w:b/>
      <w:iCs/>
      <w:color w:val="0094C5" w:themeColor="accent1"/>
      <w:sz w:val="24"/>
    </w:rPr>
  </w:style>
  <w:style w:type="paragraph" w:customStyle="1" w:styleId="text">
    <w:name w:val="text"/>
    <w:basedOn w:val="Normal"/>
    <w:rsid w:val="000F7315"/>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Quote">
    <w:name w:val="Quote"/>
    <w:basedOn w:val="Normal"/>
    <w:next w:val="Normal"/>
    <w:link w:val="QuoteChar"/>
    <w:uiPriority w:val="29"/>
    <w:qFormat/>
    <w:rsid w:val="001D55C1"/>
    <w:pPr>
      <w:spacing w:before="200" w:after="160" w:line="256" w:lineRule="auto"/>
      <w:ind w:left="864" w:right="864"/>
      <w:jc w:val="center"/>
    </w:pPr>
    <w:rPr>
      <w:rFonts w:asciiTheme="minorHAnsi" w:hAnsiTheme="minorHAnsi"/>
      <w:i/>
      <w:iCs/>
      <w:color w:val="5B6477" w:themeColor="text1" w:themeTint="BF"/>
    </w:rPr>
  </w:style>
  <w:style w:type="character" w:customStyle="1" w:styleId="QuoteChar">
    <w:name w:val="Quote Char"/>
    <w:basedOn w:val="DefaultParagraphFont"/>
    <w:link w:val="Quote"/>
    <w:uiPriority w:val="29"/>
    <w:rsid w:val="001D55C1"/>
    <w:rPr>
      <w:i/>
      <w:iCs/>
      <w:color w:val="5B6477" w:themeColor="text1" w:themeTint="BF"/>
    </w:rPr>
  </w:style>
  <w:style w:type="numbering" w:customStyle="1" w:styleId="Box">
    <w:name w:val="Box"/>
    <w:uiPriority w:val="99"/>
    <w:rsid w:val="000C4F71"/>
    <w:pPr>
      <w:numPr>
        <w:numId w:val="18"/>
      </w:numPr>
    </w:pPr>
  </w:style>
  <w:style w:type="paragraph" w:customStyle="1" w:styleId="Box2">
    <w:name w:val="Box2"/>
    <w:basedOn w:val="USBodyText"/>
    <w:uiPriority w:val="49"/>
    <w:rsid w:val="00084E7E"/>
    <w:pPr>
      <w:numPr>
        <w:numId w:val="19"/>
      </w:numP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54587">
      <w:bodyDiv w:val="1"/>
      <w:marLeft w:val="0"/>
      <w:marRight w:val="0"/>
      <w:marTop w:val="0"/>
      <w:marBottom w:val="0"/>
      <w:divBdr>
        <w:top w:val="none" w:sz="0" w:space="0" w:color="auto"/>
        <w:left w:val="none" w:sz="0" w:space="0" w:color="auto"/>
        <w:bottom w:val="none" w:sz="0" w:space="0" w:color="auto"/>
        <w:right w:val="none" w:sz="0" w:space="0" w:color="auto"/>
      </w:divBdr>
    </w:div>
    <w:div w:id="322903285">
      <w:bodyDiv w:val="1"/>
      <w:marLeft w:val="0"/>
      <w:marRight w:val="0"/>
      <w:marTop w:val="0"/>
      <w:marBottom w:val="0"/>
      <w:divBdr>
        <w:top w:val="none" w:sz="0" w:space="0" w:color="auto"/>
        <w:left w:val="none" w:sz="0" w:space="0" w:color="auto"/>
        <w:bottom w:val="none" w:sz="0" w:space="0" w:color="auto"/>
        <w:right w:val="none" w:sz="0" w:space="0" w:color="auto"/>
      </w:divBdr>
    </w:div>
    <w:div w:id="680281286">
      <w:bodyDiv w:val="1"/>
      <w:marLeft w:val="0"/>
      <w:marRight w:val="0"/>
      <w:marTop w:val="0"/>
      <w:marBottom w:val="0"/>
      <w:divBdr>
        <w:top w:val="none" w:sz="0" w:space="0" w:color="auto"/>
        <w:left w:val="none" w:sz="0" w:space="0" w:color="auto"/>
        <w:bottom w:val="none" w:sz="0" w:space="0" w:color="auto"/>
        <w:right w:val="none" w:sz="0" w:space="0" w:color="auto"/>
      </w:divBdr>
    </w:div>
    <w:div w:id="837188489">
      <w:bodyDiv w:val="1"/>
      <w:marLeft w:val="0"/>
      <w:marRight w:val="0"/>
      <w:marTop w:val="0"/>
      <w:marBottom w:val="0"/>
      <w:divBdr>
        <w:top w:val="none" w:sz="0" w:space="0" w:color="auto"/>
        <w:left w:val="none" w:sz="0" w:space="0" w:color="auto"/>
        <w:bottom w:val="none" w:sz="0" w:space="0" w:color="auto"/>
        <w:right w:val="none" w:sz="0" w:space="0" w:color="auto"/>
      </w:divBdr>
    </w:div>
    <w:div w:id="1080063717">
      <w:bodyDiv w:val="1"/>
      <w:marLeft w:val="0"/>
      <w:marRight w:val="0"/>
      <w:marTop w:val="0"/>
      <w:marBottom w:val="0"/>
      <w:divBdr>
        <w:top w:val="none" w:sz="0" w:space="0" w:color="auto"/>
        <w:left w:val="none" w:sz="0" w:space="0" w:color="auto"/>
        <w:bottom w:val="none" w:sz="0" w:space="0" w:color="auto"/>
        <w:right w:val="none" w:sz="0" w:space="0" w:color="auto"/>
      </w:divBdr>
    </w:div>
    <w:div w:id="1210609032">
      <w:bodyDiv w:val="1"/>
      <w:marLeft w:val="0"/>
      <w:marRight w:val="0"/>
      <w:marTop w:val="0"/>
      <w:marBottom w:val="0"/>
      <w:divBdr>
        <w:top w:val="none" w:sz="0" w:space="0" w:color="auto"/>
        <w:left w:val="none" w:sz="0" w:space="0" w:color="auto"/>
        <w:bottom w:val="none" w:sz="0" w:space="0" w:color="auto"/>
        <w:right w:val="none" w:sz="0" w:space="0" w:color="auto"/>
      </w:divBdr>
    </w:div>
    <w:div w:id="1841657230">
      <w:bodyDiv w:val="1"/>
      <w:marLeft w:val="0"/>
      <w:marRight w:val="0"/>
      <w:marTop w:val="0"/>
      <w:marBottom w:val="0"/>
      <w:divBdr>
        <w:top w:val="none" w:sz="0" w:space="0" w:color="auto"/>
        <w:left w:val="none" w:sz="0" w:space="0" w:color="auto"/>
        <w:bottom w:val="none" w:sz="0" w:space="0" w:color="auto"/>
        <w:right w:val="none" w:sz="0" w:space="0" w:color="auto"/>
      </w:divBdr>
    </w:div>
    <w:div w:id="1887256436">
      <w:bodyDiv w:val="1"/>
      <w:marLeft w:val="0"/>
      <w:marRight w:val="0"/>
      <w:marTop w:val="0"/>
      <w:marBottom w:val="0"/>
      <w:divBdr>
        <w:top w:val="none" w:sz="0" w:space="0" w:color="auto"/>
        <w:left w:val="none" w:sz="0" w:space="0" w:color="auto"/>
        <w:bottom w:val="none" w:sz="0" w:space="0" w:color="auto"/>
        <w:right w:val="none" w:sz="0" w:space="0" w:color="auto"/>
      </w:divBdr>
    </w:div>
    <w:div w:id="2074884197">
      <w:bodyDiv w:val="1"/>
      <w:marLeft w:val="0"/>
      <w:marRight w:val="0"/>
      <w:marTop w:val="0"/>
      <w:marBottom w:val="0"/>
      <w:divBdr>
        <w:top w:val="none" w:sz="0" w:space="0" w:color="auto"/>
        <w:left w:val="none" w:sz="0" w:space="0" w:color="auto"/>
        <w:bottom w:val="none" w:sz="0" w:space="0" w:color="auto"/>
        <w:right w:val="none" w:sz="0" w:space="0" w:color="auto"/>
      </w:divBdr>
    </w:div>
    <w:div w:id="2110225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sv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nzier.org.nz" TargetMode="External"/><Relationship Id="rId2" Type="http://schemas.openxmlformats.org/officeDocument/2006/relationships/hyperlink" Target="http://www.nzier.org.nz" TargetMode="External"/><Relationship Id="rId1" Type="http://schemas.openxmlformats.org/officeDocument/2006/relationships/hyperlink" Target="mailto:econ@nzier.org.nz" TargetMode="External"/><Relationship Id="rId4"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whatworks.org.nz" TargetMode="External"/><Relationship Id="rId2" Type="http://schemas.openxmlformats.org/officeDocument/2006/relationships/hyperlink" Target="https://saswb.com/" TargetMode="External"/><Relationship Id="rId1" Type="http://schemas.openxmlformats.org/officeDocument/2006/relationships/hyperlink" Target="https://www.mt.org.nz/" TargetMode="External"/><Relationship Id="rId5" Type="http://schemas.openxmlformats.org/officeDocument/2006/relationships/hyperlink" Target="https://msd.govt.nz/about-msd-and-our-work/publications-resources/index.html" TargetMode="External"/><Relationship Id="rId4" Type="http://schemas.openxmlformats.org/officeDocument/2006/relationships/hyperlink" Target="https://ird.govt.nz/about-us/publications/annual-corporate-report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08923884514442E-2"/>
          <c:y val="6.0185185185185182E-2"/>
          <c:w val="0.87889107611548556"/>
          <c:h val="0.8416746864975212"/>
        </c:manualLayout>
      </c:layout>
      <c:barChart>
        <c:barDir val="col"/>
        <c:grouping val="clustered"/>
        <c:varyColors val="0"/>
        <c:ser>
          <c:idx val="0"/>
          <c:order val="0"/>
          <c:spPr>
            <a:solidFill>
              <a:schemeClr val="accent1"/>
            </a:solidFill>
            <a:ln w="19050">
              <a:noFill/>
            </a:ln>
            <a:effectLst/>
          </c:spPr>
          <c:invertIfNegative val="0"/>
          <c:cat>
            <c:numRef>
              <c:f>'Fig 3.4 data'!$A$8:$A$24</c:f>
              <c:numCache>
                <c:formatCode>General</c:formatCode>
                <c:ptCount val="17"/>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numCache>
            </c:numRef>
          </c:cat>
          <c:val>
            <c:numRef>
              <c:f>'Fig 3.4 data'!$B$8:$B$24</c:f>
              <c:numCache>
                <c:formatCode>_(* #,##0_);_(* \(#,##0\);_(* "-"??_);_(@_)</c:formatCode>
                <c:ptCount val="17"/>
                <c:pt idx="0">
                  <c:v>0</c:v>
                </c:pt>
                <c:pt idx="1">
                  <c:v>0</c:v>
                </c:pt>
                <c:pt idx="2">
                  <c:v>1</c:v>
                </c:pt>
                <c:pt idx="3">
                  <c:v>2</c:v>
                </c:pt>
                <c:pt idx="4">
                  <c:v>3</c:v>
                </c:pt>
                <c:pt idx="5">
                  <c:v>5</c:v>
                </c:pt>
                <c:pt idx="6">
                  <c:v>7</c:v>
                </c:pt>
                <c:pt idx="7">
                  <c:v>9</c:v>
                </c:pt>
                <c:pt idx="8" formatCode="0">
                  <c:v>11</c:v>
                </c:pt>
                <c:pt idx="9" formatCode="0">
                  <c:v>13</c:v>
                </c:pt>
                <c:pt idx="10" formatCode="0">
                  <c:v>14</c:v>
                </c:pt>
                <c:pt idx="11" formatCode="0">
                  <c:v>13</c:v>
                </c:pt>
                <c:pt idx="12" formatCode="0">
                  <c:v>10</c:v>
                </c:pt>
                <c:pt idx="13" formatCode="0">
                  <c:v>7</c:v>
                </c:pt>
                <c:pt idx="14" formatCode="0">
                  <c:v>4</c:v>
                </c:pt>
                <c:pt idx="15" formatCode="0">
                  <c:v>1</c:v>
                </c:pt>
                <c:pt idx="16" formatCode="0">
                  <c:v>0</c:v>
                </c:pt>
              </c:numCache>
            </c:numRef>
          </c:val>
          <c:extLst>
            <c:ext xmlns:c16="http://schemas.microsoft.com/office/drawing/2014/chart" uri="{C3380CC4-5D6E-409C-BE32-E72D297353CC}">
              <c16:uniqueId val="{00000000-7134-4620-BEBC-8B6F899B93A5}"/>
            </c:ext>
          </c:extLst>
        </c:ser>
        <c:dLbls>
          <c:showLegendKey val="0"/>
          <c:showVal val="0"/>
          <c:showCatName val="0"/>
          <c:showSerName val="0"/>
          <c:showPercent val="0"/>
          <c:showBubbleSize val="0"/>
        </c:dLbls>
        <c:gapWidth val="150"/>
        <c:axId val="1348702111"/>
        <c:axId val="1348702943"/>
      </c:barChart>
      <c:catAx>
        <c:axId val="1348702111"/>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8702943"/>
        <c:crosses val="autoZero"/>
        <c:auto val="1"/>
        <c:lblAlgn val="ctr"/>
        <c:lblOffset val="100"/>
        <c:noMultiLvlLbl val="0"/>
      </c:catAx>
      <c:valAx>
        <c:axId val="1348702943"/>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87021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J 2013 Theme">
  <a:themeElements>
    <a:clrScheme name="NZIER Colour Palette Brand Colours">
      <a:dk1>
        <a:srgbClr val="30353F"/>
      </a:dk1>
      <a:lt1>
        <a:srgbClr val="FFFFFF"/>
      </a:lt1>
      <a:dk2>
        <a:srgbClr val="000000"/>
      </a:dk2>
      <a:lt2>
        <a:srgbClr val="FFFFFF"/>
      </a:lt2>
      <a:accent1>
        <a:srgbClr val="0094C5"/>
      </a:accent1>
      <a:accent2>
        <a:srgbClr val="E5006D"/>
      </a:accent2>
      <a:accent3>
        <a:srgbClr val="2C2276"/>
      </a:accent3>
      <a:accent4>
        <a:srgbClr val="7B1244"/>
      </a:accent4>
      <a:accent5>
        <a:srgbClr val="AFCA0B"/>
      </a:accent5>
      <a:accent6>
        <a:srgbClr val="3AAA35"/>
      </a:accent6>
      <a:hlink>
        <a:srgbClr val="0094C5"/>
      </a:hlink>
      <a:folHlink>
        <a:srgbClr val="9D9D9D"/>
      </a:folHlink>
    </a:clrScheme>
    <a:fontScheme name="MJ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ZIER Colour Palette Brand Colours">
    <a:dk1>
      <a:srgbClr val="30353F"/>
    </a:dk1>
    <a:lt1>
      <a:srgbClr val="FFFFFF"/>
    </a:lt1>
    <a:dk2>
      <a:srgbClr val="000000"/>
    </a:dk2>
    <a:lt2>
      <a:srgbClr val="FFFFFF"/>
    </a:lt2>
    <a:accent1>
      <a:srgbClr val="0094C5"/>
    </a:accent1>
    <a:accent2>
      <a:srgbClr val="E5006D"/>
    </a:accent2>
    <a:accent3>
      <a:srgbClr val="2C2276"/>
    </a:accent3>
    <a:accent4>
      <a:srgbClr val="7B1244"/>
    </a:accent4>
    <a:accent5>
      <a:srgbClr val="AFCA0B"/>
    </a:accent5>
    <a:accent6>
      <a:srgbClr val="3AAA35"/>
    </a:accent6>
    <a:hlink>
      <a:srgbClr val="0094C5"/>
    </a:hlink>
    <a:folHlink>
      <a:srgbClr val="9D9D9D"/>
    </a:folHlink>
  </a:clrScheme>
  <a:fontScheme name="MJ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210068E24094A342933D3709119DA7630062DA8F047A04B14DA7D033C7DB899833" ma:contentTypeVersion="51" ma:contentTypeDescription="Create a new document." ma:contentTypeScope="" ma:versionID="dc750013b5b25e159b1c07faed0f64c0">
  <xsd:schema xmlns:xsd="http://www.w3.org/2001/XMLSchema" xmlns:xs="http://www.w3.org/2001/XMLSchema" xmlns:p="http://schemas.microsoft.com/office/2006/metadata/properties" xmlns:ns2="4f9c820c-e7e2-444d-97ee-45f2b3485c1d" xmlns:ns3="3c0fc738-43e6-44bc-8831-8ec3c4d0d4da" xmlns:ns4="cd90e377-861b-43d5-bcac-99ff05a82b81" xmlns:ns5="5e7812cd-94f3-46ad-9f94-f1b53aec8606" targetNamespace="http://schemas.microsoft.com/office/2006/metadata/properties" ma:root="true" ma:fieldsID="99f744e6fdf993dae80c937bf7deac74" ns2:_="" ns3:_="" ns4:_="" ns5:_="">
    <xsd:import namespace="4f9c820c-e7e2-444d-97ee-45f2b3485c1d"/>
    <xsd:import namespace="3c0fc738-43e6-44bc-8831-8ec3c4d0d4da"/>
    <xsd:import namespace="cd90e377-861b-43d5-bcac-99ff05a82b81"/>
    <xsd:import namespace="5e7812cd-94f3-46ad-9f94-f1b53aec8606"/>
    <xsd:element name="properties">
      <xsd:complexType>
        <xsd:sequence>
          <xsd:element name="documentManagement">
            <xsd:complexType>
              <xsd:all>
                <xsd:element ref="ns2:DocumentType" minOccurs="0"/>
                <xsd:element ref="ns2:Narrative" minOccurs="0"/>
                <xsd:element ref="ns2:RelatedPeople" minOccurs="0"/>
                <xsd:element ref="ns2:Activity" minOccurs="0"/>
                <xsd:element ref="ns2:Subactivity" minOccurs="0"/>
                <xsd:element ref="ns2:Project" minOccurs="0"/>
                <xsd:element ref="ns2:CategoryName" minOccurs="0"/>
                <xsd:element ref="ns2:CategoryValue" minOccurs="0"/>
                <xsd:element ref="ns2:BusinessValue" minOccurs="0"/>
                <xsd:element ref="ns2:Subtype" minOccurs="0"/>
                <xsd:element ref="ns2:FunctionGroup" minOccurs="0"/>
                <xsd:element ref="ns2:PRAType"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2:Function" minOccurs="0"/>
                <xsd:element ref="ns3:JobNo" minOccurs="0"/>
                <xsd:element ref="ns3:ProposalNo" minOccurs="0"/>
                <xsd:element ref="ns3:Cas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ServiceLocation" minOccurs="0"/>
                <xsd:element ref="ns4:MediaServiceAutoKeyPoints" minOccurs="0"/>
                <xsd:element ref="ns4:MediaServiceKeyPoints" minOccurs="0"/>
                <xsd:element ref="ns4:lcf76f155ced4ddcb4097134ff3c332f" minOccurs="0"/>
                <xsd:element ref="ns5:TaxCatchAll"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literature"/>
          <xsd:enumeration value="MEETING related"/>
          <xsd:enumeration value="MEMO, Filenote, Email"/>
          <xsd:enumeration value="MODEL, Calculation"/>
          <xsd:enumeration value="DATA"/>
          <xsd:enumeration value="PHOTO, Image or Multi-media"/>
          <xsd:enumeration value="PRESENTATION"/>
          <xsd:enumeration value="PUBLICATION, membership"/>
          <xsd:enumeration value="PUBLICATION, PG"/>
          <xsd:enumeration value="REPORT, Client report"/>
          <xsd:enumeration value="PROPOSAL, Memo-style proposal"/>
          <xsd:enumeration value="RULES, Policy, procedure"/>
          <xsd:enumeration value="TEMPLATE, Checklist or Form"/>
        </xsd:restriction>
      </xsd:simpleType>
    </xsd:element>
    <xsd:element name="Narrative" ma:index="9" nillable="true" ma:displayName="Narrative" ma:internalName="Narrative" ma:readOnly="false">
      <xsd:simpleType>
        <xsd:restriction base="dms:Note">
          <xsd:maxLength value="255"/>
        </xsd:restriction>
      </xsd:simpleType>
    </xsd:element>
    <xsd:element name="RelatedPeople" ma:index="10" nillable="true" ma:displayName="Related Peopl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ivity" ma:index="11" nillable="true" ma:displayName="Activity" ma:default="Government" ma:format="Dropdown" ma:internalName="Activity">
      <xsd:simpleType>
        <xsd:union memberTypes="dms:Text">
          <xsd:simpleType>
            <xsd:restriction base="dms:Choice">
              <xsd:enumeration value="Government"/>
            </xsd:restriction>
          </xsd:simpleType>
        </xsd:union>
      </xsd:simpleType>
    </xsd:element>
    <xsd:element name="Subactivity" ma:index="12" nillable="true" ma:displayName="Subactivity" ma:format="Dropdown" ma:hidden="true" ma:internalName="Subactivity" ma:readOnly="false">
      <xsd:simpleType>
        <xsd:union memberTypes="dms:Text">
          <xsd:simpleType>
            <xsd:restriction base="dms:Choice">
              <xsd:enumeration value="Project management"/>
              <xsd:enumeration value="Data"/>
              <xsd:enumeration value="Modelling"/>
              <xsd:enumeration value="Literature"/>
              <xsd:enumeration value="Draft deliverables"/>
              <xsd:enumeration value="Final deliverables"/>
            </xsd:restriction>
          </xsd:simpleType>
        </xsd:union>
      </xsd:simpleType>
    </xsd:element>
    <xsd:element name="Project" ma:index="13" nillable="true" ma:displayName="Project" ma:hidden="true" ma:internalName="Project" ma:readOnly="false">
      <xsd:simpleType>
        <xsd:restriction base="dms:Text">
          <xsd:maxLength value="255"/>
        </xsd:restriction>
      </xsd:simpleType>
    </xsd:element>
    <xsd:element name="CategoryName" ma:index="14" nillable="true" ma:displayName="Category Name" ma:hidden="true" ma:internalName="CategoryName" ma:readOnly="false">
      <xsd:simpleType>
        <xsd:restriction base="dms:Text">
          <xsd:maxLength value="255"/>
        </xsd:restriction>
      </xsd:simpleType>
    </xsd:element>
    <xsd:element name="CategoryValue" ma:index="15" nillable="true" ma:displayName="Category Value" ma:hidden="true" ma:internalName="CategoryValue" ma:readOnly="false">
      <xsd:simpleType>
        <xsd:restriction base="dms:Text">
          <xsd:maxLength value="255"/>
        </xsd:restriction>
      </xsd:simpleType>
    </xsd:element>
    <xsd:element name="BusinessValue" ma:index="16" nillable="true" ma:displayName="Business Value" ma:default="Normal" ma:format="Dropdown" ma:hidden="true" ma:internalName="BusinessValue" ma:readOnly="false">
      <xsd:simpleType>
        <xsd:restriction base="dms:Choice">
          <xsd:enumeration value="Normal"/>
          <xsd:enumeration value="Long Term Value"/>
          <xsd:enumeration value="Housekeeping"/>
          <xsd:enumeration value="Deleted"/>
        </xsd:restriction>
      </xsd:simpleType>
    </xsd:element>
    <xsd:element name="Subtype" ma:index="17" nillable="true" ma:displayName="Subtype" ma:format="Dropdown" ma:hidden="true" ma:internalName="Subtype" ma:readOnly="false">
      <xsd:simpleType>
        <xsd:restriction base="dms:Choice">
          <xsd:enumeration value="Policy"/>
          <xsd:enumeration value="Process"/>
          <xsd:enumeration value="Procedure"/>
          <xsd:enumeration value="Guideline"/>
          <xsd:enumeration value="Form"/>
          <xsd:enumeration value="Template"/>
          <xsd:enumeration value="Workflow Diagram"/>
        </xsd:restriction>
      </xsd:simpleType>
    </xsd:element>
    <xsd:element name="FunctionGroup" ma:index="18" nillable="true" ma:displayName="Function Group" ma:default="Not yet defined" ma:format="RadioButtons" ma:hidden="true" ma:internalName="FunctionGroup" ma:readOnly="false">
      <xsd:simpleType>
        <xsd:union memberTypes="dms:Text">
          <xsd:simpleType>
            <xsd:restriction base="dms:Choice">
              <xsd:enumeration value="Not yet defined"/>
            </xsd:restriction>
          </xsd:simpleType>
        </xsd:union>
      </xsd:simpleType>
    </xsd:element>
    <xsd:element name="PRAType" ma:index="19" nillable="true" ma:displayName="PRAType" ma:default="Doc" ma:indexed="true" ma:internalName="PRAType">
      <xsd:simpleType>
        <xsd:restriction base="dms:Text">
          <xsd:maxLength value="255"/>
        </xsd:restriction>
      </xsd:simpleType>
    </xsd:element>
    <xsd:element name="PRADate1" ma:index="20" nillable="true" ma:displayName="PRADate1" ma:format="DateOnly" ma:hidden="true" ma:internalName="PRADate1" ma:readOnly="false">
      <xsd:simpleType>
        <xsd:restriction base="dms:DateTime"/>
      </xsd:simpleType>
    </xsd:element>
    <xsd:element name="PRADate2" ma:index="21" nillable="true" ma:displayName="PRADate2" ma:format="DateOnly" ma:hidden="true" ma:internalName="PRADate2" ma:readOnly="false">
      <xsd:simpleType>
        <xsd:restriction base="dms:DateTime"/>
      </xsd:simpleType>
    </xsd:element>
    <xsd:element name="PRADate3" ma:index="22" nillable="true" ma:displayName="PRADate3" ma:format="DateOnly" ma:hidden="true" ma:internalName="PRADate3" ma:readOnly="false">
      <xsd:simpleType>
        <xsd:restriction base="dms:DateTime"/>
      </xsd:simpleType>
    </xsd:element>
    <xsd:element name="PRADateDisposal" ma:index="23" nillable="true" ma:displayName="PRADateDisposal" ma:format="DateOnly" ma:hidden="true" ma:internalName="PRADateDisposal" ma:readOnly="false">
      <xsd:simpleType>
        <xsd:restriction base="dms:DateTime"/>
      </xsd:simpleType>
    </xsd:element>
    <xsd:element name="PRADateTrigger" ma:index="24" nillable="true" ma:displayName="PRADateTrigger" ma:format="DateOnly" ma:hidden="true" ma:internalName="PRADateTrigger" ma:readOnly="false">
      <xsd:simpleType>
        <xsd:restriction base="dms:DateTime"/>
      </xsd:simpleType>
    </xsd:element>
    <xsd:element name="PRAText1" ma:index="25" nillable="true" ma:displayName="PRAText1" ma:hidden="true" ma:internalName="PRAText1" ma:readOnly="false">
      <xsd:simpleType>
        <xsd:restriction base="dms:Text">
          <xsd:maxLength value="255"/>
        </xsd:restriction>
      </xsd:simpleType>
    </xsd:element>
    <xsd:element name="PRAText2" ma:index="26" nillable="true" ma:displayName="PRAText2" ma:hidden="true" ma:internalName="PRAText2" ma:readOnly="false">
      <xsd:simpleType>
        <xsd:restriction base="dms:Text">
          <xsd:maxLength value="255"/>
        </xsd:restriction>
      </xsd:simpleType>
    </xsd:element>
    <xsd:element name="PRAText3" ma:index="27" nillable="true" ma:displayName="PRAText3" ma:hidden="true" ma:internalName="PRAText3" ma:readOnly="false">
      <xsd:simpleType>
        <xsd:restriction base="dms:Text">
          <xsd:maxLength value="255"/>
        </xsd:restriction>
      </xsd:simpleType>
    </xsd:element>
    <xsd:element name="PRAText4" ma:index="28" nillable="true" ma:displayName="PRAText4" ma:hidden="true" ma:internalName="PRAText4" ma:readOnly="false">
      <xsd:simpleType>
        <xsd:restriction base="dms:Text">
          <xsd:maxLength value="255"/>
        </xsd:restriction>
      </xsd:simpleType>
    </xsd:element>
    <xsd:element name="PRAText5" ma:index="29" nillable="true" ma:displayName="PRAText5" ma:hidden="true" ma:internalName="PRAText5" ma:readOnly="false">
      <xsd:simpleType>
        <xsd:restriction base="dms:Text">
          <xsd:maxLength value="255"/>
        </xsd:restriction>
      </xsd:simpleType>
    </xsd:element>
    <xsd:element name="AggregationStatus" ma:index="30"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Function" ma:index="31" nillable="true" ma:displayName="Function" ma:default="Projects" ma:format="RadioButtons" ma:hidden="true" ma:internalName="Function" ma:readOnly="false">
      <xsd:simpleType>
        <xsd:union memberTypes="dms:Text">
          <xsd:simpleType>
            <xsd:restriction base="dms:Choice">
              <xsd:enumeration value="Projects"/>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c0fc738-43e6-44bc-8831-8ec3c4d0d4da" elementFormDefault="qualified">
    <xsd:import namespace="http://schemas.microsoft.com/office/2006/documentManagement/types"/>
    <xsd:import namespace="http://schemas.microsoft.com/office/infopath/2007/PartnerControls"/>
    <xsd:element name="JobNo" ma:index="32" nillable="true" ma:displayName="Job Number" ma:hidden="true" ma:internalName="JobNo" ma:readOnly="false">
      <xsd:simpleType>
        <xsd:restriction base="dms:Text">
          <xsd:maxLength value="255"/>
        </xsd:restriction>
      </xsd:simpleType>
    </xsd:element>
    <xsd:element name="ProposalNo" ma:index="33" nillable="true" ma:displayName="Proposal Number" ma:hidden="true" ma:internalName="ProposalNo" ma:readOnly="false">
      <xsd:simpleType>
        <xsd:restriction base="dms:Text">
          <xsd:maxLength value="255"/>
        </xsd:restriction>
      </xsd:simpleType>
    </xsd:element>
    <xsd:element name="Case" ma:index="34" nillable="true" ma:displayName="Client Name" ma:hidden="true" ma:internalName="Cas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90e377-861b-43d5-bcac-99ff05a82b81"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Tags" ma:index="37" nillable="true" ma:displayName="Tags" ma:internalName="MediaServiceAutoTags"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DateTaken" ma:index="41" nillable="true" ma:displayName="MediaServiceDateTaken" ma:hidden="true" ma:internalName="MediaServiceDateTaken" ma:readOnly="true">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internalName="MediaServiceKeyPoints" ma:readOnly="true">
      <xsd:simpleType>
        <xsd:restriction base="dms:Note">
          <xsd:maxLength value="255"/>
        </xsd:restriction>
      </xsd:simpleType>
    </xsd:element>
    <xsd:element name="lcf76f155ced4ddcb4097134ff3c332f" ma:index="48" nillable="true" ma:taxonomy="true" ma:internalName="lcf76f155ced4ddcb4097134ff3c332f" ma:taxonomyFieldName="MediaServiceImageTags" ma:displayName="Image Tags" ma:readOnly="false" ma:fieldId="{5cf76f15-5ced-4ddc-b409-7134ff3c332f}" ma:taxonomyMulti="true" ma:sspId="f437effa-7c25-4ff4-a1f2-fa530103635c" ma:termSetId="09814cd3-568e-fe90-9814-8d621ff8fb84" ma:anchorId="fba54fb3-c3e1-fe81-a776-ca4b69148c4d" ma:open="true" ma:isKeyword="false">
      <xsd:complexType>
        <xsd:sequence>
          <xsd:element ref="pc:Terms" minOccurs="0" maxOccurs="1"/>
        </xsd:sequence>
      </xsd:complexType>
    </xsd:element>
    <xsd:element name="MediaLengthInSeconds" ma:index="5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7812cd-94f3-46ad-9f94-f1b53aec8606" elementFormDefault="qualified">
    <xsd:import namespace="http://schemas.microsoft.com/office/2006/documentManagement/types"/>
    <xsd:import namespace="http://schemas.microsoft.com/office/infopath/2007/PartnerControls"/>
    <xsd:element name="SharedWithUsers" ma:index="4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3" nillable="true" ma:displayName="Shared With Details" ma:internalName="SharedWithDetails" ma:readOnly="true">
      <xsd:simpleType>
        <xsd:restriction base="dms:Note">
          <xsd:maxLength value="255"/>
        </xsd:restriction>
      </xsd:simpleType>
    </xsd:element>
    <xsd:element name="TaxCatchAll" ma:index="49" nillable="true" ma:displayName="Taxonomy Catch All Column" ma:hidden="true" ma:list="{53b02f09-5369-481b-a139-ce1558773806}" ma:internalName="TaxCatchAll" ma:showField="CatchAllData" ma:web="5e7812cd-94f3-46ad-9f94-f1b53aec86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bactivity xmlns="4f9c820c-e7e2-444d-97ee-45f2b3485c1d">Submitted versions</Subactivity>
    <BusinessValue xmlns="4f9c820c-e7e2-444d-97ee-45f2b3485c1d" xsi:nil="true"/>
    <PRADateDisposal xmlns="4f9c820c-e7e2-444d-97ee-45f2b3485c1d" xsi:nil="true"/>
    <PRADate3 xmlns="4f9c820c-e7e2-444d-97ee-45f2b3485c1d" xsi:nil="true"/>
    <PRAText5 xmlns="4f9c820c-e7e2-444d-97ee-45f2b3485c1d" xsi:nil="true"/>
    <Activity xmlns="4f9c820c-e7e2-444d-97ee-45f2b3485c1d">Government</Activity>
    <AggregationStatus xmlns="4f9c820c-e7e2-444d-97ee-45f2b3485c1d" xsi:nil="true"/>
    <CategoryValue xmlns="4f9c820c-e7e2-444d-97ee-45f2b3485c1d" xsi:nil="true"/>
    <PRADate2 xmlns="4f9c820c-e7e2-444d-97ee-45f2b3485c1d" xsi:nil="true"/>
    <PRAText1 xmlns="4f9c820c-e7e2-444d-97ee-45f2b3485c1d" xsi:nil="true"/>
    <PRAText4 xmlns="4f9c820c-e7e2-444d-97ee-45f2b3485c1d" xsi:nil="true"/>
    <Project xmlns="4f9c820c-e7e2-444d-97ee-45f2b3485c1d">Devolved social services and accountability</Project>
    <FunctionGroup xmlns="4f9c820c-e7e2-444d-97ee-45f2b3485c1d">Not yet defined</FunctionGroup>
    <Function xmlns="4f9c820c-e7e2-444d-97ee-45f2b3485c1d">Projects</Function>
    <RelatedPeople xmlns="4f9c820c-e7e2-444d-97ee-45f2b3485c1d">
      <UserInfo>
        <DisplayName/>
        <AccountId xsi:nil="true"/>
        <AccountType/>
      </UserInfo>
    </RelatedPeople>
    <PRAType xmlns="4f9c820c-e7e2-444d-97ee-45f2b3485c1d" xsi:nil="true"/>
    <PRADate1 xmlns="4f9c820c-e7e2-444d-97ee-45f2b3485c1d" xsi:nil="true"/>
    <DocumentType xmlns="4f9c820c-e7e2-444d-97ee-45f2b3485c1d" xsi:nil="true"/>
    <PRAText3 xmlns="4f9c820c-e7e2-444d-97ee-45f2b3485c1d" xsi:nil="true"/>
    <Narrative xmlns="4f9c820c-e7e2-444d-97ee-45f2b3485c1d" xsi:nil="true"/>
    <CategoryName xmlns="4f9c820c-e7e2-444d-97ee-45f2b3485c1d" xsi:nil="true"/>
    <PRADateTrigger xmlns="4f9c820c-e7e2-444d-97ee-45f2b3485c1d" xsi:nil="true"/>
    <PRAText2 xmlns="4f9c820c-e7e2-444d-97ee-45f2b3485c1d" xsi:nil="true"/>
    <Case xmlns="3c0fc738-43e6-44bc-8831-8ec3c4d0d4da">NZ Productivity Commission</Case>
    <lcf76f155ced4ddcb4097134ff3c332f xmlns="cd90e377-861b-43d5-bcac-99ff05a82b81">
      <Terms xmlns="http://schemas.microsoft.com/office/infopath/2007/PartnerControls"/>
    </lcf76f155ced4ddcb4097134ff3c332f>
    <TaxCatchAll xmlns="5e7812cd-94f3-46ad-9f94-f1b53aec8606" xsi:nil="true"/>
    <Subtype xmlns="4f9c820c-e7e2-444d-97ee-45f2b3485c1d" xsi:nil="true"/>
    <ProposalNo xmlns="3c0fc738-43e6-44bc-8831-8ec3c4d0d4da" xsi:nil="true"/>
    <JobNo xmlns="3c0fc738-43e6-44bc-8831-8ec3c4d0d4da">14987</JobNo>
    <SharedWithUsers xmlns="5e7812cd-94f3-46ad-9f94-f1b53aec8606">
      <UserInfo>
        <DisplayName>Derek Gill</DisplayName>
        <AccountId>14</AccountId>
        <AccountType/>
      </UserInfo>
      <UserInfo>
        <DisplayName>Peter Wilson</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BAC99-B28D-48DF-B6A1-9DB434D4DD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9c820c-e7e2-444d-97ee-45f2b3485c1d"/>
    <ds:schemaRef ds:uri="3c0fc738-43e6-44bc-8831-8ec3c4d0d4da"/>
    <ds:schemaRef ds:uri="cd90e377-861b-43d5-bcac-99ff05a82b81"/>
    <ds:schemaRef ds:uri="5e7812cd-94f3-46ad-9f94-f1b53aec8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B2978-F8D0-4BCA-9C34-989EA720450B}">
  <ds:schemaRefs>
    <ds:schemaRef ds:uri="http://schemas.microsoft.com/sharepoint/v3/contenttype/forms"/>
  </ds:schemaRefs>
</ds:datastoreItem>
</file>

<file path=customXml/itemProps3.xml><?xml version="1.0" encoding="utf-8"?>
<ds:datastoreItem xmlns:ds="http://schemas.openxmlformats.org/officeDocument/2006/customXml" ds:itemID="{84A7E32D-BF47-4423-85F6-361EFB100BE1}">
  <ds:schemaRefs>
    <ds:schemaRef ds:uri="http://schemas.microsoft.com/office/2006/metadata/properties"/>
    <ds:schemaRef ds:uri="http://schemas.microsoft.com/office/infopath/2007/PartnerControls"/>
    <ds:schemaRef ds:uri="4f9c820c-e7e2-444d-97ee-45f2b3485c1d"/>
    <ds:schemaRef ds:uri="3c0fc738-43e6-44bc-8831-8ec3c4d0d4da"/>
    <ds:schemaRef ds:uri="cd90e377-861b-43d5-bcac-99ff05a82b81"/>
    <ds:schemaRef ds:uri="5e7812cd-94f3-46ad-9f94-f1b53aec8606"/>
  </ds:schemaRefs>
</ds:datastoreItem>
</file>

<file path=customXml/itemProps4.xml><?xml version="1.0" encoding="utf-8"?>
<ds:datastoreItem xmlns:ds="http://schemas.openxmlformats.org/officeDocument/2006/customXml" ds:itemID="{57CB268C-2DD7-48B1-AC1C-6430B6842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145</Pages>
  <Words>88789</Words>
  <Characters>506099</Characters>
  <Application>Microsoft Office Word</Application>
  <DocSecurity>0</DocSecurity>
  <Lines>4217</Lines>
  <Paragraphs>1187</Paragraphs>
  <ScaleCrop>false</ScaleCrop>
  <Company/>
  <LinksUpToDate>false</LinksUpToDate>
  <CharactersWithSpaces>593701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Fry</dc:creator>
  <cp:keywords/>
  <dc:description/>
  <cp:lastModifiedBy>Ayumi Sakakibara</cp:lastModifiedBy>
  <cp:revision>2</cp:revision>
  <cp:lastPrinted>2023-03-09T02:33:00Z</cp:lastPrinted>
  <dcterms:created xsi:type="dcterms:W3CDTF">2023-06-13T09:51:00Z</dcterms:created>
  <dcterms:modified xsi:type="dcterms:W3CDTF">2023-06-13T09:51:00Z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0x010100210068E24094A342933D3709119DA7630062DA8F047A04B14DA7D033C7DB899833</vt:lpwstr>
  </property>
  <property fmtid="{D5CDD505-2E9C-101B-9397-08002B2CF9AE}" pid="3" name="GrammarlyDocumentId">
    <vt:lpwstr>648662bd27a8b458519ad582bf4c9a443933dcb932bca40a2367b16e717707d1</vt:lpwstr>
  </property>
  <property fmtid="{D5CDD505-2E9C-101B-9397-08002B2CF9AE}" pid="4" name="ZOTERO_PREF_1">
    <vt:lpwstr>&lt;data data-version="3" zotero-version="6.0.20"&gt;&lt;session id="93SUiiiy"/&gt;&lt;style id="http://www.zotero.org/styles/chicago-author-date" locale="en-GB" hasBibliography="1" bibliographyStyleHasBeenSet="1"/&gt;&lt;prefs&gt;&lt;pref name="fieldType" value="Field"/&gt;&lt;pref name</vt:lpwstr>
  </property>
  <property fmtid="{D5CDD505-2E9C-101B-9397-08002B2CF9AE}" pid="5" name="ZOTERO_PREF_2">
    <vt:lpwstr>="dontAskDelayCitationUpdates" value="true"/&gt;&lt;/prefs&gt;&lt;/data&gt;</vt:lpwstr>
  </property>
  <property fmtid="{D5CDD505-2E9C-101B-9397-08002B2CF9AE}" pid="6" name="MediaServiceImageTags">
    <vt:lpwstr/>
  </property>
  <property fmtid="{D5CDD505-2E9C-101B-9397-08002B2CF9AE}" pid="7" name="_dlc_DocIdItemGuid">
    <vt:lpwstr>0efed70d-a950-4ae5-acf0-ab79d16fdb42</vt:lpwstr>
  </property>
</Properties>
</file>